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9FAD" w14:textId="2FBF5F96" w:rsidR="0091214A" w:rsidRPr="008C2D0E" w:rsidRDefault="0037476A" w:rsidP="00052FE6">
      <w:pPr>
        <w:jc w:val="center"/>
        <w:rPr>
          <w:b/>
          <w:bCs/>
          <w:sz w:val="48"/>
          <w:szCs w:val="48"/>
        </w:rPr>
      </w:pPr>
      <w:r w:rsidRPr="008C2D0E">
        <w:rPr>
          <w:b/>
          <w:bCs/>
          <w:sz w:val="48"/>
          <w:szCs w:val="48"/>
        </w:rPr>
        <w:t>Der Expressionismus</w:t>
      </w:r>
    </w:p>
    <w:p w14:paraId="2C285C69" w14:textId="5A5026B8" w:rsidR="00052FE6" w:rsidRPr="008C2D0E" w:rsidRDefault="00052FE6" w:rsidP="00052FE6">
      <w:pPr>
        <w:jc w:val="center"/>
        <w:rPr>
          <w:sz w:val="32"/>
          <w:szCs w:val="32"/>
        </w:rPr>
      </w:pPr>
      <w:r w:rsidRPr="008C2D0E">
        <w:rPr>
          <w:sz w:val="32"/>
          <w:szCs w:val="32"/>
        </w:rPr>
        <w:t>Quin Barnard</w:t>
      </w:r>
    </w:p>
    <w:p w14:paraId="68AED3AC" w14:textId="596972DB" w:rsidR="00052FE6" w:rsidRPr="008C2D0E" w:rsidRDefault="00052FE6" w:rsidP="00052FE6">
      <w:pPr>
        <w:jc w:val="right"/>
      </w:pPr>
      <w:r w:rsidRPr="008C2D0E">
        <w:t xml:space="preserve">den </w:t>
      </w:r>
      <w:r w:rsidR="0037476A" w:rsidRPr="008C2D0E">
        <w:t>14</w:t>
      </w:r>
      <w:r w:rsidRPr="008C2D0E">
        <w:t>.  2025</w:t>
      </w:r>
    </w:p>
    <w:p w14:paraId="6773B694" w14:textId="1D9EF881" w:rsidR="0037476A" w:rsidRPr="008C2D0E" w:rsidRDefault="00052FE6" w:rsidP="00052FE6">
      <w:pPr>
        <w:jc w:val="center"/>
        <w:rPr>
          <w:i/>
          <w:iCs/>
        </w:rPr>
      </w:pPr>
      <w:r w:rsidRPr="008C2D0E">
        <w:rPr>
          <w:i/>
          <w:iCs/>
        </w:rPr>
        <w:t>„</w:t>
      </w:r>
      <w:r w:rsidR="0037476A" w:rsidRPr="008C2D0E">
        <w:rPr>
          <w:i/>
          <w:iCs/>
        </w:rPr>
        <w:t>[Jeder] Mensch [hat] seine eigene Religion: man [</w:t>
      </w:r>
      <w:r w:rsidR="008C2D0E" w:rsidRPr="008C2D0E">
        <w:rPr>
          <w:i/>
          <w:iCs/>
        </w:rPr>
        <w:t>muss</w:t>
      </w:r>
      <w:r w:rsidR="0037476A" w:rsidRPr="008C2D0E">
        <w:rPr>
          <w:i/>
          <w:iCs/>
        </w:rPr>
        <w:t>] eine persönliche Stellung zu einem unaussprechlichen Gott einnehmen.</w:t>
      </w:r>
      <w:r w:rsidRPr="008C2D0E">
        <w:rPr>
          <w:i/>
          <w:iCs/>
        </w:rPr>
        <w:t>“</w:t>
      </w:r>
    </w:p>
    <w:p w14:paraId="5153437C" w14:textId="0DAC04E0" w:rsidR="00052FE6" w:rsidRPr="008C2D0E" w:rsidRDefault="0037476A" w:rsidP="0037476A">
      <w:pPr>
        <w:jc w:val="right"/>
        <w:rPr>
          <w:i/>
          <w:iCs/>
          <w:sz w:val="20"/>
          <w:szCs w:val="20"/>
        </w:rPr>
      </w:pPr>
      <w:r w:rsidRPr="008C2D0E">
        <w:rPr>
          <w:i/>
          <w:iCs/>
          <w:sz w:val="20"/>
          <w:szCs w:val="20"/>
        </w:rPr>
        <w:t xml:space="preserve"> -Alfred Döblin, Die Ermordung einer Butterblume</w:t>
      </w:r>
    </w:p>
    <w:p w14:paraId="609D2DB8" w14:textId="418B1B74" w:rsidR="0037476A" w:rsidRDefault="0037476A" w:rsidP="0037476A">
      <w:pPr>
        <w:rPr>
          <w:b/>
          <w:bCs/>
        </w:rPr>
      </w:pPr>
      <w:r>
        <w:rPr>
          <w:b/>
          <w:bCs/>
          <w:lang w:val="en-ZA"/>
        </w:rPr>
        <w:t xml:space="preserve">Der </w:t>
      </w:r>
      <w:proofErr w:type="spellStart"/>
      <w:r>
        <w:rPr>
          <w:b/>
          <w:bCs/>
          <w:lang w:val="en-ZA"/>
        </w:rPr>
        <w:t>Begriff</w:t>
      </w:r>
      <w:proofErr w:type="spellEnd"/>
      <w:r>
        <w:rPr>
          <w:b/>
          <w:bCs/>
          <w:lang w:val="en-ZA"/>
        </w:rPr>
        <w:t xml:space="preserve"> </w:t>
      </w:r>
      <w:r>
        <w:rPr>
          <w:b/>
          <w:bCs/>
        </w:rPr>
        <w:t>„</w:t>
      </w:r>
      <w:proofErr w:type="gramStart"/>
      <w:r w:rsidR="00667BF5">
        <w:rPr>
          <w:b/>
          <w:bCs/>
        </w:rPr>
        <w:t>Expressionismus“ überhaupt</w:t>
      </w:r>
      <w:proofErr w:type="gramEnd"/>
    </w:p>
    <w:p w14:paraId="11C3C0FA" w14:textId="1F442FF3" w:rsidR="008C2D0E" w:rsidRDefault="008C2D0E" w:rsidP="008C2D0E">
      <w:pPr>
        <w:pStyle w:val="ListParagraph"/>
        <w:numPr>
          <w:ilvl w:val="0"/>
          <w:numId w:val="7"/>
        </w:numPr>
      </w:pPr>
      <w:r>
        <w:t>Tauch</w:t>
      </w:r>
      <w:r>
        <w:t>t</w:t>
      </w:r>
      <w:r>
        <w:t xml:space="preserve"> fast gleichzeitig unabhängig auf in verschiedenen Kunstformen</w:t>
      </w:r>
    </w:p>
    <w:p w14:paraId="3F792C04" w14:textId="77777777" w:rsidR="008C2D0E" w:rsidRDefault="008C2D0E" w:rsidP="008C2D0E">
      <w:pPr>
        <w:pStyle w:val="ListParagraph"/>
        <w:numPr>
          <w:ilvl w:val="0"/>
          <w:numId w:val="7"/>
        </w:numPr>
      </w:pPr>
      <w:r>
        <w:t>Von circa 1910 bis 1924</w:t>
      </w:r>
    </w:p>
    <w:p w14:paraId="0B567CD2" w14:textId="77777777" w:rsidR="008C2D0E" w:rsidRDefault="008C2D0E" w:rsidP="008C2D0E">
      <w:pPr>
        <w:pStyle w:val="ListParagraph"/>
        <w:numPr>
          <w:ilvl w:val="0"/>
          <w:numId w:val="7"/>
        </w:numPr>
      </w:pPr>
      <w:r>
        <w:t>Könnte als sehr übertriebene Impressionismus betrachtet wird</w:t>
      </w:r>
    </w:p>
    <w:p w14:paraId="4EF3D5E4" w14:textId="77777777" w:rsidR="008C2D0E" w:rsidRDefault="008C2D0E" w:rsidP="008C2D0E">
      <w:pPr>
        <w:pStyle w:val="ListParagraph"/>
        <w:numPr>
          <w:ilvl w:val="0"/>
          <w:numId w:val="7"/>
        </w:numPr>
      </w:pPr>
      <w:r>
        <w:t>Hauptsächlich eine deutschsprachige Bewegung; kann mit Kubismus und Fauvismus vergleichen wird</w:t>
      </w:r>
    </w:p>
    <w:p w14:paraId="02DAE2EA" w14:textId="77777777" w:rsidR="008C2D0E" w:rsidRDefault="008C2D0E" w:rsidP="008C2D0E">
      <w:pPr>
        <w:pStyle w:val="ListParagraph"/>
        <w:numPr>
          <w:ilvl w:val="0"/>
          <w:numId w:val="7"/>
        </w:numPr>
      </w:pPr>
      <w:r>
        <w:t>Sehr stark von Freuds Psychoanalyse des Individuums und Nietzches Der Tod Gottes beeinflusst</w:t>
      </w:r>
    </w:p>
    <w:p w14:paraId="3F3A327B" w14:textId="2CB163CB" w:rsidR="00667BF5" w:rsidRDefault="00667BF5" w:rsidP="00667BF5">
      <w:pPr>
        <w:rPr>
          <w:b/>
          <w:bCs/>
        </w:rPr>
      </w:pPr>
      <w:r>
        <w:rPr>
          <w:b/>
          <w:bCs/>
        </w:rPr>
        <w:t>Grundsätze des Expressionismus</w:t>
      </w:r>
    </w:p>
    <w:p w14:paraId="4B49B662" w14:textId="77777777" w:rsidR="008C2D0E" w:rsidRPr="008C2D0E" w:rsidRDefault="00667BF5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„Niemand zweifelt daran, dass das Echte nicht sein kann, was als äußere Realität erscheint. Die Realität muss von uns geschaffen werden.“ </w:t>
      </w:r>
    </w:p>
    <w:p w14:paraId="49F1131A" w14:textId="77777777" w:rsidR="008C2D0E" w:rsidRPr="008C2D0E" w:rsidRDefault="00667BF5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>Das Individuum = Das Wichtigste</w:t>
      </w:r>
    </w:p>
    <w:p w14:paraId="197F12E0" w14:textId="4C93F055" w:rsidR="008C2D0E" w:rsidRPr="00723C1C" w:rsidRDefault="008C2D0E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>Säkularistisch (</w:t>
      </w:r>
      <w:proofErr w:type="spellStart"/>
      <w:r>
        <w:t>Nietzsche</w:t>
      </w:r>
      <w:r w:rsidR="00845E82">
        <w:t>&amp;Freud</w:t>
      </w:r>
      <w:proofErr w:type="spellEnd"/>
      <w:r>
        <w:t>)</w:t>
      </w:r>
    </w:p>
    <w:p w14:paraId="160FDB2A" w14:textId="750096E6" w:rsidR="00723C1C" w:rsidRPr="008C2D0E" w:rsidRDefault="00723C1C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Gesellschaftskritisch wegen des Krieges </w:t>
      </w:r>
    </w:p>
    <w:p w14:paraId="2FA486EF" w14:textId="6C22AC29" w:rsidR="008C2D0E" w:rsidRPr="00723C1C" w:rsidRDefault="00667BF5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>Kunst muss eine unmittelbare Wiedergabe der Gefühle des Künstlers während des Schaffens liefern</w:t>
      </w:r>
    </w:p>
    <w:p w14:paraId="5FDE009F" w14:textId="1B17A423" w:rsidR="00723C1C" w:rsidRPr="008C2D0E" w:rsidRDefault="00723C1C" w:rsidP="008C2D0E">
      <w:pPr>
        <w:pStyle w:val="ListParagraph"/>
        <w:numPr>
          <w:ilvl w:val="0"/>
          <w:numId w:val="8"/>
        </w:numPr>
        <w:rPr>
          <w:b/>
          <w:bCs/>
        </w:rPr>
      </w:pPr>
      <w:r>
        <w:t>Kaum formelle Regeln</w:t>
      </w:r>
    </w:p>
    <w:p w14:paraId="7ED21996" w14:textId="1E0D4BAF" w:rsidR="008C2D0E" w:rsidRDefault="008C2D0E" w:rsidP="008C2D0E">
      <w:pPr>
        <w:rPr>
          <w:b/>
          <w:bCs/>
        </w:rPr>
      </w:pPr>
      <w:r>
        <w:rPr>
          <w:b/>
          <w:bCs/>
        </w:rPr>
        <w:t>Expressionistische Malerei</w:t>
      </w:r>
    </w:p>
    <w:p w14:paraId="439FFF1C" w14:textId="36DFBCE2" w:rsidR="008C2D0E" w:rsidRPr="008C2D0E" w:rsidRDefault="008C2D0E" w:rsidP="008C2D0E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U.a. Franz Marc und Wassily Kandinsky gründet „Der Blaue Reiter“ </w:t>
      </w:r>
    </w:p>
    <w:p w14:paraId="312CDDB6" w14:textId="1DD95D5F" w:rsidR="008C2D0E" w:rsidRPr="008C2D0E" w:rsidRDefault="008C2D0E" w:rsidP="008C2D0E">
      <w:pPr>
        <w:pStyle w:val="ListParagraph"/>
        <w:numPr>
          <w:ilvl w:val="0"/>
          <w:numId w:val="9"/>
        </w:numPr>
        <w:rPr>
          <w:b/>
          <w:bCs/>
        </w:rPr>
      </w:pPr>
      <w:r>
        <w:t>Eine sehr abstrahierte Kunst</w:t>
      </w:r>
    </w:p>
    <w:p w14:paraId="732016D4" w14:textId="025A3232" w:rsidR="008C2D0E" w:rsidRPr="008C2D0E" w:rsidRDefault="008C2D0E" w:rsidP="008C2D0E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Es ist nicht auf die äußere Realität verlass, deswegen ganz „unrealistisch“ </w:t>
      </w:r>
    </w:p>
    <w:p w14:paraId="76897858" w14:textId="5BB018DE" w:rsidR="008C2D0E" w:rsidRPr="008C2D0E" w:rsidRDefault="008C2D0E" w:rsidP="008C2D0E">
      <w:pPr>
        <w:pStyle w:val="ListParagraph"/>
        <w:numPr>
          <w:ilvl w:val="0"/>
          <w:numId w:val="9"/>
        </w:numPr>
        <w:rPr>
          <w:b/>
          <w:bCs/>
        </w:rPr>
      </w:pPr>
      <w:r>
        <w:t>Es entsteht in den 20er Jahren eine deutsch-expressionistische Filmgattung</w:t>
      </w:r>
    </w:p>
    <w:p w14:paraId="730984F2" w14:textId="5DC6211F" w:rsidR="008C2D0E" w:rsidRDefault="008C2D0E" w:rsidP="008C2D0E">
      <w:pPr>
        <w:rPr>
          <w:b/>
          <w:bCs/>
        </w:rPr>
      </w:pPr>
      <w:r>
        <w:rPr>
          <w:b/>
          <w:bCs/>
        </w:rPr>
        <w:t>Die Ermordung einer Butterblume</w:t>
      </w:r>
    </w:p>
    <w:p w14:paraId="140C8B40" w14:textId="369FA62A" w:rsidR="008C2D0E" w:rsidRPr="00845E82" w:rsidRDefault="00723C1C" w:rsidP="008C2D0E">
      <w:pPr>
        <w:pStyle w:val="ListParagraph"/>
        <w:numPr>
          <w:ilvl w:val="0"/>
          <w:numId w:val="10"/>
        </w:numPr>
        <w:rPr>
          <w:b/>
          <w:bCs/>
        </w:rPr>
      </w:pPr>
      <w:r>
        <w:t>Handelt von Herr Michael Fischers Psychose</w:t>
      </w:r>
    </w:p>
    <w:p w14:paraId="5387CD8F" w14:textId="51F73F10" w:rsidR="00845E82" w:rsidRPr="00723C1C" w:rsidRDefault="00845E82" w:rsidP="008C2D0E">
      <w:pPr>
        <w:pStyle w:val="ListParagraph"/>
        <w:numPr>
          <w:ilvl w:val="0"/>
          <w:numId w:val="10"/>
        </w:numPr>
        <w:rPr>
          <w:b/>
          <w:bCs/>
        </w:rPr>
      </w:pPr>
      <w:r>
        <w:t>Nichts als die Welt wie Herr Fischer sie erlebt ist wichtig</w:t>
      </w:r>
    </w:p>
    <w:p w14:paraId="3935540A" w14:textId="53C487EB" w:rsidR="00723C1C" w:rsidRPr="00723C1C" w:rsidRDefault="00723C1C" w:rsidP="008C2D0E">
      <w:pPr>
        <w:pStyle w:val="ListParagraph"/>
        <w:numPr>
          <w:ilvl w:val="0"/>
          <w:numId w:val="10"/>
        </w:numPr>
        <w:rPr>
          <w:b/>
          <w:bCs/>
        </w:rPr>
      </w:pPr>
      <w:r>
        <w:t>„Jeder Mensch hat seine Religion […]“ vergleichen Freud</w:t>
      </w:r>
    </w:p>
    <w:p w14:paraId="04E947D4" w14:textId="023DC02C" w:rsidR="00723C1C" w:rsidRPr="00845E82" w:rsidRDefault="00845E82" w:rsidP="008C2D0E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Die Blume stirbt wegen des Menschen, jetzt ist der Mensch frei; vergleichen Nietzsche </w:t>
      </w:r>
    </w:p>
    <w:p w14:paraId="6536F9CB" w14:textId="18E66187" w:rsidR="00845E82" w:rsidRDefault="00845E82" w:rsidP="00845E82">
      <w:pPr>
        <w:ind w:left="360"/>
        <w:rPr>
          <w:b/>
          <w:bCs/>
        </w:rPr>
      </w:pPr>
      <w:r>
        <w:rPr>
          <w:b/>
          <w:bCs/>
        </w:rPr>
        <w:t>Quellen</w:t>
      </w:r>
    </w:p>
    <w:p w14:paraId="3F5E4FB3" w14:textId="0836B36B" w:rsidR="00845E82" w:rsidRPr="00845E82" w:rsidRDefault="00845E82" w:rsidP="00845E82">
      <w:pPr>
        <w:ind w:left="360"/>
      </w:pPr>
      <w:r>
        <w:t xml:space="preserve">Anz, Thomas: </w:t>
      </w:r>
      <w:r w:rsidRPr="00845E82">
        <w:rPr>
          <w:i/>
          <w:iCs/>
        </w:rPr>
        <w:t>Expressionismus</w:t>
      </w:r>
      <w:r>
        <w:rPr>
          <w:i/>
          <w:iCs/>
        </w:rPr>
        <w:t xml:space="preserve">. </w:t>
      </w:r>
      <w:r>
        <w:t>In: Müller, Ingo (</w:t>
      </w:r>
      <w:proofErr w:type="spellStart"/>
      <w:r>
        <w:t>Hg</w:t>
      </w:r>
      <w:proofErr w:type="spellEnd"/>
      <w:r>
        <w:t>.): Deutsch 288 Reader. Stellenbosch 2025, S.60-65.</w:t>
      </w:r>
    </w:p>
    <w:p w14:paraId="001EEAF6" w14:textId="73F2A985" w:rsidR="00845E82" w:rsidRPr="00845E82" w:rsidRDefault="00845E82" w:rsidP="00845E82">
      <w:pPr>
        <w:ind w:left="360"/>
        <w:rPr>
          <w:i/>
          <w:iCs/>
        </w:rPr>
      </w:pPr>
      <w:r w:rsidRPr="00845E82">
        <w:t xml:space="preserve">Meyer, Dorle: </w:t>
      </w:r>
      <w:r w:rsidRPr="00845E82">
        <w:rPr>
          <w:i/>
          <w:iCs/>
        </w:rPr>
        <w:t>Doppelbegabung im Expressionismus-zur Beziehung von Kunst und</w:t>
      </w:r>
    </w:p>
    <w:p w14:paraId="3D289BE9" w14:textId="77777777" w:rsidR="00845E82" w:rsidRPr="00845E82" w:rsidRDefault="00845E82" w:rsidP="00845E82">
      <w:pPr>
        <w:ind w:left="360"/>
      </w:pPr>
      <w:proofErr w:type="spellStart"/>
      <w:r w:rsidRPr="00845E82">
        <w:rPr>
          <w:i/>
          <w:iCs/>
        </w:rPr>
        <w:t>Literature</w:t>
      </w:r>
      <w:proofErr w:type="spellEnd"/>
      <w:r w:rsidRPr="00845E82">
        <w:rPr>
          <w:i/>
          <w:iCs/>
        </w:rPr>
        <w:t xml:space="preserve"> bei Oskar Kokoschka und Ludwig Meidner.</w:t>
      </w:r>
      <w:r w:rsidRPr="00845E82">
        <w:t xml:space="preserve"> Göttingen 2013</w:t>
      </w:r>
    </w:p>
    <w:p w14:paraId="1C5892B3" w14:textId="4DE3BF80" w:rsidR="00845E82" w:rsidRPr="00845E82" w:rsidRDefault="00845E82" w:rsidP="00845E82">
      <w:pPr>
        <w:ind w:left="360"/>
      </w:pPr>
      <w:r w:rsidRPr="00845E82">
        <w:t xml:space="preserve">Rasch, Wolfdietrich: </w:t>
      </w:r>
      <w:r w:rsidRPr="00845E82">
        <w:rPr>
          <w:i/>
          <w:iCs/>
        </w:rPr>
        <w:t>Zur deutschen Literatur seit der Jahrhundertwende</w:t>
      </w:r>
      <w:r w:rsidRPr="00845E82">
        <w:rPr>
          <w:i/>
          <w:iCs/>
        </w:rPr>
        <w:t>.</w:t>
      </w:r>
      <w:r w:rsidRPr="00845E82">
        <w:t xml:space="preserve"> Stuttgart</w:t>
      </w:r>
    </w:p>
    <w:p w14:paraId="0D008BB6" w14:textId="77777777" w:rsidR="00845E82" w:rsidRDefault="00845E82" w:rsidP="00845E82">
      <w:pPr>
        <w:ind w:left="360"/>
      </w:pPr>
      <w:r w:rsidRPr="00845E82">
        <w:t>1967</w:t>
      </w:r>
    </w:p>
    <w:p w14:paraId="35896BA0" w14:textId="77777777" w:rsidR="00845E82" w:rsidRPr="00845E82" w:rsidRDefault="00845E82" w:rsidP="00845E82">
      <w:pPr>
        <w:ind w:left="360"/>
      </w:pPr>
    </w:p>
    <w:p w14:paraId="3370E9F2" w14:textId="2D348D46" w:rsidR="00773FC4" w:rsidRPr="0037476A" w:rsidRDefault="00773FC4" w:rsidP="0037476A">
      <w:pPr>
        <w:jc w:val="right"/>
        <w:rPr>
          <w:sz w:val="20"/>
          <w:szCs w:val="20"/>
        </w:rPr>
      </w:pPr>
    </w:p>
    <w:sectPr w:rsidR="00773FC4" w:rsidRPr="0037476A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05AF" w14:textId="77777777" w:rsidR="0037476A" w:rsidRDefault="0037476A" w:rsidP="0037476A">
      <w:pPr>
        <w:spacing w:after="0" w:line="240" w:lineRule="auto"/>
      </w:pPr>
      <w:r>
        <w:separator/>
      </w:r>
    </w:p>
  </w:endnote>
  <w:endnote w:type="continuationSeparator" w:id="0">
    <w:p w14:paraId="6AA0B637" w14:textId="77777777" w:rsidR="0037476A" w:rsidRDefault="0037476A" w:rsidP="0037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C6913" w14:textId="77777777" w:rsidR="0037476A" w:rsidRDefault="0037476A" w:rsidP="0037476A">
      <w:pPr>
        <w:spacing w:after="0" w:line="240" w:lineRule="auto"/>
      </w:pPr>
      <w:r>
        <w:separator/>
      </w:r>
    </w:p>
  </w:footnote>
  <w:footnote w:type="continuationSeparator" w:id="0">
    <w:p w14:paraId="288CDD7C" w14:textId="77777777" w:rsidR="0037476A" w:rsidRDefault="0037476A" w:rsidP="00374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775E"/>
    <w:multiLevelType w:val="hybridMultilevel"/>
    <w:tmpl w:val="413861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CC40D9"/>
    <w:multiLevelType w:val="hybridMultilevel"/>
    <w:tmpl w:val="F76A38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52B6B"/>
    <w:multiLevelType w:val="hybridMultilevel"/>
    <w:tmpl w:val="B01A45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452F1"/>
    <w:multiLevelType w:val="hybridMultilevel"/>
    <w:tmpl w:val="575A68D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6103B5"/>
    <w:multiLevelType w:val="hybridMultilevel"/>
    <w:tmpl w:val="C180E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C383A"/>
    <w:multiLevelType w:val="hybridMultilevel"/>
    <w:tmpl w:val="B3BCB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5135D"/>
    <w:multiLevelType w:val="hybridMultilevel"/>
    <w:tmpl w:val="206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43C9"/>
    <w:multiLevelType w:val="hybridMultilevel"/>
    <w:tmpl w:val="62945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652BF"/>
    <w:multiLevelType w:val="hybridMultilevel"/>
    <w:tmpl w:val="533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50037"/>
    <w:multiLevelType w:val="hybridMultilevel"/>
    <w:tmpl w:val="CC4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615">
    <w:abstractNumId w:val="8"/>
  </w:num>
  <w:num w:numId="2" w16cid:durableId="1273438659">
    <w:abstractNumId w:val="9"/>
  </w:num>
  <w:num w:numId="3" w16cid:durableId="1114639049">
    <w:abstractNumId w:val="6"/>
  </w:num>
  <w:num w:numId="4" w16cid:durableId="1184245681">
    <w:abstractNumId w:val="7"/>
  </w:num>
  <w:num w:numId="5" w16cid:durableId="582035559">
    <w:abstractNumId w:val="3"/>
  </w:num>
  <w:num w:numId="6" w16cid:durableId="1161893552">
    <w:abstractNumId w:val="0"/>
  </w:num>
  <w:num w:numId="7" w16cid:durableId="166751682">
    <w:abstractNumId w:val="5"/>
  </w:num>
  <w:num w:numId="8" w16cid:durableId="18819933">
    <w:abstractNumId w:val="2"/>
  </w:num>
  <w:num w:numId="9" w16cid:durableId="977343778">
    <w:abstractNumId w:val="4"/>
  </w:num>
  <w:num w:numId="10" w16cid:durableId="1566723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E6"/>
    <w:rsid w:val="00037D21"/>
    <w:rsid w:val="00052FE6"/>
    <w:rsid w:val="000E6DEE"/>
    <w:rsid w:val="00234715"/>
    <w:rsid w:val="00265358"/>
    <w:rsid w:val="002C4D98"/>
    <w:rsid w:val="002E2CFB"/>
    <w:rsid w:val="0037476A"/>
    <w:rsid w:val="006520F4"/>
    <w:rsid w:val="00667BF5"/>
    <w:rsid w:val="006B100C"/>
    <w:rsid w:val="00723C1C"/>
    <w:rsid w:val="00773FC4"/>
    <w:rsid w:val="00845E82"/>
    <w:rsid w:val="00853E47"/>
    <w:rsid w:val="0087007C"/>
    <w:rsid w:val="008C2D0E"/>
    <w:rsid w:val="0091214A"/>
    <w:rsid w:val="009133EB"/>
    <w:rsid w:val="009752B9"/>
    <w:rsid w:val="009D37F4"/>
    <w:rsid w:val="00C04213"/>
    <w:rsid w:val="00DD7D16"/>
    <w:rsid w:val="00DF64D8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FE3ED"/>
  <w15:chartTrackingRefBased/>
  <w15:docId w15:val="{C3779401-F260-4471-B110-1E32C8A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6A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6A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2025-10-10T13:54:00Z</dcterms:created>
  <dcterms:modified xsi:type="dcterms:W3CDTF">2025-10-10T13:54:00Z</dcterms:modified>
</cp:coreProperties>
</file>