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F40C8" w14:textId="62EB15C5" w:rsidR="0091214A" w:rsidRPr="004735ED" w:rsidRDefault="004735ED" w:rsidP="004735ED">
      <w:pPr>
        <w:jc w:val="center"/>
        <w:rPr>
          <w:b/>
          <w:bCs/>
          <w:sz w:val="32"/>
          <w:szCs w:val="32"/>
          <w:u w:val="single"/>
        </w:rPr>
      </w:pPr>
      <w:r w:rsidRPr="004735ED">
        <w:rPr>
          <w:b/>
          <w:bCs/>
          <w:sz w:val="32"/>
          <w:szCs w:val="32"/>
          <w:u w:val="single"/>
        </w:rPr>
        <w:t>„Nathan der Weise“ von Gotthold Ephraim Lessing</w:t>
      </w:r>
    </w:p>
    <w:p w14:paraId="27816986" w14:textId="7286B571" w:rsidR="004735ED" w:rsidRPr="004735ED" w:rsidRDefault="004735ED" w:rsidP="004735ED">
      <w:pPr>
        <w:jc w:val="center"/>
        <w:rPr>
          <w:b/>
          <w:bCs/>
          <w:sz w:val="32"/>
          <w:szCs w:val="32"/>
          <w:u w:val="single"/>
        </w:rPr>
      </w:pPr>
      <w:r w:rsidRPr="004735ED">
        <w:rPr>
          <w:b/>
          <w:bCs/>
          <w:sz w:val="32"/>
          <w:szCs w:val="32"/>
          <w:u w:val="single"/>
        </w:rPr>
        <w:t>den 27.02.2025</w:t>
      </w:r>
    </w:p>
    <w:p w14:paraId="4D26A9C7" w14:textId="120BF60A" w:rsidR="004735ED" w:rsidRPr="004735ED" w:rsidRDefault="004735ED" w:rsidP="004735ED">
      <w:pPr>
        <w:jc w:val="center"/>
        <w:rPr>
          <w:b/>
          <w:bCs/>
          <w:sz w:val="32"/>
          <w:szCs w:val="32"/>
          <w:u w:val="single"/>
        </w:rPr>
      </w:pPr>
      <w:r w:rsidRPr="004735ED">
        <w:rPr>
          <w:b/>
          <w:bCs/>
          <w:sz w:val="32"/>
          <w:szCs w:val="32"/>
          <w:u w:val="single"/>
        </w:rPr>
        <w:t xml:space="preserve">Bianca van der </w:t>
      </w:r>
      <w:proofErr w:type="spellStart"/>
      <w:r w:rsidRPr="004735ED">
        <w:rPr>
          <w:b/>
          <w:bCs/>
          <w:sz w:val="32"/>
          <w:szCs w:val="32"/>
          <w:u w:val="single"/>
        </w:rPr>
        <w:t>Walt</w:t>
      </w:r>
      <w:proofErr w:type="spellEnd"/>
      <w:r w:rsidRPr="004735ED">
        <w:rPr>
          <w:b/>
          <w:bCs/>
          <w:sz w:val="32"/>
          <w:szCs w:val="32"/>
          <w:u w:val="single"/>
        </w:rPr>
        <w:t xml:space="preserve"> &amp; Quin Barnard</w:t>
      </w:r>
    </w:p>
    <w:p w14:paraId="1591280D" w14:textId="35966B95" w:rsidR="004735ED" w:rsidRPr="004735ED" w:rsidRDefault="004735ED" w:rsidP="004735ED">
      <w:pPr>
        <w:rPr>
          <w:sz w:val="24"/>
          <w:szCs w:val="24"/>
        </w:rPr>
      </w:pPr>
      <w:r w:rsidRPr="004735ED">
        <w:rPr>
          <w:sz w:val="24"/>
          <w:szCs w:val="24"/>
        </w:rPr>
        <w:t>Hintergrund des Autors:</w:t>
      </w:r>
    </w:p>
    <w:p w14:paraId="25D4625B" w14:textId="3AC98B1A" w:rsidR="004735ED" w:rsidRPr="004735ED" w:rsidRDefault="004735ED" w:rsidP="004735ED">
      <w:pPr>
        <w:pStyle w:val="ListParagraph"/>
        <w:numPr>
          <w:ilvl w:val="0"/>
          <w:numId w:val="1"/>
        </w:numPr>
        <w:rPr>
          <w:sz w:val="24"/>
          <w:szCs w:val="24"/>
        </w:rPr>
      </w:pPr>
      <w:r w:rsidRPr="004735ED">
        <w:rPr>
          <w:sz w:val="24"/>
          <w:szCs w:val="24"/>
        </w:rPr>
        <w:t>Lessings Vater war theologisch</w:t>
      </w:r>
      <w:r w:rsidR="008527FE">
        <w:rPr>
          <w:sz w:val="24"/>
          <w:szCs w:val="24"/>
        </w:rPr>
        <w:t xml:space="preserve"> gebildeter</w:t>
      </w:r>
      <w:r w:rsidRPr="004735ED">
        <w:rPr>
          <w:sz w:val="24"/>
          <w:szCs w:val="24"/>
        </w:rPr>
        <w:t>, ehrgeiziger, lutherischer Pfarrer</w:t>
      </w:r>
    </w:p>
    <w:p w14:paraId="2AC322E3" w14:textId="102A75B6" w:rsidR="004735ED" w:rsidRDefault="004735ED" w:rsidP="004735ED">
      <w:pPr>
        <w:pStyle w:val="ListParagraph"/>
        <w:numPr>
          <w:ilvl w:val="0"/>
          <w:numId w:val="1"/>
        </w:numPr>
        <w:rPr>
          <w:sz w:val="24"/>
          <w:szCs w:val="24"/>
        </w:rPr>
      </w:pPr>
      <w:r w:rsidRPr="004735ED">
        <w:rPr>
          <w:sz w:val="24"/>
          <w:szCs w:val="24"/>
        </w:rPr>
        <w:t xml:space="preserve">Lessing sollte Pfarrer werden, </w:t>
      </w:r>
      <w:r w:rsidR="008527FE">
        <w:rPr>
          <w:sz w:val="24"/>
          <w:szCs w:val="24"/>
        </w:rPr>
        <w:t>wechselte aber sein Studium zur Literatur</w:t>
      </w:r>
    </w:p>
    <w:p w14:paraId="56089CA7" w14:textId="04F0584B" w:rsidR="004735ED" w:rsidRDefault="004735ED" w:rsidP="004735ED">
      <w:pPr>
        <w:pStyle w:val="ListParagraph"/>
        <w:numPr>
          <w:ilvl w:val="0"/>
          <w:numId w:val="1"/>
        </w:numPr>
        <w:rPr>
          <w:sz w:val="24"/>
          <w:szCs w:val="24"/>
        </w:rPr>
      </w:pPr>
      <w:r>
        <w:rPr>
          <w:sz w:val="24"/>
          <w:szCs w:val="24"/>
        </w:rPr>
        <w:t>War ein Freund von Moses Mendelssohn, der jüdischer Philosoph war</w:t>
      </w:r>
    </w:p>
    <w:p w14:paraId="7AF109D3" w14:textId="329ADDCB" w:rsidR="004735ED" w:rsidRPr="004735ED" w:rsidRDefault="004735ED" w:rsidP="004735ED">
      <w:pPr>
        <w:pStyle w:val="ListParagraph"/>
        <w:numPr>
          <w:ilvl w:val="0"/>
          <w:numId w:val="1"/>
        </w:numPr>
        <w:rPr>
          <w:sz w:val="24"/>
          <w:szCs w:val="24"/>
        </w:rPr>
      </w:pPr>
      <w:r>
        <w:rPr>
          <w:sz w:val="24"/>
          <w:szCs w:val="24"/>
        </w:rPr>
        <w:t xml:space="preserve">Engagierte sich für Toleranz </w:t>
      </w:r>
      <w:r w:rsidR="008527FE">
        <w:rPr>
          <w:sz w:val="24"/>
          <w:szCs w:val="24"/>
        </w:rPr>
        <w:t>gegenübe</w:t>
      </w:r>
      <w:r>
        <w:rPr>
          <w:sz w:val="24"/>
          <w:szCs w:val="24"/>
        </w:rPr>
        <w:t>r anderen Weltreligionen</w:t>
      </w:r>
    </w:p>
    <w:p w14:paraId="2E61EBB9" w14:textId="05401579" w:rsidR="004735ED" w:rsidRPr="004735ED" w:rsidRDefault="004735ED" w:rsidP="004735ED">
      <w:pPr>
        <w:rPr>
          <w:sz w:val="24"/>
          <w:szCs w:val="24"/>
        </w:rPr>
      </w:pPr>
      <w:r w:rsidRPr="004735ED">
        <w:rPr>
          <w:sz w:val="24"/>
          <w:szCs w:val="24"/>
        </w:rPr>
        <w:t>Hintergrund des Schreibstückes:</w:t>
      </w:r>
    </w:p>
    <w:p w14:paraId="22EB7B8E" w14:textId="1E94501B" w:rsidR="004735ED" w:rsidRDefault="004735ED" w:rsidP="004735ED">
      <w:pPr>
        <w:pStyle w:val="ListParagraph"/>
        <w:numPr>
          <w:ilvl w:val="0"/>
          <w:numId w:val="2"/>
        </w:numPr>
        <w:rPr>
          <w:sz w:val="24"/>
          <w:szCs w:val="24"/>
        </w:rPr>
      </w:pPr>
      <w:r w:rsidRPr="004735ED">
        <w:rPr>
          <w:sz w:val="24"/>
          <w:szCs w:val="24"/>
        </w:rPr>
        <w:t xml:space="preserve">Im Jahr 1779 </w:t>
      </w:r>
      <w:r w:rsidRPr="004735ED">
        <w:rPr>
          <w:sz w:val="24"/>
          <w:szCs w:val="24"/>
        </w:rPr>
        <w:t>veröffentlicht</w:t>
      </w:r>
      <w:r w:rsidRPr="004735ED">
        <w:rPr>
          <w:sz w:val="24"/>
          <w:szCs w:val="24"/>
        </w:rPr>
        <w:t xml:space="preserve"> worden</w:t>
      </w:r>
    </w:p>
    <w:p w14:paraId="1DF8B5F8" w14:textId="5DD0BE60" w:rsidR="004735ED" w:rsidRDefault="004735ED" w:rsidP="004735ED">
      <w:pPr>
        <w:pStyle w:val="ListParagraph"/>
        <w:numPr>
          <w:ilvl w:val="0"/>
          <w:numId w:val="2"/>
        </w:numPr>
        <w:rPr>
          <w:sz w:val="24"/>
          <w:szCs w:val="24"/>
        </w:rPr>
      </w:pPr>
      <w:r>
        <w:rPr>
          <w:sz w:val="24"/>
          <w:szCs w:val="24"/>
        </w:rPr>
        <w:t>Erstes weltanschauliches Ideendrama</w:t>
      </w:r>
    </w:p>
    <w:p w14:paraId="074E0A94" w14:textId="5F660A64" w:rsidR="004735ED" w:rsidRDefault="008527FE" w:rsidP="004735ED">
      <w:pPr>
        <w:pStyle w:val="ListParagraph"/>
        <w:numPr>
          <w:ilvl w:val="0"/>
          <w:numId w:val="2"/>
        </w:numPr>
        <w:rPr>
          <w:sz w:val="24"/>
          <w:szCs w:val="24"/>
        </w:rPr>
      </w:pPr>
      <w:r>
        <w:rPr>
          <w:sz w:val="24"/>
          <w:szCs w:val="24"/>
        </w:rPr>
        <w:t>Überwinder die traditionelle Trennung zwischen Tragödie und Komödie</w:t>
      </w:r>
    </w:p>
    <w:p w14:paraId="79CDBC5C" w14:textId="6166AE06" w:rsidR="008527FE" w:rsidRDefault="008527FE" w:rsidP="004735ED">
      <w:pPr>
        <w:pStyle w:val="ListParagraph"/>
        <w:numPr>
          <w:ilvl w:val="0"/>
          <w:numId w:val="2"/>
        </w:numPr>
        <w:rPr>
          <w:sz w:val="24"/>
          <w:szCs w:val="24"/>
        </w:rPr>
      </w:pPr>
      <w:r>
        <w:rPr>
          <w:sz w:val="24"/>
          <w:szCs w:val="24"/>
        </w:rPr>
        <w:t>Der Protagonist Nathan vertritt Mendelssohn</w:t>
      </w:r>
    </w:p>
    <w:p w14:paraId="4A619712" w14:textId="000DBB7A" w:rsidR="008527FE" w:rsidRDefault="008527FE" w:rsidP="004735ED">
      <w:pPr>
        <w:pStyle w:val="ListParagraph"/>
        <w:numPr>
          <w:ilvl w:val="0"/>
          <w:numId w:val="2"/>
        </w:numPr>
        <w:rPr>
          <w:sz w:val="24"/>
          <w:szCs w:val="24"/>
        </w:rPr>
      </w:pPr>
      <w:r>
        <w:rPr>
          <w:sz w:val="24"/>
          <w:szCs w:val="24"/>
        </w:rPr>
        <w:t>Findet während des dritten Kreuzzugs im Jahr 1192 in Jerusalem statt</w:t>
      </w:r>
    </w:p>
    <w:p w14:paraId="4B0EBD4A" w14:textId="66956914" w:rsidR="008527FE" w:rsidRDefault="008527FE" w:rsidP="008527FE">
      <w:pPr>
        <w:rPr>
          <w:sz w:val="24"/>
          <w:szCs w:val="24"/>
        </w:rPr>
      </w:pPr>
      <w:r>
        <w:rPr>
          <w:sz w:val="24"/>
          <w:szCs w:val="24"/>
        </w:rPr>
        <w:t>Inhalt:</w:t>
      </w:r>
    </w:p>
    <w:p w14:paraId="0071C336" w14:textId="36A2117C" w:rsidR="008527FE" w:rsidRDefault="008527FE" w:rsidP="008558FC">
      <w:pPr>
        <w:pStyle w:val="ListParagraph"/>
        <w:numPr>
          <w:ilvl w:val="0"/>
          <w:numId w:val="8"/>
        </w:numPr>
        <w:rPr>
          <w:sz w:val="24"/>
          <w:szCs w:val="24"/>
        </w:rPr>
      </w:pPr>
      <w:r>
        <w:rPr>
          <w:sz w:val="24"/>
          <w:szCs w:val="24"/>
        </w:rPr>
        <w:t xml:space="preserve">Nathan, ein reicher Jude, kehrt von einer Geschäftsreise nach Jerusalem </w:t>
      </w:r>
      <w:r>
        <w:rPr>
          <w:sz w:val="24"/>
          <w:szCs w:val="24"/>
        </w:rPr>
        <w:t>zurück</w:t>
      </w:r>
    </w:p>
    <w:p w14:paraId="5A278BBB" w14:textId="4228932E" w:rsidR="008527FE" w:rsidRDefault="008527FE" w:rsidP="008558FC">
      <w:pPr>
        <w:pStyle w:val="ListParagraph"/>
        <w:numPr>
          <w:ilvl w:val="0"/>
          <w:numId w:val="8"/>
        </w:numPr>
        <w:rPr>
          <w:sz w:val="24"/>
          <w:szCs w:val="24"/>
        </w:rPr>
      </w:pPr>
      <w:r>
        <w:rPr>
          <w:sz w:val="24"/>
          <w:szCs w:val="24"/>
        </w:rPr>
        <w:t>Recha, seine Adoptivtochter, wird von einem Tempelherrn vor dem Feuertod gerettet</w:t>
      </w:r>
    </w:p>
    <w:p w14:paraId="7DD86FDA" w14:textId="598F700B" w:rsidR="008527FE" w:rsidRDefault="000E78C6" w:rsidP="008558FC">
      <w:pPr>
        <w:pStyle w:val="ListParagraph"/>
        <w:numPr>
          <w:ilvl w:val="0"/>
          <w:numId w:val="8"/>
        </w:numPr>
        <w:rPr>
          <w:sz w:val="24"/>
          <w:szCs w:val="24"/>
        </w:rPr>
      </w:pPr>
      <w:r>
        <w:rPr>
          <w:sz w:val="24"/>
          <w:szCs w:val="24"/>
        </w:rPr>
        <w:t>Nathan bedankt sich beim Tempelherrn und lädt ihn in sein Haus ein, wo der Tempelherr sich in Recha verliebt</w:t>
      </w:r>
    </w:p>
    <w:p w14:paraId="053D969D" w14:textId="598281AE" w:rsidR="000E78C6" w:rsidRDefault="000E78C6" w:rsidP="008558FC">
      <w:pPr>
        <w:pStyle w:val="ListParagraph"/>
        <w:numPr>
          <w:ilvl w:val="0"/>
          <w:numId w:val="8"/>
        </w:numPr>
        <w:rPr>
          <w:sz w:val="24"/>
          <w:szCs w:val="24"/>
        </w:rPr>
      </w:pPr>
      <w:r>
        <w:rPr>
          <w:sz w:val="24"/>
          <w:szCs w:val="24"/>
        </w:rPr>
        <w:t>Sultan Saladin fragt Nathan nach der „wahren Religion“ und Nathan antwortet mit der Ringparabel</w:t>
      </w:r>
    </w:p>
    <w:p w14:paraId="6290A199" w14:textId="6FDFA44D" w:rsidR="008558FC" w:rsidRDefault="000E78C6" w:rsidP="008558FC">
      <w:pPr>
        <w:pStyle w:val="ListParagraph"/>
        <w:numPr>
          <w:ilvl w:val="0"/>
          <w:numId w:val="8"/>
        </w:numPr>
        <w:rPr>
          <w:sz w:val="24"/>
          <w:szCs w:val="24"/>
        </w:rPr>
      </w:pPr>
      <w:r>
        <w:rPr>
          <w:sz w:val="24"/>
          <w:szCs w:val="24"/>
        </w:rPr>
        <w:t>Bedeutung der Ringparabel</w:t>
      </w:r>
      <w:r w:rsidR="008558FC">
        <w:rPr>
          <w:sz w:val="24"/>
          <w:szCs w:val="24"/>
        </w:rPr>
        <w:t>:</w:t>
      </w:r>
    </w:p>
    <w:p w14:paraId="4FC8B3C8" w14:textId="77777777" w:rsidR="008558FC" w:rsidRDefault="008558FC" w:rsidP="008558FC">
      <w:pPr>
        <w:pStyle w:val="ListParagraph"/>
        <w:numPr>
          <w:ilvl w:val="1"/>
          <w:numId w:val="8"/>
        </w:numPr>
        <w:rPr>
          <w:sz w:val="24"/>
          <w:szCs w:val="24"/>
        </w:rPr>
      </w:pPr>
      <w:r>
        <w:rPr>
          <w:sz w:val="24"/>
          <w:szCs w:val="24"/>
        </w:rPr>
        <w:t>Die Ringe sind gleich. Alle Religionen haben den gleichen Wert und stehen nebeneinander</w:t>
      </w:r>
    </w:p>
    <w:p w14:paraId="61A5E82E" w14:textId="77777777" w:rsidR="008558FC" w:rsidRDefault="008558FC" w:rsidP="008558FC">
      <w:pPr>
        <w:pStyle w:val="ListParagraph"/>
        <w:numPr>
          <w:ilvl w:val="1"/>
          <w:numId w:val="8"/>
        </w:numPr>
        <w:rPr>
          <w:sz w:val="24"/>
          <w:szCs w:val="24"/>
        </w:rPr>
      </w:pPr>
      <w:r>
        <w:rPr>
          <w:sz w:val="24"/>
          <w:szCs w:val="24"/>
        </w:rPr>
        <w:t>Der Ring soll denjenigen, der ihn in Zuversicht trägt vor Gott und den Menschen angenehm machen. Die Religion (Theorie) selbst spiegelt nicht die Wahrheit wider, sondern die Ausführung des Glaubens (Praxis), deshalb kann jede Religion, an die man glaubt, als die „[wahre] Religion“ betrachtet werden</w:t>
      </w:r>
    </w:p>
    <w:p w14:paraId="6908B5D5" w14:textId="6EB86470" w:rsidR="000E78C6" w:rsidRDefault="008558FC" w:rsidP="000E78C6">
      <w:pPr>
        <w:pStyle w:val="ListParagraph"/>
        <w:numPr>
          <w:ilvl w:val="1"/>
          <w:numId w:val="8"/>
        </w:numPr>
        <w:rPr>
          <w:sz w:val="24"/>
          <w:szCs w:val="24"/>
        </w:rPr>
      </w:pPr>
      <w:r>
        <w:rPr>
          <w:sz w:val="24"/>
          <w:szCs w:val="24"/>
        </w:rPr>
        <w:t>Zurückliegende „graue Jahre“ in weit entfernte Zukunft „in tausend Jahren“ zeigt auf einen historischen Prozess hin, in dem die Intoleranz allmählich überwunden werden kann</w:t>
      </w:r>
    </w:p>
    <w:p w14:paraId="0CD54DF5" w14:textId="4B36FB16" w:rsidR="008558FC" w:rsidRDefault="008558FC" w:rsidP="008558FC">
      <w:pPr>
        <w:pStyle w:val="ListParagraph"/>
        <w:numPr>
          <w:ilvl w:val="0"/>
          <w:numId w:val="8"/>
        </w:numPr>
        <w:rPr>
          <w:sz w:val="24"/>
          <w:szCs w:val="24"/>
        </w:rPr>
      </w:pPr>
      <w:r>
        <w:rPr>
          <w:sz w:val="24"/>
          <w:szCs w:val="24"/>
        </w:rPr>
        <w:t xml:space="preserve">Wann der Tempelherr erfährt, dass Recha nicht Nathans Tochter ist, sondern ein christlich getauftes Waisenkind, wendet er sich an den Patriarchen von Jerusalem, der ihm erklärt, dass Nathan verbrannt werden soll und Recha wieder als Christin </w:t>
      </w:r>
      <w:r w:rsidR="00652A2F">
        <w:rPr>
          <w:sz w:val="24"/>
          <w:szCs w:val="24"/>
        </w:rPr>
        <w:t>erzogen werden muss</w:t>
      </w:r>
    </w:p>
    <w:p w14:paraId="3E8F71BC" w14:textId="6DC11EB3" w:rsidR="00652A2F" w:rsidRDefault="00652A2F" w:rsidP="008558FC">
      <w:pPr>
        <w:pStyle w:val="ListParagraph"/>
        <w:numPr>
          <w:ilvl w:val="0"/>
          <w:numId w:val="8"/>
        </w:numPr>
        <w:rPr>
          <w:sz w:val="24"/>
          <w:szCs w:val="24"/>
        </w:rPr>
      </w:pPr>
      <w:r>
        <w:rPr>
          <w:sz w:val="24"/>
          <w:szCs w:val="24"/>
        </w:rPr>
        <w:t>Nathan überzeugt endlich alle, tolerant zu sein</w:t>
      </w:r>
    </w:p>
    <w:p w14:paraId="7F0B5333" w14:textId="52C1D9CD" w:rsidR="00652A2F" w:rsidRDefault="00652A2F" w:rsidP="008558FC">
      <w:pPr>
        <w:pStyle w:val="ListParagraph"/>
        <w:numPr>
          <w:ilvl w:val="0"/>
          <w:numId w:val="8"/>
        </w:numPr>
        <w:rPr>
          <w:sz w:val="24"/>
          <w:szCs w:val="24"/>
        </w:rPr>
      </w:pPr>
      <w:r>
        <w:rPr>
          <w:sz w:val="24"/>
          <w:szCs w:val="24"/>
        </w:rPr>
        <w:lastRenderedPageBreak/>
        <w:t>Recha und der Tempelherr sind beide die Kinder des verstorbenen Bruders Saladins. Alle finden dies zusammen raus und jauchzen</w:t>
      </w:r>
    </w:p>
    <w:p w14:paraId="73A76FB3" w14:textId="326080B4" w:rsidR="00652A2F" w:rsidRDefault="00652A2F" w:rsidP="00652A2F">
      <w:pPr>
        <w:rPr>
          <w:sz w:val="24"/>
          <w:szCs w:val="24"/>
        </w:rPr>
      </w:pPr>
      <w:r>
        <w:rPr>
          <w:sz w:val="24"/>
          <w:szCs w:val="24"/>
        </w:rPr>
        <w:t>Effekt:</w:t>
      </w:r>
    </w:p>
    <w:p w14:paraId="2DB974E4" w14:textId="64072115" w:rsidR="00652A2F" w:rsidRDefault="00F56396" w:rsidP="00F56396">
      <w:pPr>
        <w:pStyle w:val="ListParagraph"/>
        <w:numPr>
          <w:ilvl w:val="0"/>
          <w:numId w:val="10"/>
        </w:numPr>
        <w:rPr>
          <w:sz w:val="24"/>
          <w:szCs w:val="24"/>
        </w:rPr>
      </w:pPr>
      <w:r w:rsidRPr="00F56396">
        <w:rPr>
          <w:sz w:val="24"/>
          <w:szCs w:val="24"/>
        </w:rPr>
        <w:t xml:space="preserve">Nathan ist einer der zwei Hauptjuden auf der deutschen Bühne, der andere ist </w:t>
      </w:r>
      <w:r>
        <w:rPr>
          <w:sz w:val="24"/>
          <w:szCs w:val="24"/>
        </w:rPr>
        <w:t>Shakespeares Shylock</w:t>
      </w:r>
    </w:p>
    <w:p w14:paraId="3BD2785C" w14:textId="49A51464" w:rsidR="00F56396" w:rsidRDefault="00F56396" w:rsidP="00F56396">
      <w:pPr>
        <w:pStyle w:val="ListParagraph"/>
        <w:numPr>
          <w:ilvl w:val="0"/>
          <w:numId w:val="10"/>
        </w:numPr>
        <w:rPr>
          <w:sz w:val="24"/>
          <w:szCs w:val="24"/>
        </w:rPr>
      </w:pPr>
      <w:r>
        <w:rPr>
          <w:sz w:val="24"/>
          <w:szCs w:val="24"/>
        </w:rPr>
        <w:t xml:space="preserve">„The </w:t>
      </w:r>
      <w:proofErr w:type="spellStart"/>
      <w:r>
        <w:rPr>
          <w:sz w:val="24"/>
          <w:szCs w:val="24"/>
        </w:rPr>
        <w:t>conventional</w:t>
      </w:r>
      <w:proofErr w:type="spellEnd"/>
      <w:r>
        <w:rPr>
          <w:sz w:val="24"/>
          <w:szCs w:val="24"/>
        </w:rPr>
        <w:t xml:space="preserve"> </w:t>
      </w:r>
      <w:proofErr w:type="spellStart"/>
      <w:r>
        <w:rPr>
          <w:sz w:val="24"/>
          <w:szCs w:val="24"/>
        </w:rPr>
        <w:t>assumption</w:t>
      </w:r>
      <w:proofErr w:type="spellEnd"/>
      <w:r>
        <w:rPr>
          <w:sz w:val="24"/>
          <w:szCs w:val="24"/>
        </w:rPr>
        <w:t xml:space="preserve"> </w:t>
      </w:r>
      <w:proofErr w:type="spellStart"/>
      <w:r>
        <w:rPr>
          <w:sz w:val="24"/>
          <w:szCs w:val="24"/>
        </w:rPr>
        <w:t>holds</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ever</w:t>
      </w:r>
      <w:proofErr w:type="spellEnd"/>
      <w:r>
        <w:rPr>
          <w:sz w:val="24"/>
          <w:szCs w:val="24"/>
        </w:rPr>
        <w:t xml:space="preserve"> </w:t>
      </w:r>
      <w:proofErr w:type="spellStart"/>
      <w:r>
        <w:rPr>
          <w:sz w:val="24"/>
          <w:szCs w:val="24"/>
        </w:rPr>
        <w:t>since</w:t>
      </w:r>
      <w:proofErr w:type="spellEnd"/>
      <w:r>
        <w:rPr>
          <w:sz w:val="24"/>
          <w:szCs w:val="24"/>
        </w:rPr>
        <w:t xml:space="preserve"> Lessing </w:t>
      </w:r>
      <w:proofErr w:type="spellStart"/>
      <w:r>
        <w:rPr>
          <w:sz w:val="24"/>
          <w:szCs w:val="24"/>
        </w:rPr>
        <w:t>published</w:t>
      </w:r>
      <w:proofErr w:type="spellEnd"/>
      <w:r>
        <w:rPr>
          <w:sz w:val="24"/>
          <w:szCs w:val="24"/>
        </w:rPr>
        <w:t xml:space="preserve"> </w:t>
      </w:r>
      <w:r>
        <w:rPr>
          <w:i/>
          <w:iCs/>
          <w:sz w:val="24"/>
          <w:szCs w:val="24"/>
        </w:rPr>
        <w:t xml:space="preserve">Nathan </w:t>
      </w:r>
      <w:proofErr w:type="spellStart"/>
      <w:r>
        <w:rPr>
          <w:i/>
          <w:iCs/>
          <w:sz w:val="24"/>
          <w:szCs w:val="24"/>
        </w:rPr>
        <w:t>the</w:t>
      </w:r>
      <w:proofErr w:type="spellEnd"/>
      <w:r>
        <w:rPr>
          <w:i/>
          <w:iCs/>
          <w:sz w:val="24"/>
          <w:szCs w:val="24"/>
        </w:rPr>
        <w:t xml:space="preserve"> Wise</w:t>
      </w:r>
      <w:r>
        <w:rPr>
          <w:sz w:val="24"/>
          <w:szCs w:val="24"/>
        </w:rPr>
        <w:t xml:space="preserve"> </w:t>
      </w:r>
      <w:proofErr w:type="gramStart"/>
      <w:r>
        <w:rPr>
          <w:sz w:val="24"/>
          <w:szCs w:val="24"/>
        </w:rPr>
        <w:t>in 1779</w:t>
      </w:r>
      <w:proofErr w:type="gramEnd"/>
      <w:r>
        <w:rPr>
          <w:sz w:val="24"/>
          <w:szCs w:val="24"/>
        </w:rPr>
        <w:t xml:space="preserve">, German Jews </w:t>
      </w:r>
      <w:proofErr w:type="spellStart"/>
      <w:r>
        <w:rPr>
          <w:sz w:val="24"/>
          <w:szCs w:val="24"/>
        </w:rPr>
        <w:t>embraced</w:t>
      </w:r>
      <w:proofErr w:type="spellEnd"/>
      <w:r>
        <w:rPr>
          <w:sz w:val="24"/>
          <w:szCs w:val="24"/>
        </w:rPr>
        <w:t xml:space="preserve"> </w:t>
      </w:r>
      <w:proofErr w:type="spellStart"/>
      <w:r>
        <w:rPr>
          <w:sz w:val="24"/>
          <w:szCs w:val="24"/>
        </w:rPr>
        <w:t>his</w:t>
      </w:r>
      <w:proofErr w:type="spellEnd"/>
      <w:r>
        <w:rPr>
          <w:sz w:val="24"/>
          <w:szCs w:val="24"/>
        </w:rPr>
        <w:t xml:space="preserve"> </w:t>
      </w:r>
      <w:proofErr w:type="spellStart"/>
      <w:r>
        <w:rPr>
          <w:sz w:val="24"/>
          <w:szCs w:val="24"/>
        </w:rPr>
        <w:t>eponymous</w:t>
      </w:r>
      <w:proofErr w:type="spellEnd"/>
      <w:r>
        <w:rPr>
          <w:sz w:val="24"/>
          <w:szCs w:val="24"/>
        </w:rPr>
        <w:t xml:space="preserve"> </w:t>
      </w:r>
      <w:proofErr w:type="spellStart"/>
      <w:r>
        <w:rPr>
          <w:sz w:val="24"/>
          <w:szCs w:val="24"/>
        </w:rPr>
        <w:t>protagonist</w:t>
      </w:r>
      <w:proofErr w:type="spellEnd"/>
      <w:r>
        <w:rPr>
          <w:sz w:val="24"/>
          <w:szCs w:val="24"/>
        </w:rPr>
        <w:t xml:space="preserve"> </w:t>
      </w:r>
      <w:proofErr w:type="spellStart"/>
      <w:r>
        <w:rPr>
          <w:sz w:val="24"/>
          <w:szCs w:val="24"/>
        </w:rPr>
        <w:t>as</w:t>
      </w:r>
      <w:proofErr w:type="spellEnd"/>
      <w:r>
        <w:rPr>
          <w:sz w:val="24"/>
          <w:szCs w:val="24"/>
        </w:rPr>
        <w:t xml:space="preserve"> a </w:t>
      </w:r>
      <w:proofErr w:type="spellStart"/>
      <w:r>
        <w:rPr>
          <w:sz w:val="24"/>
          <w:szCs w:val="24"/>
        </w:rPr>
        <w:t>Jewish</w:t>
      </w:r>
      <w:proofErr w:type="spellEnd"/>
      <w:r>
        <w:rPr>
          <w:sz w:val="24"/>
          <w:szCs w:val="24"/>
        </w:rPr>
        <w:t xml:space="preserve"> </w:t>
      </w:r>
      <w:proofErr w:type="spellStart"/>
      <w:r>
        <w:rPr>
          <w:sz w:val="24"/>
          <w:szCs w:val="24"/>
        </w:rPr>
        <w:t>emancipatory</w:t>
      </w:r>
      <w:proofErr w:type="spellEnd"/>
      <w:r>
        <w:rPr>
          <w:sz w:val="24"/>
          <w:szCs w:val="24"/>
        </w:rPr>
        <w:t xml:space="preserve"> Ideal“ </w:t>
      </w:r>
    </w:p>
    <w:p w14:paraId="34D32F9B" w14:textId="7B2E85E8" w:rsidR="00B33339" w:rsidRDefault="00B33339" w:rsidP="00F56396">
      <w:pPr>
        <w:pStyle w:val="ListParagraph"/>
        <w:numPr>
          <w:ilvl w:val="0"/>
          <w:numId w:val="10"/>
        </w:numPr>
        <w:rPr>
          <w:sz w:val="24"/>
          <w:szCs w:val="24"/>
        </w:rPr>
      </w:pPr>
      <w:r>
        <w:rPr>
          <w:sz w:val="24"/>
          <w:szCs w:val="24"/>
        </w:rPr>
        <w:t>Die Ringparabel war seit 1779 ein Zeichen für die friedsame Wettbewerb zwischen die abrahamische Religionen</w:t>
      </w:r>
    </w:p>
    <w:p w14:paraId="5EC196ED" w14:textId="53F880BF" w:rsidR="00B33339" w:rsidRDefault="00B33339" w:rsidP="00B33339">
      <w:pPr>
        <w:rPr>
          <w:sz w:val="24"/>
          <w:szCs w:val="24"/>
        </w:rPr>
      </w:pPr>
      <w:r>
        <w:rPr>
          <w:sz w:val="24"/>
          <w:szCs w:val="24"/>
        </w:rPr>
        <w:t>Beitrag zur Aufklärung:</w:t>
      </w:r>
    </w:p>
    <w:p w14:paraId="09596DF9" w14:textId="40550EF5" w:rsidR="00B33339" w:rsidRDefault="00B33339" w:rsidP="00B33339">
      <w:pPr>
        <w:pStyle w:val="ListParagraph"/>
        <w:numPr>
          <w:ilvl w:val="0"/>
          <w:numId w:val="12"/>
        </w:numPr>
        <w:rPr>
          <w:sz w:val="24"/>
          <w:szCs w:val="24"/>
        </w:rPr>
      </w:pPr>
      <w:r>
        <w:rPr>
          <w:sz w:val="24"/>
          <w:szCs w:val="24"/>
        </w:rPr>
        <w:t>„Hauptteilnehmer am Begründungswerke der jüdischen Reformation“</w:t>
      </w:r>
    </w:p>
    <w:p w14:paraId="16F1A68D" w14:textId="77777777" w:rsidR="00B33339" w:rsidRDefault="00B33339" w:rsidP="00B33339">
      <w:pPr>
        <w:rPr>
          <w:sz w:val="24"/>
          <w:szCs w:val="24"/>
        </w:rPr>
      </w:pPr>
    </w:p>
    <w:p w14:paraId="2E6A999E" w14:textId="07C4D6F2" w:rsidR="00B33339" w:rsidRDefault="00B33339" w:rsidP="00B33339">
      <w:pPr>
        <w:rPr>
          <w:b/>
          <w:bCs/>
          <w:sz w:val="24"/>
          <w:szCs w:val="24"/>
        </w:rPr>
      </w:pPr>
      <w:r>
        <w:rPr>
          <w:b/>
          <w:bCs/>
          <w:sz w:val="24"/>
          <w:szCs w:val="24"/>
        </w:rPr>
        <w:t>Quellen:</w:t>
      </w:r>
    </w:p>
    <w:p w14:paraId="5530F240" w14:textId="77777777" w:rsidR="00981AD6" w:rsidRPr="00981AD6" w:rsidRDefault="00981AD6" w:rsidP="00981AD6">
      <w:pPr>
        <w:pStyle w:val="ListParagraph"/>
        <w:numPr>
          <w:ilvl w:val="0"/>
          <w:numId w:val="12"/>
        </w:numPr>
        <w:rPr>
          <w:b/>
          <w:bCs/>
          <w:sz w:val="24"/>
          <w:szCs w:val="24"/>
        </w:rPr>
      </w:pPr>
      <w:r>
        <w:rPr>
          <w:sz w:val="24"/>
          <w:szCs w:val="24"/>
        </w:rPr>
        <w:t xml:space="preserve">Geller, Jay. </w:t>
      </w:r>
      <w:proofErr w:type="spellStart"/>
      <w:r>
        <w:rPr>
          <w:sz w:val="24"/>
          <w:szCs w:val="24"/>
        </w:rPr>
        <w:t>Better</w:t>
      </w:r>
      <w:proofErr w:type="spellEnd"/>
      <w:r>
        <w:rPr>
          <w:sz w:val="24"/>
          <w:szCs w:val="24"/>
        </w:rPr>
        <w:t xml:space="preserve"> „A Well-</w:t>
      </w:r>
      <w:proofErr w:type="spellStart"/>
      <w:r>
        <w:rPr>
          <w:sz w:val="24"/>
          <w:szCs w:val="24"/>
        </w:rPr>
        <w:t>Trained</w:t>
      </w:r>
      <w:proofErr w:type="spellEnd"/>
      <w:r>
        <w:rPr>
          <w:sz w:val="24"/>
          <w:szCs w:val="24"/>
        </w:rPr>
        <w:t xml:space="preserve"> </w:t>
      </w:r>
      <w:proofErr w:type="spellStart"/>
      <w:r>
        <w:rPr>
          <w:sz w:val="24"/>
          <w:szCs w:val="24"/>
        </w:rPr>
        <w:t>Werewolf</w:t>
      </w:r>
      <w:proofErr w:type="spellEnd"/>
      <w:r>
        <w:rPr>
          <w:sz w:val="24"/>
          <w:szCs w:val="24"/>
        </w:rPr>
        <w:t xml:space="preserve">“ </w:t>
      </w:r>
      <w:proofErr w:type="spellStart"/>
      <w:r>
        <w:rPr>
          <w:sz w:val="24"/>
          <w:szCs w:val="24"/>
        </w:rPr>
        <w:t>than</w:t>
      </w:r>
      <w:proofErr w:type="spellEnd"/>
      <w:r>
        <w:rPr>
          <w:sz w:val="24"/>
          <w:szCs w:val="24"/>
        </w:rPr>
        <w:t xml:space="preserve"> „A </w:t>
      </w:r>
      <w:proofErr w:type="spellStart"/>
      <w:r>
        <w:rPr>
          <w:sz w:val="24"/>
          <w:szCs w:val="24"/>
        </w:rPr>
        <w:t>Jewish</w:t>
      </w:r>
      <w:proofErr w:type="spellEnd"/>
      <w:r>
        <w:rPr>
          <w:sz w:val="24"/>
          <w:szCs w:val="24"/>
        </w:rPr>
        <w:t xml:space="preserve"> Wolf in </w:t>
      </w:r>
      <w:proofErr w:type="spellStart"/>
      <w:r>
        <w:rPr>
          <w:sz w:val="24"/>
          <w:szCs w:val="24"/>
        </w:rPr>
        <w:t>Philosophical</w:t>
      </w:r>
      <w:proofErr w:type="spellEnd"/>
      <w:r>
        <w:rPr>
          <w:sz w:val="24"/>
          <w:szCs w:val="24"/>
        </w:rPr>
        <w:t xml:space="preserve"> </w:t>
      </w:r>
      <w:proofErr w:type="spellStart"/>
      <w:r>
        <w:rPr>
          <w:sz w:val="24"/>
          <w:szCs w:val="24"/>
        </w:rPr>
        <w:t>Sheep’s</w:t>
      </w:r>
      <w:proofErr w:type="spellEnd"/>
      <w:r>
        <w:rPr>
          <w:sz w:val="24"/>
          <w:szCs w:val="24"/>
        </w:rPr>
        <w:t xml:space="preserve"> </w:t>
      </w:r>
      <w:proofErr w:type="spellStart"/>
      <w:r>
        <w:rPr>
          <w:sz w:val="24"/>
          <w:szCs w:val="24"/>
        </w:rPr>
        <w:t>Clothing</w:t>
      </w:r>
      <w:proofErr w:type="spellEnd"/>
      <w:r>
        <w:rPr>
          <w:sz w:val="24"/>
          <w:szCs w:val="24"/>
        </w:rPr>
        <w:t xml:space="preserve">“? In: </w:t>
      </w:r>
      <w:proofErr w:type="spellStart"/>
      <w:r>
        <w:rPr>
          <w:sz w:val="24"/>
          <w:szCs w:val="24"/>
        </w:rPr>
        <w:t>Prooftexts</w:t>
      </w:r>
      <w:proofErr w:type="spellEnd"/>
      <w:r>
        <w:rPr>
          <w:sz w:val="24"/>
          <w:szCs w:val="24"/>
        </w:rPr>
        <w:t xml:space="preserve"> 40 (2023), H. 2, S. 94-116</w:t>
      </w:r>
    </w:p>
    <w:p w14:paraId="5F3CE32D" w14:textId="77777777" w:rsidR="00981AD6" w:rsidRPr="00B33339" w:rsidRDefault="00981AD6" w:rsidP="00981AD6">
      <w:pPr>
        <w:pStyle w:val="ListParagraph"/>
        <w:numPr>
          <w:ilvl w:val="0"/>
          <w:numId w:val="12"/>
        </w:numPr>
        <w:rPr>
          <w:b/>
          <w:bCs/>
          <w:sz w:val="24"/>
          <w:szCs w:val="24"/>
        </w:rPr>
      </w:pPr>
      <w:r>
        <w:rPr>
          <w:sz w:val="24"/>
          <w:szCs w:val="24"/>
        </w:rPr>
        <w:t xml:space="preserve">Kohler, George: „The Pattern </w:t>
      </w:r>
      <w:proofErr w:type="spellStart"/>
      <w:r>
        <w:rPr>
          <w:sz w:val="24"/>
          <w:szCs w:val="24"/>
        </w:rPr>
        <w:t>for</w:t>
      </w:r>
      <w:proofErr w:type="spellEnd"/>
      <w:r>
        <w:rPr>
          <w:sz w:val="24"/>
          <w:szCs w:val="24"/>
        </w:rPr>
        <w:t xml:space="preserve"> </w:t>
      </w:r>
      <w:proofErr w:type="spellStart"/>
      <w:r>
        <w:rPr>
          <w:sz w:val="24"/>
          <w:szCs w:val="24"/>
        </w:rPr>
        <w:t>Jewish</w:t>
      </w:r>
      <w:proofErr w:type="spellEnd"/>
      <w:r>
        <w:rPr>
          <w:sz w:val="24"/>
          <w:szCs w:val="24"/>
        </w:rPr>
        <w:t xml:space="preserve"> Reformation“: The Impact </w:t>
      </w:r>
      <w:proofErr w:type="spellStart"/>
      <w:r>
        <w:rPr>
          <w:sz w:val="24"/>
          <w:szCs w:val="24"/>
        </w:rPr>
        <w:t>of</w:t>
      </w:r>
      <w:proofErr w:type="spellEnd"/>
      <w:r>
        <w:rPr>
          <w:sz w:val="24"/>
          <w:szCs w:val="24"/>
        </w:rPr>
        <w:t xml:space="preserve"> Lessing on </w:t>
      </w:r>
      <w:proofErr w:type="spellStart"/>
      <w:r>
        <w:rPr>
          <w:sz w:val="24"/>
          <w:szCs w:val="24"/>
        </w:rPr>
        <w:t>Nineteenth</w:t>
      </w:r>
      <w:proofErr w:type="spellEnd"/>
      <w:r>
        <w:rPr>
          <w:sz w:val="24"/>
          <w:szCs w:val="24"/>
        </w:rPr>
        <w:t xml:space="preserve">-Century German </w:t>
      </w:r>
      <w:proofErr w:type="spellStart"/>
      <w:r>
        <w:rPr>
          <w:sz w:val="24"/>
          <w:szCs w:val="24"/>
        </w:rPr>
        <w:t>Jewish</w:t>
      </w:r>
      <w:proofErr w:type="spellEnd"/>
      <w:r>
        <w:rPr>
          <w:sz w:val="24"/>
          <w:szCs w:val="24"/>
        </w:rPr>
        <w:t xml:space="preserve"> </w:t>
      </w:r>
      <w:proofErr w:type="spellStart"/>
      <w:r>
        <w:rPr>
          <w:sz w:val="24"/>
          <w:szCs w:val="24"/>
        </w:rPr>
        <w:t>Religious</w:t>
      </w:r>
      <w:proofErr w:type="spellEnd"/>
      <w:r>
        <w:rPr>
          <w:sz w:val="24"/>
          <w:szCs w:val="24"/>
        </w:rPr>
        <w:t xml:space="preserve"> </w:t>
      </w:r>
      <w:proofErr w:type="spellStart"/>
      <w:r>
        <w:rPr>
          <w:sz w:val="24"/>
          <w:szCs w:val="24"/>
        </w:rPr>
        <w:t>Thought</w:t>
      </w:r>
      <w:proofErr w:type="spellEnd"/>
      <w:r>
        <w:rPr>
          <w:sz w:val="24"/>
          <w:szCs w:val="24"/>
        </w:rPr>
        <w:t xml:space="preserve">. In: Harvard </w:t>
      </w:r>
      <w:proofErr w:type="spellStart"/>
      <w:r>
        <w:rPr>
          <w:sz w:val="24"/>
          <w:szCs w:val="24"/>
        </w:rPr>
        <w:t>Theological</w:t>
      </w:r>
      <w:proofErr w:type="spellEnd"/>
      <w:r>
        <w:rPr>
          <w:sz w:val="24"/>
          <w:szCs w:val="24"/>
        </w:rPr>
        <w:t xml:space="preserve"> Review 113 (2020). H. 2. S. 263-284</w:t>
      </w:r>
    </w:p>
    <w:p w14:paraId="53AF8ACE" w14:textId="37A5F864" w:rsidR="00B33339" w:rsidRPr="00981AD6" w:rsidRDefault="00D14A50" w:rsidP="00981AD6">
      <w:pPr>
        <w:pStyle w:val="ListParagraph"/>
        <w:numPr>
          <w:ilvl w:val="0"/>
          <w:numId w:val="12"/>
        </w:numPr>
        <w:rPr>
          <w:b/>
          <w:bCs/>
          <w:sz w:val="24"/>
          <w:szCs w:val="24"/>
        </w:rPr>
      </w:pPr>
      <w:r w:rsidRPr="00981AD6">
        <w:rPr>
          <w:sz w:val="24"/>
          <w:szCs w:val="24"/>
        </w:rPr>
        <w:t>Lessing, Gotthold Ephraim: Nathan der Weise</w:t>
      </w:r>
      <w:r w:rsidR="00566A10" w:rsidRPr="00981AD6">
        <w:rPr>
          <w:sz w:val="24"/>
          <w:szCs w:val="24"/>
        </w:rPr>
        <w:t>. In: Gutsche, Hugo (</w:t>
      </w:r>
      <w:proofErr w:type="spellStart"/>
      <w:r w:rsidR="00566A10" w:rsidRPr="00981AD6">
        <w:rPr>
          <w:sz w:val="24"/>
          <w:szCs w:val="24"/>
        </w:rPr>
        <w:t>Hg</w:t>
      </w:r>
      <w:proofErr w:type="spellEnd"/>
      <w:r w:rsidR="00566A10" w:rsidRPr="00981AD6">
        <w:rPr>
          <w:sz w:val="24"/>
          <w:szCs w:val="24"/>
        </w:rPr>
        <w:t>.): Nathan der Weise, Ein Dramatisches Gedicht in Fünf Aufzügen. Mit Historischer Orientierung, Gang der Handlung, Charakterbildern und Erläuterungen. Pretoria 1955.</w:t>
      </w:r>
    </w:p>
    <w:p w14:paraId="0F41DC20" w14:textId="3DE4187A" w:rsidR="00981AD6" w:rsidRPr="00B33339" w:rsidRDefault="00981AD6" w:rsidP="00981AD6">
      <w:pPr>
        <w:pStyle w:val="ListParagraph"/>
        <w:rPr>
          <w:b/>
          <w:bCs/>
          <w:sz w:val="24"/>
          <w:szCs w:val="24"/>
        </w:rPr>
      </w:pPr>
    </w:p>
    <w:sectPr w:rsidR="00981AD6" w:rsidRPr="00B33339" w:rsidSect="00870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B6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B4426F"/>
    <w:multiLevelType w:val="hybridMultilevel"/>
    <w:tmpl w:val="E9724E7A"/>
    <w:lvl w:ilvl="0" w:tplc="FFFFFFFF">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3375E3"/>
    <w:multiLevelType w:val="hybridMultilevel"/>
    <w:tmpl w:val="8900685A"/>
    <w:lvl w:ilvl="0" w:tplc="0407000F">
      <w:start w:val="1"/>
      <w:numFmt w:val="decimal"/>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3" w15:restartNumberingAfterBreak="0">
    <w:nsid w:val="24ED4989"/>
    <w:multiLevelType w:val="multilevel"/>
    <w:tmpl w:val="839220B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8B2652E"/>
    <w:multiLevelType w:val="hybridMultilevel"/>
    <w:tmpl w:val="B6BCCB52"/>
    <w:lvl w:ilvl="0" w:tplc="4E7A3150">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56237B"/>
    <w:multiLevelType w:val="multilevel"/>
    <w:tmpl w:val="839220B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C1A3D08"/>
    <w:multiLevelType w:val="hybridMultilevel"/>
    <w:tmpl w:val="2CB48296"/>
    <w:lvl w:ilvl="0" w:tplc="4E7A315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1D34C30"/>
    <w:multiLevelType w:val="multilevel"/>
    <w:tmpl w:val="839220B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44B03A7"/>
    <w:multiLevelType w:val="hybridMultilevel"/>
    <w:tmpl w:val="8B140B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D426498"/>
    <w:multiLevelType w:val="multilevel"/>
    <w:tmpl w:val="839220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C1C1855"/>
    <w:multiLevelType w:val="hybridMultilevel"/>
    <w:tmpl w:val="4508A7C6"/>
    <w:lvl w:ilvl="0" w:tplc="4E7A315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1025579">
    <w:abstractNumId w:val="6"/>
  </w:num>
  <w:num w:numId="2" w16cid:durableId="1563562384">
    <w:abstractNumId w:val="10"/>
  </w:num>
  <w:num w:numId="3" w16cid:durableId="996496947">
    <w:abstractNumId w:val="4"/>
  </w:num>
  <w:num w:numId="4" w16cid:durableId="1504398013">
    <w:abstractNumId w:val="1"/>
  </w:num>
  <w:num w:numId="5" w16cid:durableId="1356737701">
    <w:abstractNumId w:val="0"/>
  </w:num>
  <w:num w:numId="6" w16cid:durableId="853761906">
    <w:abstractNumId w:val="9"/>
  </w:num>
  <w:num w:numId="7" w16cid:durableId="344282375">
    <w:abstractNumId w:val="9"/>
    <w:lvlOverride w:ilvl="0">
      <w:lvl w:ilvl="0">
        <w:start w:val="1"/>
        <w:numFmt w:val="bullet"/>
        <w:lvlText w:val=""/>
        <w:lvlJc w:val="left"/>
        <w:pPr>
          <w:ind w:left="720" w:hanging="360"/>
        </w:pPr>
        <w:rPr>
          <w:rFonts w:ascii="Symbol" w:hAnsi="Symbol" w:hint="default"/>
        </w:rPr>
      </w:lvl>
    </w:lvlOverride>
    <w:lvlOverride w:ilvl="1">
      <w:lvl w:ilvl="1">
        <w:start w:val="1"/>
        <w:numFmt w:val="decimal"/>
        <w:lvlText w:val="%2"/>
        <w:lvlJc w:val="left"/>
        <w:pPr>
          <w:ind w:left="1440" w:hanging="360"/>
        </w:pPr>
        <w:rPr>
          <w:rFonts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8" w16cid:durableId="394208265">
    <w:abstractNumId w:val="5"/>
  </w:num>
  <w:num w:numId="9" w16cid:durableId="1394739280">
    <w:abstractNumId w:val="2"/>
  </w:num>
  <w:num w:numId="10" w16cid:durableId="1384788313">
    <w:abstractNumId w:val="7"/>
  </w:num>
  <w:num w:numId="11" w16cid:durableId="511188602">
    <w:abstractNumId w:val="8"/>
  </w:num>
  <w:num w:numId="12" w16cid:durableId="1964463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ED"/>
    <w:rsid w:val="000E78C6"/>
    <w:rsid w:val="00265358"/>
    <w:rsid w:val="002C4D98"/>
    <w:rsid w:val="004735ED"/>
    <w:rsid w:val="00566A10"/>
    <w:rsid w:val="00652A2F"/>
    <w:rsid w:val="00696A94"/>
    <w:rsid w:val="006B100C"/>
    <w:rsid w:val="008527FE"/>
    <w:rsid w:val="008558FC"/>
    <w:rsid w:val="0087007C"/>
    <w:rsid w:val="00910A36"/>
    <w:rsid w:val="0091214A"/>
    <w:rsid w:val="00981AD6"/>
    <w:rsid w:val="009D37F4"/>
    <w:rsid w:val="00B33339"/>
    <w:rsid w:val="00D14A50"/>
    <w:rsid w:val="00DF64D8"/>
    <w:rsid w:val="00F563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0C3C"/>
  <w15:chartTrackingRefBased/>
  <w15:docId w15:val="{6D3F6F71-A0FA-4C1E-9061-1D07EC71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5ED"/>
    <w:rPr>
      <w:rFonts w:eastAsiaTheme="majorEastAsia" w:cstheme="majorBidi"/>
      <w:color w:val="272727" w:themeColor="text1" w:themeTint="D8"/>
    </w:rPr>
  </w:style>
  <w:style w:type="paragraph" w:styleId="Title">
    <w:name w:val="Title"/>
    <w:basedOn w:val="Normal"/>
    <w:next w:val="Normal"/>
    <w:link w:val="TitleChar"/>
    <w:uiPriority w:val="10"/>
    <w:qFormat/>
    <w:rsid w:val="00473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5ED"/>
    <w:pPr>
      <w:spacing w:before="160"/>
      <w:jc w:val="center"/>
    </w:pPr>
    <w:rPr>
      <w:i/>
      <w:iCs/>
      <w:color w:val="404040" w:themeColor="text1" w:themeTint="BF"/>
    </w:rPr>
  </w:style>
  <w:style w:type="character" w:customStyle="1" w:styleId="QuoteChar">
    <w:name w:val="Quote Char"/>
    <w:basedOn w:val="DefaultParagraphFont"/>
    <w:link w:val="Quote"/>
    <w:uiPriority w:val="29"/>
    <w:rsid w:val="004735ED"/>
    <w:rPr>
      <w:i/>
      <w:iCs/>
      <w:color w:val="404040" w:themeColor="text1" w:themeTint="BF"/>
    </w:rPr>
  </w:style>
  <w:style w:type="paragraph" w:styleId="ListParagraph">
    <w:name w:val="List Paragraph"/>
    <w:basedOn w:val="Normal"/>
    <w:uiPriority w:val="34"/>
    <w:qFormat/>
    <w:rsid w:val="004735ED"/>
    <w:pPr>
      <w:ind w:left="720"/>
      <w:contextualSpacing/>
    </w:pPr>
  </w:style>
  <w:style w:type="character" w:styleId="IntenseEmphasis">
    <w:name w:val="Intense Emphasis"/>
    <w:basedOn w:val="DefaultParagraphFont"/>
    <w:uiPriority w:val="21"/>
    <w:qFormat/>
    <w:rsid w:val="004735ED"/>
    <w:rPr>
      <w:i/>
      <w:iCs/>
      <w:color w:val="0F4761" w:themeColor="accent1" w:themeShade="BF"/>
    </w:rPr>
  </w:style>
  <w:style w:type="paragraph" w:styleId="IntenseQuote">
    <w:name w:val="Intense Quote"/>
    <w:basedOn w:val="Normal"/>
    <w:next w:val="Normal"/>
    <w:link w:val="IntenseQuoteChar"/>
    <w:uiPriority w:val="30"/>
    <w:qFormat/>
    <w:rsid w:val="00473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5ED"/>
    <w:rPr>
      <w:i/>
      <w:iCs/>
      <w:color w:val="0F4761" w:themeColor="accent1" w:themeShade="BF"/>
    </w:rPr>
  </w:style>
  <w:style w:type="character" w:styleId="IntenseReference">
    <w:name w:val="Intense Reference"/>
    <w:basedOn w:val="DefaultParagraphFont"/>
    <w:uiPriority w:val="32"/>
    <w:qFormat/>
    <w:rsid w:val="004735E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735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35E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9682">
      <w:bodyDiv w:val="1"/>
      <w:marLeft w:val="0"/>
      <w:marRight w:val="0"/>
      <w:marTop w:val="0"/>
      <w:marBottom w:val="0"/>
      <w:divBdr>
        <w:top w:val="none" w:sz="0" w:space="0" w:color="auto"/>
        <w:left w:val="none" w:sz="0" w:space="0" w:color="auto"/>
        <w:bottom w:val="none" w:sz="0" w:space="0" w:color="auto"/>
        <w:right w:val="none" w:sz="0" w:space="0" w:color="auto"/>
      </w:divBdr>
      <w:divsChild>
        <w:div w:id="1097482233">
          <w:marLeft w:val="0"/>
          <w:marRight w:val="0"/>
          <w:marTop w:val="0"/>
          <w:marBottom w:val="0"/>
          <w:divBdr>
            <w:top w:val="none" w:sz="0" w:space="0" w:color="auto"/>
            <w:left w:val="none" w:sz="0" w:space="0" w:color="auto"/>
            <w:bottom w:val="none" w:sz="0" w:space="0" w:color="auto"/>
            <w:right w:val="none" w:sz="0" w:space="0" w:color="auto"/>
          </w:divBdr>
        </w:div>
      </w:divsChild>
    </w:div>
    <w:div w:id="1873883513">
      <w:bodyDiv w:val="1"/>
      <w:marLeft w:val="0"/>
      <w:marRight w:val="0"/>
      <w:marTop w:val="0"/>
      <w:marBottom w:val="0"/>
      <w:divBdr>
        <w:top w:val="none" w:sz="0" w:space="0" w:color="auto"/>
        <w:left w:val="none" w:sz="0" w:space="0" w:color="auto"/>
        <w:bottom w:val="none" w:sz="0" w:space="0" w:color="auto"/>
        <w:right w:val="none" w:sz="0" w:space="0" w:color="auto"/>
      </w:divBdr>
      <w:divsChild>
        <w:div w:id="1755394951">
          <w:marLeft w:val="0"/>
          <w:marRight w:val="0"/>
          <w:marTop w:val="0"/>
          <w:marBottom w:val="0"/>
          <w:divBdr>
            <w:top w:val="none" w:sz="0" w:space="0" w:color="auto"/>
            <w:left w:val="none" w:sz="0" w:space="0" w:color="auto"/>
            <w:bottom w:val="none" w:sz="0" w:space="0" w:color="auto"/>
            <w:right w:val="none" w:sz="0" w:space="0" w:color="auto"/>
          </w:divBdr>
        </w:div>
      </w:divsChild>
    </w:div>
    <w:div w:id="1968270273">
      <w:bodyDiv w:val="1"/>
      <w:marLeft w:val="0"/>
      <w:marRight w:val="0"/>
      <w:marTop w:val="0"/>
      <w:marBottom w:val="0"/>
      <w:divBdr>
        <w:top w:val="none" w:sz="0" w:space="0" w:color="auto"/>
        <w:left w:val="none" w:sz="0" w:space="0" w:color="auto"/>
        <w:bottom w:val="none" w:sz="0" w:space="0" w:color="auto"/>
        <w:right w:val="none" w:sz="0" w:space="0" w:color="auto"/>
      </w:divBdr>
      <w:divsChild>
        <w:div w:id="397675948">
          <w:marLeft w:val="0"/>
          <w:marRight w:val="0"/>
          <w:marTop w:val="0"/>
          <w:marBottom w:val="0"/>
          <w:divBdr>
            <w:top w:val="none" w:sz="0" w:space="0" w:color="auto"/>
            <w:left w:val="none" w:sz="0" w:space="0" w:color="auto"/>
            <w:bottom w:val="none" w:sz="0" w:space="0" w:color="auto"/>
            <w:right w:val="none" w:sz="0" w:space="0" w:color="auto"/>
          </w:divBdr>
        </w:div>
      </w:divsChild>
    </w:div>
    <w:div w:id="2020809138">
      <w:bodyDiv w:val="1"/>
      <w:marLeft w:val="0"/>
      <w:marRight w:val="0"/>
      <w:marTop w:val="0"/>
      <w:marBottom w:val="0"/>
      <w:divBdr>
        <w:top w:val="none" w:sz="0" w:space="0" w:color="auto"/>
        <w:left w:val="none" w:sz="0" w:space="0" w:color="auto"/>
        <w:bottom w:val="none" w:sz="0" w:space="0" w:color="auto"/>
        <w:right w:val="none" w:sz="0" w:space="0" w:color="auto"/>
      </w:divBdr>
      <w:divsChild>
        <w:div w:id="1763142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 Barnard</dc:creator>
  <cp:keywords/>
  <dc:description/>
  <cp:lastModifiedBy>Quin Barnard</cp:lastModifiedBy>
  <cp:revision>1</cp:revision>
  <dcterms:created xsi:type="dcterms:W3CDTF">2025-02-24T16:20:00Z</dcterms:created>
  <dcterms:modified xsi:type="dcterms:W3CDTF">2025-02-24T18:08:00Z</dcterms:modified>
</cp:coreProperties>
</file>