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1C1" w14:textId="163C6911" w:rsidR="0091214A" w:rsidRPr="00CC5B3C" w:rsidRDefault="0019754C" w:rsidP="0019754C">
      <w:pPr>
        <w:spacing w:line="480" w:lineRule="auto"/>
        <w:rPr>
          <w:rFonts w:ascii="Gill Sans MT" w:hAnsi="Gill Sans MT"/>
        </w:rPr>
      </w:pPr>
      <w:r w:rsidRPr="00CC5B3C">
        <w:rPr>
          <w:rFonts w:ascii="Gill Sans MT" w:hAnsi="Gill Sans MT"/>
        </w:rPr>
        <w:t>Il y</w:t>
      </w:r>
      <w:r w:rsidR="00D11C5F" w:rsidRPr="00CC5B3C">
        <w:rPr>
          <w:rFonts w:ascii="Gill Sans MT" w:hAnsi="Gill Sans MT"/>
        </w:rPr>
        <w:t xml:space="preserve"> a beaucoup de différentes cultures</w:t>
      </w:r>
      <w:r w:rsidR="00B4327B" w:rsidRPr="00CC5B3C">
        <w:rPr>
          <w:rFonts w:ascii="Gill Sans MT" w:hAnsi="Gill Sans MT"/>
        </w:rPr>
        <w:t xml:space="preserve"> dans le monde</w:t>
      </w:r>
      <w:r w:rsidR="00D11C5F" w:rsidRPr="00CC5B3C">
        <w:rPr>
          <w:rFonts w:ascii="Gill Sans MT" w:hAnsi="Gill Sans MT"/>
        </w:rPr>
        <w:t xml:space="preserve"> qui racont</w:t>
      </w:r>
      <w:r w:rsidR="00B4327B" w:rsidRPr="00CC5B3C">
        <w:rPr>
          <w:rFonts w:ascii="Gill Sans MT" w:hAnsi="Gill Sans MT"/>
        </w:rPr>
        <w:t>ent longtemps</w:t>
      </w:r>
      <w:r w:rsidR="00D11C5F" w:rsidRPr="00CC5B3C">
        <w:rPr>
          <w:rFonts w:ascii="Gill Sans MT" w:hAnsi="Gill Sans MT"/>
        </w:rPr>
        <w:t xml:space="preserve"> des ogres et ogresses. Des ogres et ogresses</w:t>
      </w:r>
      <w:r w:rsidR="00B4327B" w:rsidRPr="00CC5B3C">
        <w:rPr>
          <w:rFonts w:ascii="Gill Sans MT" w:hAnsi="Gill Sans MT"/>
        </w:rPr>
        <w:t>, qui mangent des enfants,</w:t>
      </w:r>
      <w:r w:rsidR="00D11C5F" w:rsidRPr="00CC5B3C">
        <w:rPr>
          <w:rFonts w:ascii="Gill Sans MT" w:hAnsi="Gill Sans MT"/>
        </w:rPr>
        <w:t xml:space="preserve"> sont utiles </w:t>
      </w:r>
      <w:r w:rsidR="00B4327B" w:rsidRPr="00CC5B3C">
        <w:rPr>
          <w:rFonts w:ascii="Gill Sans MT" w:hAnsi="Gill Sans MT"/>
        </w:rPr>
        <w:t xml:space="preserve">pour symboliser des thèmes universels. </w:t>
      </w:r>
      <w:r w:rsidR="0091216D" w:rsidRPr="00CC5B3C">
        <w:rPr>
          <w:rFonts w:ascii="Gill Sans MT" w:hAnsi="Gill Sans MT"/>
        </w:rPr>
        <w:t>Des enfants</w:t>
      </w:r>
      <w:r w:rsidR="00B4327B" w:rsidRPr="00CC5B3C">
        <w:rPr>
          <w:rFonts w:ascii="Gill Sans MT" w:hAnsi="Gill Sans MT"/>
        </w:rPr>
        <w:t xml:space="preserve"> peuvent aussi montrer quelques vertus en vainquant des ogres.</w:t>
      </w:r>
      <w:r w:rsidR="00F605EF" w:rsidRPr="00CC5B3C">
        <w:rPr>
          <w:rFonts w:ascii="Gill Sans MT" w:hAnsi="Gill Sans MT"/>
        </w:rPr>
        <w:t xml:space="preserve"> Pour montrer, que les thèmes sont vraiment universels, on peut comparer des contes de différent pays comme </w:t>
      </w:r>
      <w:r w:rsidR="0091216D" w:rsidRPr="00CC5B3C">
        <w:rPr>
          <w:rFonts w:ascii="Gill Sans MT" w:hAnsi="Gill Sans MT"/>
        </w:rPr>
        <w:t xml:space="preserve">« Butterball », un conte </w:t>
      </w:r>
      <w:r w:rsidR="00F605EF" w:rsidRPr="00CC5B3C">
        <w:rPr>
          <w:rFonts w:ascii="Gill Sans MT" w:hAnsi="Gill Sans MT"/>
        </w:rPr>
        <w:t>norvégien</w:t>
      </w:r>
      <w:r w:rsidR="001A3D7B" w:rsidRPr="00CC5B3C">
        <w:rPr>
          <w:rFonts w:ascii="Gill Sans MT" w:hAnsi="Gill Sans MT"/>
        </w:rPr>
        <w:t>,</w:t>
      </w:r>
      <w:r w:rsidR="0091216D" w:rsidRPr="00CC5B3C">
        <w:rPr>
          <w:rFonts w:ascii="Gill Sans MT" w:hAnsi="Gill Sans MT"/>
        </w:rPr>
        <w:t xml:space="preserve"> « Karijavola et Trimobe »</w:t>
      </w:r>
      <w:r w:rsidR="00295D35" w:rsidRPr="00CC5B3C">
        <w:rPr>
          <w:rFonts w:ascii="Gill Sans MT" w:hAnsi="Gill Sans MT"/>
        </w:rPr>
        <w:t xml:space="preserve"> et un conte </w:t>
      </w:r>
      <w:r w:rsidR="00F605EF" w:rsidRPr="00CC5B3C">
        <w:rPr>
          <w:rFonts w:ascii="Gill Sans MT" w:hAnsi="Gill Sans MT"/>
        </w:rPr>
        <w:t>malgache, et</w:t>
      </w:r>
      <w:r w:rsidR="00295D35" w:rsidRPr="00CC5B3C">
        <w:rPr>
          <w:rFonts w:ascii="Gill Sans MT" w:hAnsi="Gill Sans MT"/>
        </w:rPr>
        <w:t xml:space="preserve"> « Bélajoud et les méchantes ogresses »</w:t>
      </w:r>
      <w:r w:rsidR="00F605EF" w:rsidRPr="00CC5B3C">
        <w:rPr>
          <w:rFonts w:ascii="Gill Sans MT" w:hAnsi="Gill Sans MT"/>
        </w:rPr>
        <w:t>, un conte algérien</w:t>
      </w:r>
      <w:r w:rsidR="00295D35" w:rsidRPr="00CC5B3C">
        <w:rPr>
          <w:rFonts w:ascii="Gill Sans MT" w:hAnsi="Gill Sans MT"/>
        </w:rPr>
        <w:t>.</w:t>
      </w:r>
      <w:r w:rsidR="00F605EF" w:rsidRPr="00CC5B3C">
        <w:rPr>
          <w:rFonts w:ascii="Gill Sans MT" w:hAnsi="Gill Sans MT"/>
        </w:rPr>
        <w:t xml:space="preserve"> Il y a plusieurs thèmes dans ces contes, mais les plus importants sont la ruse </w:t>
      </w:r>
      <w:r w:rsidR="008E7C90" w:rsidRPr="00CC5B3C">
        <w:rPr>
          <w:rFonts w:ascii="Gill Sans MT" w:hAnsi="Gill Sans MT"/>
        </w:rPr>
        <w:t>et la violence.</w:t>
      </w:r>
      <w:r w:rsidR="00CC5B3C">
        <w:rPr>
          <w:rFonts w:ascii="Gill Sans MT" w:hAnsi="Gill Sans MT"/>
        </w:rPr>
        <w:t xml:space="preserve"> Ces histoires sont très anciennes, c’est pourquoi elles mettent souvent des conseils pour survivre </w:t>
      </w:r>
      <w:r w:rsidR="00CC5B3C" w:rsidRPr="00CC5B3C">
        <w:rPr>
          <w:rFonts w:ascii="Gill Sans MT" w:hAnsi="Gill Sans MT"/>
        </w:rPr>
        <w:t>à</w:t>
      </w:r>
      <w:r w:rsidR="00CC5B3C">
        <w:rPr>
          <w:rFonts w:ascii="Gill Sans MT" w:hAnsi="Gill Sans MT"/>
        </w:rPr>
        <w:t xml:space="preserve"> des enfants, et</w:t>
      </w:r>
      <w:r w:rsidR="001E547E">
        <w:rPr>
          <w:rFonts w:ascii="Gill Sans MT" w:hAnsi="Gill Sans MT"/>
        </w:rPr>
        <w:t xml:space="preserve"> ne sont seulement belles.</w:t>
      </w:r>
    </w:p>
    <w:p w14:paraId="2363449D" w14:textId="3E124D81" w:rsidR="0091216D" w:rsidRPr="00CC5B3C" w:rsidRDefault="0014603B" w:rsidP="0019754C">
      <w:pPr>
        <w:spacing w:line="480" w:lineRule="auto"/>
        <w:rPr>
          <w:rFonts w:ascii="Gill Sans MT" w:hAnsi="Gill Sans MT"/>
        </w:rPr>
      </w:pPr>
      <w:r w:rsidRPr="00CC5B3C">
        <w:rPr>
          <w:rFonts w:ascii="Gill Sans MT" w:hAnsi="Gill Sans MT"/>
        </w:rPr>
        <w:t xml:space="preserve">Tous Butterball, Bélajoud et Karijavola utilisent la ruse pour sauvegarder ses vies. Butterball ressemble à Bélajoud le plus, parce que les deux s’échappent d’un sac. Des ogresses de Butterball et Bélajoud </w:t>
      </w:r>
      <w:r w:rsidR="00E7392A" w:rsidRPr="00CC5B3C">
        <w:rPr>
          <w:rFonts w:ascii="Gill Sans MT" w:hAnsi="Gill Sans MT"/>
        </w:rPr>
        <w:t>les attrapent et portent dans un sac, cependant elles sont bien stupides. Elles écoutent à des garçons quand ils leur disent de placer le sac par terre</w:t>
      </w:r>
      <w:r w:rsidR="007216FD" w:rsidRPr="00CC5B3C">
        <w:rPr>
          <w:rFonts w:ascii="Gill Sans MT" w:hAnsi="Gill Sans MT"/>
        </w:rPr>
        <w:t xml:space="preserve"> (sous la direction de du Toit, 2025</w:t>
      </w:r>
      <w:r w:rsidR="00CA0770" w:rsidRPr="00CC5B3C">
        <w:rPr>
          <w:rFonts w:ascii="Gill Sans MT" w:hAnsi="Gill Sans MT"/>
        </w:rPr>
        <w:t>a</w:t>
      </w:r>
      <w:r w:rsidR="007216FD" w:rsidRPr="00CC5B3C">
        <w:rPr>
          <w:rFonts w:ascii="Gill Sans MT" w:hAnsi="Gill Sans MT"/>
        </w:rPr>
        <w:t>:</w:t>
      </w:r>
      <w:r w:rsidR="00CA0770" w:rsidRPr="00CC5B3C">
        <w:rPr>
          <w:rFonts w:ascii="Gill Sans MT" w:hAnsi="Gill Sans MT"/>
        </w:rPr>
        <w:t xml:space="preserve"> </w:t>
      </w:r>
      <w:r w:rsidR="007216FD" w:rsidRPr="00CC5B3C">
        <w:rPr>
          <w:rFonts w:ascii="Gill Sans MT" w:hAnsi="Gill Sans MT"/>
        </w:rPr>
        <w:t>19</w:t>
      </w:r>
      <w:r w:rsidR="00CA0770" w:rsidRPr="00CC5B3C">
        <w:rPr>
          <w:rFonts w:ascii="Gill Sans MT" w:hAnsi="Gill Sans MT"/>
        </w:rPr>
        <w:t xml:space="preserve"> et 2025b: 20). </w:t>
      </w:r>
      <w:r w:rsidR="00E7392A" w:rsidRPr="00CC5B3C">
        <w:rPr>
          <w:rFonts w:ascii="Gill Sans MT" w:hAnsi="Gill Sans MT"/>
        </w:rPr>
        <w:t xml:space="preserve"> </w:t>
      </w:r>
      <w:r w:rsidR="007216FD" w:rsidRPr="00CC5B3C">
        <w:rPr>
          <w:rFonts w:ascii="Gill Sans MT" w:hAnsi="Gill Sans MT"/>
        </w:rPr>
        <w:t>Karijavola échappe</w:t>
      </w:r>
      <w:r w:rsidR="00CA0770" w:rsidRPr="00CC5B3C">
        <w:rPr>
          <w:rFonts w:ascii="Gill Sans MT" w:hAnsi="Gill Sans MT"/>
        </w:rPr>
        <w:t xml:space="preserve"> aussi à son ravisseur, mais il confond l’ogre en employant l’aide de ses frères (sous la direction de du Toit, 2025a: 4). </w:t>
      </w:r>
      <w:r w:rsidR="00E23815" w:rsidRPr="00CC5B3C">
        <w:rPr>
          <w:rFonts w:ascii="Gill Sans MT" w:hAnsi="Gill Sans MT"/>
        </w:rPr>
        <w:t xml:space="preserve">Les garçons sont vivants parce qu’ils ont imaginé des ruses créatives. Ç’est peut-être un conseil à les enfants qui écoutent à </w:t>
      </w:r>
      <w:r w:rsidR="00134787" w:rsidRPr="00CC5B3C">
        <w:rPr>
          <w:rFonts w:ascii="Gill Sans MT" w:hAnsi="Gill Sans MT"/>
        </w:rPr>
        <w:t>ces histoires</w:t>
      </w:r>
      <w:r w:rsidR="00E23815" w:rsidRPr="00CC5B3C">
        <w:rPr>
          <w:rFonts w:ascii="Gill Sans MT" w:hAnsi="Gill Sans MT"/>
        </w:rPr>
        <w:t xml:space="preserve"> que l’intelligence est important</w:t>
      </w:r>
      <w:r w:rsidR="00134787" w:rsidRPr="00CC5B3C">
        <w:rPr>
          <w:rFonts w:ascii="Gill Sans MT" w:hAnsi="Gill Sans MT"/>
        </w:rPr>
        <w:t>e</w:t>
      </w:r>
      <w:r w:rsidR="00E23815" w:rsidRPr="00CC5B3C">
        <w:rPr>
          <w:rFonts w:ascii="Gill Sans MT" w:hAnsi="Gill Sans MT"/>
        </w:rPr>
        <w:t xml:space="preserve"> pour survivre.</w:t>
      </w:r>
    </w:p>
    <w:p w14:paraId="324A18CA" w14:textId="3A8A8ADE" w:rsidR="00134787" w:rsidRDefault="00134787" w:rsidP="0019754C">
      <w:pPr>
        <w:spacing w:line="480" w:lineRule="auto"/>
        <w:rPr>
          <w:rFonts w:ascii="Gill Sans MT" w:hAnsi="Gill Sans MT"/>
        </w:rPr>
      </w:pPr>
      <w:r w:rsidRPr="00CC5B3C">
        <w:rPr>
          <w:rFonts w:ascii="Gill Sans MT" w:hAnsi="Gill Sans MT"/>
        </w:rPr>
        <w:t xml:space="preserve">Les garçons survivre, mais pas les ogresses.  Les </w:t>
      </w:r>
      <w:r w:rsidR="00A339BE" w:rsidRPr="00CC5B3C">
        <w:rPr>
          <w:rFonts w:ascii="Gill Sans MT" w:hAnsi="Gill Sans MT"/>
        </w:rPr>
        <w:t>garçons ils tuent très violemment. Butterball «</w:t>
      </w:r>
      <w:r w:rsidR="00A339BE" w:rsidRPr="00CC5B3C">
        <w:rPr>
          <w:rFonts w:ascii="Gill Sans MT" w:hAnsi="Gill Sans MT"/>
          <w:lang w:val="en-GB"/>
        </w:rPr>
        <w:t> chopped off her [the troll’s daughter] head, as if she were a chicken </w:t>
      </w:r>
      <w:r w:rsidR="00A339BE" w:rsidRPr="00CC5B3C">
        <w:rPr>
          <w:rFonts w:ascii="Gill Sans MT" w:hAnsi="Gill Sans MT"/>
        </w:rPr>
        <w:t>»</w:t>
      </w:r>
      <w:r w:rsidR="00A339BE" w:rsidRPr="00CC5B3C">
        <w:rPr>
          <w:rStyle w:val="FootnoteReference"/>
          <w:rFonts w:ascii="Gill Sans MT" w:hAnsi="Gill Sans MT"/>
        </w:rPr>
        <w:footnoteReference w:id="1"/>
      </w:r>
      <w:r w:rsidR="00A339BE" w:rsidRPr="00CC5B3C">
        <w:rPr>
          <w:rFonts w:ascii="Gill Sans MT" w:hAnsi="Gill Sans MT"/>
        </w:rPr>
        <w:t xml:space="preserve"> (sous la direction de du Toit, 2025b: 22)</w:t>
      </w:r>
      <w:r w:rsidR="00CC5B3C" w:rsidRPr="00CC5B3C">
        <w:rPr>
          <w:rFonts w:ascii="Gill Sans MT" w:hAnsi="Gill Sans MT"/>
        </w:rPr>
        <w:t xml:space="preserve"> et ensuite il la cui</w:t>
      </w:r>
      <w:r w:rsidR="00CC5B3C">
        <w:rPr>
          <w:rFonts w:ascii="Gill Sans MT" w:hAnsi="Gill Sans MT"/>
        </w:rPr>
        <w:t xml:space="preserve">t. Bélajoud cuit aussi la fille de l’ogresse après lui avoir « [tranchée] la gorge » </w:t>
      </w:r>
      <w:r w:rsidR="001E547E" w:rsidRPr="00CC5B3C">
        <w:rPr>
          <w:rFonts w:ascii="Gill Sans MT" w:hAnsi="Gill Sans MT"/>
        </w:rPr>
        <w:t>(sous la direction de du Toit, 2025a:</w:t>
      </w:r>
      <w:r w:rsidR="001E547E">
        <w:rPr>
          <w:rFonts w:ascii="Gill Sans MT" w:hAnsi="Gill Sans MT"/>
        </w:rPr>
        <w:t xml:space="preserve"> 20). L’ogre de Karijavola tombe dans sa propre marmite et est aussi cuit. Les histoires veulent dire qu’on doit éliminer les menaces dangereuses.</w:t>
      </w:r>
    </w:p>
    <w:p w14:paraId="468BC145" w14:textId="7A825864" w:rsidR="00396F55" w:rsidRDefault="001E547E" w:rsidP="0019754C">
      <w:pPr>
        <w:spacing w:line="480" w:lineRule="auto"/>
        <w:rPr>
          <w:rFonts w:ascii="Gill Sans MT" w:hAnsi="Gill Sans MT"/>
        </w:rPr>
      </w:pPr>
      <w:r>
        <w:rPr>
          <w:rFonts w:ascii="Gill Sans MT" w:hAnsi="Gill Sans MT"/>
        </w:rPr>
        <w:lastRenderedPageBreak/>
        <w:t xml:space="preserve">Tous les trois contes </w:t>
      </w:r>
      <w:r w:rsidR="00A20657">
        <w:rPr>
          <w:rFonts w:ascii="Gill Sans MT" w:hAnsi="Gill Sans MT"/>
        </w:rPr>
        <w:t xml:space="preserve">enseignent aux enfants quelques choses </w:t>
      </w:r>
      <w:r w:rsidR="00A20657" w:rsidRPr="00A20657">
        <w:rPr>
          <w:rFonts w:ascii="Gill Sans MT" w:hAnsi="Gill Sans MT"/>
        </w:rPr>
        <w:t xml:space="preserve">essentielles </w:t>
      </w:r>
      <w:r w:rsidR="00A20657">
        <w:rPr>
          <w:rFonts w:ascii="Gill Sans MT" w:hAnsi="Gill Sans MT"/>
        </w:rPr>
        <w:t xml:space="preserve">pour vivre dans un environnement qui n’est pas gentil. Les contes contemporains veulent aussi aider les enfants </w:t>
      </w:r>
      <w:r w:rsidR="00A20657" w:rsidRPr="00A20657">
        <w:rPr>
          <w:rFonts w:ascii="Gill Sans MT" w:hAnsi="Gill Sans MT"/>
        </w:rPr>
        <w:t xml:space="preserve">à </w:t>
      </w:r>
      <w:r w:rsidR="00A20657">
        <w:rPr>
          <w:rFonts w:ascii="Gill Sans MT" w:hAnsi="Gill Sans MT"/>
        </w:rPr>
        <w:t xml:space="preserve">apprendre comment il faut vivre, mais le monde n’est plus la même. Les histoires de jeunesse d’aujourd’hui montrent comment être gentil, parce que les enfants peuvent vivre et pas seulement survivre. On peut voyer </w:t>
      </w:r>
      <w:r w:rsidR="002C279A">
        <w:rPr>
          <w:rFonts w:ascii="Gill Sans MT" w:hAnsi="Gill Sans MT"/>
        </w:rPr>
        <w:t xml:space="preserve">comment les conditions de vie améliorent et l’humanité monté la hiérarchie de Maslow quand on lit </w:t>
      </w:r>
      <w:r w:rsidR="00996EA7">
        <w:rPr>
          <w:rFonts w:ascii="Gill Sans MT" w:hAnsi="Gill Sans MT"/>
        </w:rPr>
        <w:t>les histoires historiques</w:t>
      </w:r>
      <w:r w:rsidR="002C279A">
        <w:rPr>
          <w:rFonts w:ascii="Gill Sans MT" w:hAnsi="Gill Sans MT"/>
        </w:rPr>
        <w:t xml:space="preserve">. </w:t>
      </w:r>
    </w:p>
    <w:p w14:paraId="391C672F" w14:textId="77777777" w:rsidR="00396F55" w:rsidRDefault="00396F55" w:rsidP="0019754C">
      <w:pPr>
        <w:spacing w:line="480" w:lineRule="auto"/>
        <w:rPr>
          <w:rFonts w:ascii="Gill Sans MT" w:hAnsi="Gill Sans MT"/>
        </w:rPr>
      </w:pPr>
    </w:p>
    <w:p w14:paraId="0DECF1EF" w14:textId="1F9DFC8A" w:rsidR="00396F55" w:rsidRPr="00396F55" w:rsidRDefault="00396F55" w:rsidP="0019754C">
      <w:pPr>
        <w:spacing w:line="480" w:lineRule="auto"/>
        <w:rPr>
          <w:rFonts w:ascii="Gill Sans MT" w:hAnsi="Gill Sans MT"/>
        </w:rPr>
      </w:pPr>
      <w:r>
        <w:rPr>
          <w:rFonts w:ascii="Gill Sans MT" w:hAnsi="Gill Sans MT"/>
          <w:i/>
          <w:iCs/>
        </w:rPr>
        <w:t>427 mots</w:t>
      </w:r>
    </w:p>
    <w:p w14:paraId="5A8BB10D" w14:textId="77777777" w:rsidR="00396F55" w:rsidRDefault="00396F55" w:rsidP="0019754C">
      <w:pPr>
        <w:spacing w:line="480" w:lineRule="auto"/>
        <w:rPr>
          <w:rFonts w:ascii="Gill Sans MT" w:hAnsi="Gill Sans MT"/>
        </w:rPr>
      </w:pPr>
    </w:p>
    <w:p w14:paraId="69FA5CEC" w14:textId="6C76561B" w:rsidR="00396F55" w:rsidRDefault="00396F55" w:rsidP="00396F55">
      <w:pPr>
        <w:spacing w:line="480" w:lineRule="auto"/>
        <w:jc w:val="center"/>
        <w:rPr>
          <w:rFonts w:ascii="Gill Sans MT" w:hAnsi="Gill Sans MT"/>
          <w:b/>
          <w:bCs/>
          <w:sz w:val="40"/>
          <w:szCs w:val="40"/>
        </w:rPr>
      </w:pPr>
      <w:r>
        <w:rPr>
          <w:rFonts w:ascii="Gill Sans MT" w:hAnsi="Gill Sans MT"/>
          <w:b/>
          <w:bCs/>
          <w:sz w:val="40"/>
          <w:szCs w:val="40"/>
        </w:rPr>
        <w:t>Bibliographie</w:t>
      </w:r>
    </w:p>
    <w:p w14:paraId="25C2059E" w14:textId="6913F98D" w:rsidR="00396F55" w:rsidRDefault="00396F55" w:rsidP="00396F55">
      <w:pPr>
        <w:spacing w:line="480" w:lineRule="auto"/>
        <w:rPr>
          <w:rFonts w:ascii="Gill Sans MT" w:hAnsi="Gill Sans MT"/>
        </w:rPr>
      </w:pPr>
      <w:proofErr w:type="gramStart"/>
      <w:r>
        <w:rPr>
          <w:rFonts w:ascii="Gill Sans MT" w:hAnsi="Gill Sans MT"/>
        </w:rPr>
        <w:t>du</w:t>
      </w:r>
      <w:proofErr w:type="gramEnd"/>
      <w:r>
        <w:rPr>
          <w:rFonts w:ascii="Gill Sans MT" w:hAnsi="Gill Sans MT"/>
        </w:rPr>
        <w:t xml:space="preserve"> Toit, C. (directrice du publication). 2025a. </w:t>
      </w:r>
      <w:r>
        <w:rPr>
          <w:rFonts w:ascii="Gill Sans MT" w:hAnsi="Gill Sans MT"/>
          <w:i/>
          <w:iCs/>
        </w:rPr>
        <w:t xml:space="preserve">Contes Francophones – Ogres. </w:t>
      </w:r>
      <w:proofErr w:type="spellStart"/>
      <w:r>
        <w:rPr>
          <w:rFonts w:ascii="Gill Sans MT" w:hAnsi="Gill Sans MT"/>
        </w:rPr>
        <w:t>Stellenbosch</w:t>
      </w:r>
      <w:proofErr w:type="spellEnd"/>
      <w:r>
        <w:rPr>
          <w:rFonts w:ascii="Gill Sans MT" w:hAnsi="Gill Sans MT"/>
        </w:rPr>
        <w:t xml:space="preserve"> : l’Université de </w:t>
      </w:r>
      <w:proofErr w:type="spellStart"/>
      <w:r>
        <w:rPr>
          <w:rFonts w:ascii="Gill Sans MT" w:hAnsi="Gill Sans MT"/>
        </w:rPr>
        <w:t>Stellenbosch</w:t>
      </w:r>
      <w:proofErr w:type="spellEnd"/>
      <w:r>
        <w:rPr>
          <w:rFonts w:ascii="Gill Sans MT" w:hAnsi="Gill Sans MT"/>
        </w:rPr>
        <w:t>.</w:t>
      </w:r>
    </w:p>
    <w:p w14:paraId="00FD5F04" w14:textId="0AEE0A76" w:rsidR="00396F55" w:rsidRPr="00396F55" w:rsidRDefault="00396F55" w:rsidP="00396F55">
      <w:pPr>
        <w:spacing w:line="480" w:lineRule="auto"/>
        <w:rPr>
          <w:rFonts w:ascii="Gill Sans MT" w:hAnsi="Gill Sans MT"/>
        </w:rPr>
      </w:pPr>
      <w:proofErr w:type="gramStart"/>
      <w:r>
        <w:rPr>
          <w:rFonts w:ascii="Gill Sans MT" w:hAnsi="Gill Sans MT"/>
        </w:rPr>
        <w:t>du</w:t>
      </w:r>
      <w:proofErr w:type="gramEnd"/>
      <w:r>
        <w:rPr>
          <w:rFonts w:ascii="Gill Sans MT" w:hAnsi="Gill Sans MT"/>
        </w:rPr>
        <w:t xml:space="preserve"> Toit, C. (directrice du publication). 2025b. </w:t>
      </w:r>
      <w:r>
        <w:rPr>
          <w:rFonts w:ascii="Gill Sans MT" w:hAnsi="Gill Sans MT"/>
          <w:i/>
          <w:iCs/>
        </w:rPr>
        <w:t xml:space="preserve">Textes Supplémentaires </w:t>
      </w:r>
      <w:r>
        <w:rPr>
          <w:rFonts w:ascii="Gill Sans MT" w:hAnsi="Gill Sans MT"/>
          <w:i/>
          <w:iCs/>
        </w:rPr>
        <w:t>–</w:t>
      </w:r>
      <w:r>
        <w:rPr>
          <w:rFonts w:ascii="Gill Sans MT" w:hAnsi="Gill Sans MT"/>
          <w:i/>
          <w:iCs/>
        </w:rPr>
        <w:t xml:space="preserve"> Ogres. </w:t>
      </w:r>
      <w:proofErr w:type="spellStart"/>
      <w:r>
        <w:rPr>
          <w:rFonts w:ascii="Gill Sans MT" w:hAnsi="Gill Sans MT"/>
        </w:rPr>
        <w:t>Stellenbosch</w:t>
      </w:r>
      <w:proofErr w:type="spellEnd"/>
      <w:r>
        <w:rPr>
          <w:rFonts w:ascii="Gill Sans MT" w:hAnsi="Gill Sans MT"/>
        </w:rPr>
        <w:t xml:space="preserve"> : l’Université de </w:t>
      </w:r>
      <w:proofErr w:type="spellStart"/>
      <w:r>
        <w:rPr>
          <w:rFonts w:ascii="Gill Sans MT" w:hAnsi="Gill Sans MT"/>
        </w:rPr>
        <w:t>Stellenbosch</w:t>
      </w:r>
      <w:proofErr w:type="spellEnd"/>
      <w:r>
        <w:rPr>
          <w:rFonts w:ascii="Gill Sans MT" w:hAnsi="Gill Sans MT"/>
        </w:rPr>
        <w:t>.</w:t>
      </w:r>
    </w:p>
    <w:sectPr w:rsidR="00396F55" w:rsidRPr="00396F55" w:rsidSect="0019754C">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03213" w14:textId="77777777" w:rsidR="00004CA5" w:rsidRPr="00CC5B3C" w:rsidRDefault="00004CA5" w:rsidP="00E7392A">
      <w:pPr>
        <w:spacing w:after="0" w:line="240" w:lineRule="auto"/>
      </w:pPr>
      <w:r w:rsidRPr="00CC5B3C">
        <w:separator/>
      </w:r>
    </w:p>
  </w:endnote>
  <w:endnote w:type="continuationSeparator" w:id="0">
    <w:p w14:paraId="5F33F02C" w14:textId="77777777" w:rsidR="00004CA5" w:rsidRPr="00CC5B3C" w:rsidRDefault="00004CA5" w:rsidP="00E7392A">
      <w:pPr>
        <w:spacing w:after="0" w:line="240" w:lineRule="auto"/>
      </w:pPr>
      <w:r w:rsidRPr="00CC5B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1D179" w14:textId="77777777" w:rsidR="00004CA5" w:rsidRPr="00CC5B3C" w:rsidRDefault="00004CA5" w:rsidP="00E7392A">
      <w:pPr>
        <w:spacing w:after="0" w:line="240" w:lineRule="auto"/>
      </w:pPr>
      <w:r w:rsidRPr="00CC5B3C">
        <w:separator/>
      </w:r>
    </w:p>
  </w:footnote>
  <w:footnote w:type="continuationSeparator" w:id="0">
    <w:p w14:paraId="33D4E3B5" w14:textId="77777777" w:rsidR="00004CA5" w:rsidRPr="00CC5B3C" w:rsidRDefault="00004CA5" w:rsidP="00E7392A">
      <w:pPr>
        <w:spacing w:after="0" w:line="240" w:lineRule="auto"/>
      </w:pPr>
      <w:r w:rsidRPr="00CC5B3C">
        <w:continuationSeparator/>
      </w:r>
    </w:p>
  </w:footnote>
  <w:footnote w:id="1">
    <w:p w14:paraId="387C1EA8" w14:textId="2C6933BB" w:rsidR="00A339BE" w:rsidRPr="00CC5B3C" w:rsidRDefault="00A339BE">
      <w:pPr>
        <w:pStyle w:val="FootnoteText"/>
        <w:rPr>
          <w:rFonts w:ascii="Gill Sans MT" w:hAnsi="Gill Sans MT"/>
          <w:sz w:val="24"/>
          <w:szCs w:val="24"/>
        </w:rPr>
      </w:pPr>
      <w:r w:rsidRPr="00CC5B3C">
        <w:rPr>
          <w:rStyle w:val="FootnoteReference"/>
          <w:rFonts w:ascii="Gill Sans MT" w:hAnsi="Gill Sans MT"/>
          <w:sz w:val="24"/>
          <w:szCs w:val="24"/>
        </w:rPr>
        <w:footnoteRef/>
      </w:r>
      <w:r w:rsidRPr="00CC5B3C">
        <w:rPr>
          <w:rFonts w:ascii="Gill Sans MT" w:hAnsi="Gill Sans MT"/>
          <w:sz w:val="24"/>
          <w:szCs w:val="24"/>
        </w:rPr>
        <w:t xml:space="preserve"> </w:t>
      </w:r>
      <w:r w:rsidR="00CC5B3C" w:rsidRPr="00CC5B3C">
        <w:rPr>
          <w:rFonts w:ascii="Gill Sans MT" w:hAnsi="Gill Sans MT"/>
          <w:sz w:val="24"/>
          <w:szCs w:val="24"/>
        </w:rPr>
        <w:t>« a décapité la fille de l’ogresse comme une poulette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4C"/>
    <w:rsid w:val="00004CA5"/>
    <w:rsid w:val="000E6DEE"/>
    <w:rsid w:val="00134787"/>
    <w:rsid w:val="001451D4"/>
    <w:rsid w:val="0014603B"/>
    <w:rsid w:val="0019754C"/>
    <w:rsid w:val="001A3D7B"/>
    <w:rsid w:val="001E547E"/>
    <w:rsid w:val="00234715"/>
    <w:rsid w:val="00265358"/>
    <w:rsid w:val="00295D35"/>
    <w:rsid w:val="002C279A"/>
    <w:rsid w:val="002C4D98"/>
    <w:rsid w:val="00396F55"/>
    <w:rsid w:val="003D4F0B"/>
    <w:rsid w:val="006B100C"/>
    <w:rsid w:val="007216FD"/>
    <w:rsid w:val="0087007C"/>
    <w:rsid w:val="008E7C90"/>
    <w:rsid w:val="0091214A"/>
    <w:rsid w:val="0091216D"/>
    <w:rsid w:val="00996EA7"/>
    <w:rsid w:val="009D37F4"/>
    <w:rsid w:val="00A20657"/>
    <w:rsid w:val="00A339BE"/>
    <w:rsid w:val="00B4327B"/>
    <w:rsid w:val="00C416E4"/>
    <w:rsid w:val="00CA0770"/>
    <w:rsid w:val="00CC5B3C"/>
    <w:rsid w:val="00D11C5F"/>
    <w:rsid w:val="00DD7D16"/>
    <w:rsid w:val="00DF64D8"/>
    <w:rsid w:val="00E23815"/>
    <w:rsid w:val="00E7392A"/>
    <w:rsid w:val="00EB5A01"/>
    <w:rsid w:val="00F605E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8F80"/>
  <w15:chartTrackingRefBased/>
  <w15:docId w15:val="{4B68450E-BEC9-4BB7-B307-97A829B7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197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54C"/>
    <w:rPr>
      <w:rFonts w:eastAsiaTheme="majorEastAsia" w:cstheme="majorBidi"/>
      <w:color w:val="272727" w:themeColor="text1" w:themeTint="D8"/>
    </w:rPr>
  </w:style>
  <w:style w:type="paragraph" w:styleId="Title">
    <w:name w:val="Title"/>
    <w:basedOn w:val="Normal"/>
    <w:next w:val="Normal"/>
    <w:link w:val="TitleChar"/>
    <w:uiPriority w:val="10"/>
    <w:qFormat/>
    <w:rsid w:val="00197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54C"/>
    <w:pPr>
      <w:spacing w:before="160"/>
      <w:jc w:val="center"/>
    </w:pPr>
    <w:rPr>
      <w:i/>
      <w:iCs/>
      <w:color w:val="404040" w:themeColor="text1" w:themeTint="BF"/>
    </w:rPr>
  </w:style>
  <w:style w:type="character" w:customStyle="1" w:styleId="QuoteChar">
    <w:name w:val="Quote Char"/>
    <w:basedOn w:val="DefaultParagraphFont"/>
    <w:link w:val="Quote"/>
    <w:uiPriority w:val="29"/>
    <w:rsid w:val="0019754C"/>
    <w:rPr>
      <w:i/>
      <w:iCs/>
      <w:color w:val="404040" w:themeColor="text1" w:themeTint="BF"/>
    </w:rPr>
  </w:style>
  <w:style w:type="paragraph" w:styleId="ListParagraph">
    <w:name w:val="List Paragraph"/>
    <w:basedOn w:val="Normal"/>
    <w:uiPriority w:val="34"/>
    <w:qFormat/>
    <w:rsid w:val="0019754C"/>
    <w:pPr>
      <w:ind w:left="720"/>
      <w:contextualSpacing/>
    </w:pPr>
  </w:style>
  <w:style w:type="character" w:styleId="IntenseEmphasis">
    <w:name w:val="Intense Emphasis"/>
    <w:basedOn w:val="DefaultParagraphFont"/>
    <w:uiPriority w:val="21"/>
    <w:qFormat/>
    <w:rsid w:val="0019754C"/>
    <w:rPr>
      <w:i/>
      <w:iCs/>
      <w:color w:val="0F4761" w:themeColor="accent1" w:themeShade="BF"/>
    </w:rPr>
  </w:style>
  <w:style w:type="paragraph" w:styleId="IntenseQuote">
    <w:name w:val="Intense Quote"/>
    <w:basedOn w:val="Normal"/>
    <w:next w:val="Normal"/>
    <w:link w:val="IntenseQuoteChar"/>
    <w:uiPriority w:val="30"/>
    <w:qFormat/>
    <w:rsid w:val="00197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54C"/>
    <w:rPr>
      <w:i/>
      <w:iCs/>
      <w:color w:val="0F4761" w:themeColor="accent1" w:themeShade="BF"/>
    </w:rPr>
  </w:style>
  <w:style w:type="character" w:styleId="IntenseReference">
    <w:name w:val="Intense Reference"/>
    <w:basedOn w:val="DefaultParagraphFont"/>
    <w:uiPriority w:val="32"/>
    <w:qFormat/>
    <w:rsid w:val="0019754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460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603B"/>
    <w:rPr>
      <w:rFonts w:ascii="Consolas" w:hAnsi="Consolas"/>
      <w:sz w:val="20"/>
      <w:szCs w:val="20"/>
    </w:rPr>
  </w:style>
  <w:style w:type="paragraph" w:styleId="FootnoteText">
    <w:name w:val="footnote text"/>
    <w:basedOn w:val="Normal"/>
    <w:link w:val="FootnoteTextChar"/>
    <w:uiPriority w:val="99"/>
    <w:semiHidden/>
    <w:unhideWhenUsed/>
    <w:rsid w:val="00E739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7392A"/>
    <w:rPr>
      <w:sz w:val="20"/>
      <w:szCs w:val="20"/>
    </w:rPr>
  </w:style>
  <w:style w:type="character" w:styleId="FootnoteReference">
    <w:name w:val="footnote reference"/>
    <w:basedOn w:val="DefaultParagraphFont"/>
    <w:uiPriority w:val="99"/>
    <w:semiHidden/>
    <w:unhideWhenUsed/>
    <w:rsid w:val="00E739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779251">
      <w:bodyDiv w:val="1"/>
      <w:marLeft w:val="0"/>
      <w:marRight w:val="0"/>
      <w:marTop w:val="0"/>
      <w:marBottom w:val="0"/>
      <w:divBdr>
        <w:top w:val="none" w:sz="0" w:space="0" w:color="auto"/>
        <w:left w:val="none" w:sz="0" w:space="0" w:color="auto"/>
        <w:bottom w:val="none" w:sz="0" w:space="0" w:color="auto"/>
        <w:right w:val="none" w:sz="0" w:space="0" w:color="auto"/>
      </w:divBdr>
      <w:divsChild>
        <w:div w:id="1148014088">
          <w:marLeft w:val="0"/>
          <w:marRight w:val="0"/>
          <w:marTop w:val="0"/>
          <w:marBottom w:val="0"/>
          <w:divBdr>
            <w:top w:val="none" w:sz="0" w:space="0" w:color="auto"/>
            <w:left w:val="none" w:sz="0" w:space="0" w:color="auto"/>
            <w:bottom w:val="none" w:sz="0" w:space="0" w:color="auto"/>
            <w:right w:val="none" w:sz="0" w:space="0" w:color="auto"/>
          </w:divBdr>
        </w:div>
      </w:divsChild>
    </w:div>
    <w:div w:id="1677807253">
      <w:bodyDiv w:val="1"/>
      <w:marLeft w:val="0"/>
      <w:marRight w:val="0"/>
      <w:marTop w:val="0"/>
      <w:marBottom w:val="0"/>
      <w:divBdr>
        <w:top w:val="none" w:sz="0" w:space="0" w:color="auto"/>
        <w:left w:val="none" w:sz="0" w:space="0" w:color="auto"/>
        <w:bottom w:val="none" w:sz="0" w:space="0" w:color="auto"/>
        <w:right w:val="none" w:sz="0" w:space="0" w:color="auto"/>
      </w:divBdr>
      <w:divsChild>
        <w:div w:id="904486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QC, Mr [27902277@sun.ac.za]</dc:creator>
  <cp:keywords/>
  <dc:description/>
  <cp:lastModifiedBy>Barnard, QC, Mr [27902277@sun.ac.za]</cp:lastModifiedBy>
  <cp:revision>2</cp:revision>
  <cp:lastPrinted>2025-05-19T05:57:00Z</cp:lastPrinted>
  <dcterms:created xsi:type="dcterms:W3CDTF">2025-05-18T17:12:00Z</dcterms:created>
  <dcterms:modified xsi:type="dcterms:W3CDTF">2025-05-19T06:01:00Z</dcterms:modified>
</cp:coreProperties>
</file>