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869880"/>
        <w:docPartObj>
          <w:docPartGallery w:val="Cover Pages"/>
          <w:docPartUnique/>
        </w:docPartObj>
      </w:sdtPr>
      <w:sdtContent>
        <w:p w14:paraId="351A87B8" w14:textId="2BDE2D0E" w:rsidR="00927122" w:rsidRPr="00927122" w:rsidRDefault="00927122">
          <w:r w:rsidRPr="00927122">
            <mc:AlternateContent>
              <mc:Choice Requires="wpg">
                <w:drawing>
                  <wp:anchor distT="0" distB="0" distL="114300" distR="114300" simplePos="0" relativeHeight="251666432" behindDoc="0" locked="0" layoutInCell="1" allowOverlap="1" wp14:anchorId="55D55FB4" wp14:editId="75C56FA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0849C85" id="Group 157" o:spid="_x0000_s1026" style="position:absolute;margin-left:0;margin-top:0;width:8in;height:95.7pt;z-index:25166643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sidRPr="00927122">
            <mc:AlternateContent>
              <mc:Choice Requires="wps">
                <w:drawing>
                  <wp:anchor distT="0" distB="0" distL="114300" distR="114300" simplePos="0" relativeHeight="251664384" behindDoc="0" locked="0" layoutInCell="1" allowOverlap="1" wp14:anchorId="32585B44" wp14:editId="02B2093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2"/>
                                    <w:szCs w:val="32"/>
                                    <w:lang w:val="en-GB"/>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C3B6D1" w14:textId="39F91093" w:rsidR="00927122" w:rsidRPr="00927122" w:rsidRDefault="00927122">
                                    <w:pPr>
                                      <w:pStyle w:val="NoSpacing"/>
                                      <w:jc w:val="right"/>
                                      <w:rPr>
                                        <w:color w:val="595959" w:themeColor="text1" w:themeTint="A6"/>
                                        <w:sz w:val="32"/>
                                        <w:szCs w:val="32"/>
                                        <w:lang w:val="en-GB"/>
                                      </w:rPr>
                                    </w:pPr>
                                    <w:r w:rsidRPr="00927122">
                                      <w:rPr>
                                        <w:color w:val="595959" w:themeColor="text1" w:themeTint="A6"/>
                                        <w:sz w:val="32"/>
                                        <w:szCs w:val="32"/>
                                        <w:lang w:val="en-GB"/>
                                      </w:rPr>
                                      <w:t>Quin Barnard</w:t>
                                    </w:r>
                                  </w:p>
                                </w:sdtContent>
                              </w:sdt>
                              <w:p w14:paraId="56493037" w14:textId="072DE253" w:rsidR="00927122" w:rsidRPr="00927122" w:rsidRDefault="00927122">
                                <w:pPr>
                                  <w:pStyle w:val="NoSpacing"/>
                                  <w:jc w:val="right"/>
                                  <w:rPr>
                                    <w:color w:val="595959" w:themeColor="text1" w:themeTint="A6"/>
                                    <w:sz w:val="28"/>
                                    <w:szCs w:val="28"/>
                                    <w:lang w:val="en-GB"/>
                                  </w:rPr>
                                </w:pPr>
                                <w:sdt>
                                  <w:sdtPr>
                                    <w:rPr>
                                      <w:color w:val="595959" w:themeColor="text1" w:themeTint="A6"/>
                                      <w:sz w:val="28"/>
                                      <w:szCs w:val="28"/>
                                      <w:lang w:val="en-GB"/>
                                    </w:rPr>
                                    <w:alias w:val="Email"/>
                                    <w:tag w:val="Email"/>
                                    <w:id w:val="942260680"/>
                                    <w:dataBinding w:prefixMappings="xmlns:ns0='http://schemas.microsoft.com/office/2006/coverPageProps' " w:xpath="/ns0:CoverPageProperties[1]/ns0:CompanyEmail[1]" w:storeItemID="{55AF091B-3C7A-41E3-B477-F2FDAA23CFDA}"/>
                                    <w:text/>
                                  </w:sdtPr>
                                  <w:sdtContent>
                                    <w:r w:rsidRPr="00927122">
                                      <w:rPr>
                                        <w:color w:val="595959" w:themeColor="text1" w:themeTint="A6"/>
                                        <w:sz w:val="28"/>
                                        <w:szCs w:val="28"/>
                                        <w:lang w:val="en-GB"/>
                                      </w:rPr>
                                      <w:t>#27902277</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2585B44" id="_x0000_t202" coordsize="21600,21600" o:spt="202" path="m,l,21600r21600,l21600,xe">
                    <v:stroke joinstyle="miter"/>
                    <v:path gradientshapeok="t" o:connecttype="rect"/>
                  </v:shapetype>
                  <v:shape id="Text Box 159" o:spid="_x0000_s1026" type="#_x0000_t202" style="position:absolute;margin-left:0;margin-top:0;width:8in;height:1in;z-index:25166438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32"/>
                              <w:szCs w:val="32"/>
                              <w:lang w:val="en-GB"/>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C3B6D1" w14:textId="39F91093" w:rsidR="00927122" w:rsidRPr="00927122" w:rsidRDefault="00927122">
                              <w:pPr>
                                <w:pStyle w:val="NoSpacing"/>
                                <w:jc w:val="right"/>
                                <w:rPr>
                                  <w:color w:val="595959" w:themeColor="text1" w:themeTint="A6"/>
                                  <w:sz w:val="32"/>
                                  <w:szCs w:val="32"/>
                                  <w:lang w:val="en-GB"/>
                                </w:rPr>
                              </w:pPr>
                              <w:r w:rsidRPr="00927122">
                                <w:rPr>
                                  <w:color w:val="595959" w:themeColor="text1" w:themeTint="A6"/>
                                  <w:sz w:val="32"/>
                                  <w:szCs w:val="32"/>
                                  <w:lang w:val="en-GB"/>
                                </w:rPr>
                                <w:t>Quin Barnard</w:t>
                              </w:r>
                            </w:p>
                          </w:sdtContent>
                        </w:sdt>
                        <w:p w14:paraId="56493037" w14:textId="072DE253" w:rsidR="00927122" w:rsidRPr="00927122" w:rsidRDefault="00927122">
                          <w:pPr>
                            <w:pStyle w:val="NoSpacing"/>
                            <w:jc w:val="right"/>
                            <w:rPr>
                              <w:color w:val="595959" w:themeColor="text1" w:themeTint="A6"/>
                              <w:sz w:val="28"/>
                              <w:szCs w:val="28"/>
                              <w:lang w:val="en-GB"/>
                            </w:rPr>
                          </w:pPr>
                          <w:sdt>
                            <w:sdtPr>
                              <w:rPr>
                                <w:color w:val="595959" w:themeColor="text1" w:themeTint="A6"/>
                                <w:sz w:val="28"/>
                                <w:szCs w:val="28"/>
                                <w:lang w:val="en-GB"/>
                              </w:rPr>
                              <w:alias w:val="Email"/>
                              <w:tag w:val="Email"/>
                              <w:id w:val="942260680"/>
                              <w:dataBinding w:prefixMappings="xmlns:ns0='http://schemas.microsoft.com/office/2006/coverPageProps' " w:xpath="/ns0:CoverPageProperties[1]/ns0:CompanyEmail[1]" w:storeItemID="{55AF091B-3C7A-41E3-B477-F2FDAA23CFDA}"/>
                              <w:text/>
                            </w:sdtPr>
                            <w:sdtContent>
                              <w:r w:rsidRPr="00927122">
                                <w:rPr>
                                  <w:color w:val="595959" w:themeColor="text1" w:themeTint="A6"/>
                                  <w:sz w:val="28"/>
                                  <w:szCs w:val="28"/>
                                  <w:lang w:val="en-GB"/>
                                </w:rPr>
                                <w:t>#27902277</w:t>
                              </w:r>
                            </w:sdtContent>
                          </w:sdt>
                        </w:p>
                      </w:txbxContent>
                    </v:textbox>
                    <w10:wrap type="square" anchorx="page" anchory="page"/>
                  </v:shape>
                </w:pict>
              </mc:Fallback>
            </mc:AlternateContent>
          </w:r>
          <w:r w:rsidRPr="00927122">
            <mc:AlternateContent>
              <mc:Choice Requires="wps">
                <w:drawing>
                  <wp:anchor distT="0" distB="0" distL="114300" distR="114300" simplePos="0" relativeHeight="251665408" behindDoc="0" locked="0" layoutInCell="1" allowOverlap="1" wp14:anchorId="0318175D" wp14:editId="4E450DD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B81F9" w14:textId="35EDB852" w:rsidR="00927122" w:rsidRPr="00927122" w:rsidRDefault="00E775A3">
                                <w:pPr>
                                  <w:pStyle w:val="NoSpacing"/>
                                  <w:jc w:val="right"/>
                                  <w:rPr>
                                    <w:color w:val="156082" w:themeColor="accent1"/>
                                    <w:sz w:val="28"/>
                                    <w:szCs w:val="28"/>
                                    <w:lang w:val="en-GB"/>
                                  </w:rPr>
                                </w:pPr>
                                <w:r>
                                  <w:rPr>
                                    <w:color w:val="156082" w:themeColor="accent1"/>
                                    <w:sz w:val="28"/>
                                    <w:szCs w:val="28"/>
                                    <w:lang w:val="en-GB"/>
                                  </w:rPr>
                                  <w:t>Professor Emanuel Bylund</w:t>
                                </w:r>
                              </w:p>
                              <w:sdt>
                                <w:sdtPr>
                                  <w:rPr>
                                    <w:color w:val="595959" w:themeColor="text1" w:themeTint="A6"/>
                                    <w:sz w:val="20"/>
                                    <w:szCs w:val="20"/>
                                    <w:lang w:val="en-GB"/>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A461F0D" w14:textId="515F6346" w:rsidR="00927122" w:rsidRPr="00927122" w:rsidRDefault="00E775A3">
                                    <w:pPr>
                                      <w:pStyle w:val="NoSpacing"/>
                                      <w:jc w:val="right"/>
                                      <w:rPr>
                                        <w:color w:val="595959" w:themeColor="text1" w:themeTint="A6"/>
                                        <w:sz w:val="20"/>
                                        <w:szCs w:val="20"/>
                                        <w:lang w:val="en-GB"/>
                                      </w:rPr>
                                    </w:pPr>
                                    <w:r>
                                      <w:rPr>
                                        <w:color w:val="595959" w:themeColor="text1" w:themeTint="A6"/>
                                        <w:sz w:val="20"/>
                                        <w:szCs w:val="20"/>
                                        <w:lang w:val="en-GB"/>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318175D" id="Text Box 161" o:spid="_x0000_s1027" type="#_x0000_t202" style="position:absolute;margin-left:0;margin-top:0;width:8in;height:79.5pt;z-index:25166540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0CB81F9" w14:textId="35EDB852" w:rsidR="00927122" w:rsidRPr="00927122" w:rsidRDefault="00E775A3">
                          <w:pPr>
                            <w:pStyle w:val="NoSpacing"/>
                            <w:jc w:val="right"/>
                            <w:rPr>
                              <w:color w:val="156082" w:themeColor="accent1"/>
                              <w:sz w:val="28"/>
                              <w:szCs w:val="28"/>
                              <w:lang w:val="en-GB"/>
                            </w:rPr>
                          </w:pPr>
                          <w:r>
                            <w:rPr>
                              <w:color w:val="156082" w:themeColor="accent1"/>
                              <w:sz w:val="28"/>
                              <w:szCs w:val="28"/>
                              <w:lang w:val="en-GB"/>
                            </w:rPr>
                            <w:t>Professor Emanuel Bylund</w:t>
                          </w:r>
                        </w:p>
                        <w:sdt>
                          <w:sdtPr>
                            <w:rPr>
                              <w:color w:val="595959" w:themeColor="text1" w:themeTint="A6"/>
                              <w:sz w:val="20"/>
                              <w:szCs w:val="20"/>
                              <w:lang w:val="en-GB"/>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A461F0D" w14:textId="515F6346" w:rsidR="00927122" w:rsidRPr="00927122" w:rsidRDefault="00E775A3">
                              <w:pPr>
                                <w:pStyle w:val="NoSpacing"/>
                                <w:jc w:val="right"/>
                                <w:rPr>
                                  <w:color w:val="595959" w:themeColor="text1" w:themeTint="A6"/>
                                  <w:sz w:val="20"/>
                                  <w:szCs w:val="20"/>
                                  <w:lang w:val="en-GB"/>
                                </w:rPr>
                              </w:pPr>
                              <w:r>
                                <w:rPr>
                                  <w:color w:val="595959" w:themeColor="text1" w:themeTint="A6"/>
                                  <w:sz w:val="20"/>
                                  <w:szCs w:val="20"/>
                                  <w:lang w:val="en-GB"/>
                                </w:rPr>
                                <w:t xml:space="preserve">     </w:t>
                              </w:r>
                            </w:p>
                          </w:sdtContent>
                        </w:sdt>
                      </w:txbxContent>
                    </v:textbox>
                    <w10:wrap type="square" anchorx="page" anchory="page"/>
                  </v:shape>
                </w:pict>
              </mc:Fallback>
            </mc:AlternateContent>
          </w:r>
          <w:r w:rsidRPr="00927122">
            <mc:AlternateContent>
              <mc:Choice Requires="wps">
                <w:drawing>
                  <wp:anchor distT="0" distB="0" distL="114300" distR="114300" simplePos="0" relativeHeight="251663360" behindDoc="0" locked="0" layoutInCell="1" allowOverlap="1" wp14:anchorId="4A311E1C" wp14:editId="595CFA0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21F749" w14:textId="257F3A6F" w:rsidR="00927122" w:rsidRPr="00927122" w:rsidRDefault="00927122" w:rsidP="00E775A3">
                                <w:pPr>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927122">
                                      <w:rPr>
                                        <w:caps/>
                                        <w:color w:val="156082" w:themeColor="accent1"/>
                                        <w:sz w:val="64"/>
                                        <w:szCs w:val="64"/>
                                      </w:rPr>
                                      <w:t>A Window onto brain plasticity:</w:t>
                                    </w:r>
                                    <w:r w:rsidRPr="00927122">
                                      <w:rPr>
                                        <w:caps/>
                                        <w:color w:val="156082" w:themeColor="accent1"/>
                                        <w:sz w:val="64"/>
                                        <w:szCs w:val="64"/>
                                      </w:rPr>
                                      <w:br/>
                                      <w:t>Language development in international adoptees</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882E3" w14:textId="465E54EE" w:rsidR="00927122" w:rsidRPr="00E775A3" w:rsidRDefault="00927122">
                                    <w:pPr>
                                      <w:jc w:val="right"/>
                                      <w:rPr>
                                        <w:smallCaps/>
                                        <w:color w:val="404040" w:themeColor="text1" w:themeTint="BF"/>
                                        <w:sz w:val="40"/>
                                        <w:szCs w:val="40"/>
                                      </w:rPr>
                                    </w:pPr>
                                    <w:r w:rsidRPr="00E775A3">
                                      <w:rPr>
                                        <w:color w:val="404040" w:themeColor="text1" w:themeTint="BF"/>
                                        <w:sz w:val="40"/>
                                        <w:szCs w:val="40"/>
                                      </w:rPr>
                                      <w:t>General Linguistics 278</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311E1C" id="Text Box 163" o:spid="_x0000_s1028" type="#_x0000_t202" style="position:absolute;margin-left:0;margin-top:0;width:8in;height:286.5pt;z-index:25166336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F21F749" w14:textId="257F3A6F" w:rsidR="00927122" w:rsidRPr="00927122" w:rsidRDefault="00927122" w:rsidP="00E775A3">
                          <w:pPr>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927122">
                                <w:rPr>
                                  <w:caps/>
                                  <w:color w:val="156082" w:themeColor="accent1"/>
                                  <w:sz w:val="64"/>
                                  <w:szCs w:val="64"/>
                                </w:rPr>
                                <w:t>A Window onto brain plasticity:</w:t>
                              </w:r>
                              <w:r w:rsidRPr="00927122">
                                <w:rPr>
                                  <w:caps/>
                                  <w:color w:val="156082" w:themeColor="accent1"/>
                                  <w:sz w:val="64"/>
                                  <w:szCs w:val="64"/>
                                </w:rPr>
                                <w:br/>
                                <w:t>Language development in international adoptees</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882E3" w14:textId="465E54EE" w:rsidR="00927122" w:rsidRPr="00E775A3" w:rsidRDefault="00927122">
                              <w:pPr>
                                <w:jc w:val="right"/>
                                <w:rPr>
                                  <w:smallCaps/>
                                  <w:color w:val="404040" w:themeColor="text1" w:themeTint="BF"/>
                                  <w:sz w:val="40"/>
                                  <w:szCs w:val="40"/>
                                </w:rPr>
                              </w:pPr>
                              <w:r w:rsidRPr="00E775A3">
                                <w:rPr>
                                  <w:color w:val="404040" w:themeColor="text1" w:themeTint="BF"/>
                                  <w:sz w:val="40"/>
                                  <w:szCs w:val="40"/>
                                </w:rPr>
                                <w:t>General Linguistics 278</w:t>
                              </w:r>
                            </w:p>
                          </w:sdtContent>
                        </w:sdt>
                      </w:txbxContent>
                    </v:textbox>
                    <w10:wrap type="square" anchorx="page" anchory="page"/>
                  </v:shape>
                </w:pict>
              </mc:Fallback>
            </mc:AlternateContent>
          </w:r>
        </w:p>
        <w:p w14:paraId="4B7CF4AF" w14:textId="5EF0C0EC" w:rsidR="00927122" w:rsidRPr="00927122" w:rsidRDefault="00927122" w:rsidP="00E775A3">
          <w:pPr>
            <w:jc w:val="center"/>
          </w:pPr>
          <w:r w:rsidRPr="00927122">
            <w:br w:type="page"/>
          </w:r>
        </w:p>
      </w:sdtContent>
    </w:sdt>
    <w:p w14:paraId="5E1BB7CF" w14:textId="686765A6" w:rsidR="00D26C51" w:rsidRDefault="00D26C51" w:rsidP="00BB04A0">
      <w:pPr>
        <w:spacing w:line="360" w:lineRule="auto"/>
        <w:jc w:val="center"/>
        <w:rPr>
          <w:sz w:val="32"/>
          <w:szCs w:val="32"/>
          <w:u w:val="single"/>
        </w:rPr>
      </w:pPr>
      <w:r>
        <w:rPr>
          <w:sz w:val="32"/>
          <w:szCs w:val="32"/>
          <w:u w:val="single"/>
        </w:rPr>
        <w:lastRenderedPageBreak/>
        <w:t>Introduction</w:t>
      </w:r>
    </w:p>
    <w:p w14:paraId="529F754B" w14:textId="4F3B4B73" w:rsidR="00D26C51" w:rsidRPr="00D26C51" w:rsidRDefault="00D26C51" w:rsidP="00BB04A0">
      <w:pPr>
        <w:spacing w:line="360" w:lineRule="auto"/>
        <w:jc w:val="both"/>
        <w:rPr>
          <w:sz w:val="24"/>
          <w:szCs w:val="24"/>
        </w:rPr>
      </w:pPr>
      <w:r>
        <w:rPr>
          <w:sz w:val="24"/>
          <w:szCs w:val="24"/>
        </w:rPr>
        <w:t>There are two hypotheses competing for attention among linguists focusing on the psycholinguistic causes and effects of language acquisition, namely the Critical Period Hypothesis and Interference hypothesis (henceforth “CPH” and “IH” respectively). This brief report will compare and analyse two articles from the literature, each advocating for one of the two hypotheses.</w:t>
      </w:r>
    </w:p>
    <w:p w14:paraId="2C5C1322" w14:textId="1892CBC1" w:rsidR="0091214A" w:rsidRPr="00E775A3" w:rsidRDefault="00E775A3" w:rsidP="00BB04A0">
      <w:pPr>
        <w:spacing w:line="360" w:lineRule="auto"/>
        <w:jc w:val="center"/>
        <w:rPr>
          <w:sz w:val="32"/>
          <w:szCs w:val="32"/>
          <w:u w:val="single"/>
        </w:rPr>
      </w:pPr>
      <w:r w:rsidRPr="00E775A3">
        <w:rPr>
          <w:sz w:val="32"/>
          <w:szCs w:val="32"/>
          <w:u w:val="single"/>
        </w:rPr>
        <w:t>Summary Of the Critical Period Hypothesis</w:t>
      </w:r>
    </w:p>
    <w:p w14:paraId="08A0782E" w14:textId="41C1B07D" w:rsidR="00E775A3" w:rsidRDefault="00E775A3" w:rsidP="00BB04A0">
      <w:pPr>
        <w:spacing w:line="360" w:lineRule="auto"/>
        <w:jc w:val="both"/>
        <w:rPr>
          <w:sz w:val="24"/>
          <w:szCs w:val="24"/>
        </w:rPr>
      </w:pPr>
      <w:r w:rsidRPr="00E775A3">
        <w:rPr>
          <w:sz w:val="24"/>
          <w:szCs w:val="24"/>
        </w:rPr>
        <w:t>According to Nor</w:t>
      </w:r>
      <w:r w:rsidR="004A6D36">
        <w:rPr>
          <w:sz w:val="24"/>
          <w:szCs w:val="24"/>
        </w:rPr>
        <w:t>r</w:t>
      </w:r>
      <w:r w:rsidRPr="00E775A3">
        <w:rPr>
          <w:sz w:val="24"/>
          <w:szCs w:val="24"/>
        </w:rPr>
        <w:t>man &amp; Bylund (2016:513) the</w:t>
      </w:r>
      <w:r w:rsidR="00D26C51">
        <w:rPr>
          <w:sz w:val="24"/>
          <w:szCs w:val="24"/>
        </w:rPr>
        <w:t xml:space="preserve"> </w:t>
      </w:r>
      <w:r w:rsidR="00BB474F">
        <w:rPr>
          <w:sz w:val="24"/>
          <w:szCs w:val="24"/>
        </w:rPr>
        <w:t>CPH</w:t>
      </w:r>
      <w:r w:rsidRPr="00E775A3">
        <w:rPr>
          <w:sz w:val="24"/>
          <w:szCs w:val="24"/>
        </w:rPr>
        <w:t xml:space="preserve"> claims that the success of the full apprehension of the phonology of a given language is highly dependent on when a child is exposed to the</w:t>
      </w:r>
      <w:r w:rsidR="00BB474F">
        <w:rPr>
          <w:sz w:val="24"/>
          <w:szCs w:val="24"/>
        </w:rPr>
        <w:t xml:space="preserve"> </w:t>
      </w:r>
      <w:r w:rsidRPr="00E775A3">
        <w:rPr>
          <w:sz w:val="24"/>
          <w:szCs w:val="24"/>
        </w:rPr>
        <w:t xml:space="preserve">language. The hypothesis explains this by </w:t>
      </w:r>
      <w:r w:rsidR="00BB474F">
        <w:rPr>
          <w:sz w:val="24"/>
          <w:szCs w:val="24"/>
        </w:rPr>
        <w:t xml:space="preserve">asserting </w:t>
      </w:r>
      <w:r w:rsidR="007B46A2">
        <w:rPr>
          <w:sz w:val="24"/>
          <w:szCs w:val="24"/>
        </w:rPr>
        <w:t xml:space="preserve">that </w:t>
      </w:r>
      <w:r w:rsidRPr="00E775A3">
        <w:rPr>
          <w:sz w:val="24"/>
          <w:szCs w:val="24"/>
        </w:rPr>
        <w:t xml:space="preserve">a </w:t>
      </w:r>
      <w:r w:rsidR="007B46A2">
        <w:rPr>
          <w:sz w:val="24"/>
          <w:szCs w:val="24"/>
        </w:rPr>
        <w:t>decrease</w:t>
      </w:r>
      <w:r w:rsidRPr="00E775A3">
        <w:rPr>
          <w:sz w:val="24"/>
          <w:szCs w:val="24"/>
        </w:rPr>
        <w:t xml:space="preserve"> of </w:t>
      </w:r>
      <w:r w:rsidR="007B46A2">
        <w:rPr>
          <w:sz w:val="24"/>
          <w:szCs w:val="24"/>
        </w:rPr>
        <w:t xml:space="preserve">neural plasticity, </w:t>
      </w:r>
      <w:r w:rsidR="00BB474F">
        <w:rPr>
          <w:sz w:val="24"/>
          <w:szCs w:val="24"/>
        </w:rPr>
        <w:t xml:space="preserve">typically caused by physical maturation near </w:t>
      </w:r>
      <w:r w:rsidR="007B46A2">
        <w:rPr>
          <w:sz w:val="24"/>
          <w:szCs w:val="24"/>
        </w:rPr>
        <w:t xml:space="preserve">the onset of puberty (Lenneberg, cited in Pallier, Dehaene, Poline, </w:t>
      </w:r>
      <w:proofErr w:type="spellStart"/>
      <w:r w:rsidR="007B46A2">
        <w:rPr>
          <w:sz w:val="24"/>
          <w:szCs w:val="24"/>
        </w:rPr>
        <w:t>LeBihan</w:t>
      </w:r>
      <w:proofErr w:type="spellEnd"/>
      <w:r w:rsidR="007B46A2">
        <w:rPr>
          <w:sz w:val="24"/>
          <w:szCs w:val="24"/>
        </w:rPr>
        <w:t xml:space="preserve">, Argenti, Dupoux and Mehler 2003:160) inhibits the acquisition of a new language to a nativelike level. </w:t>
      </w:r>
      <w:r w:rsidR="00BB474F">
        <w:rPr>
          <w:sz w:val="24"/>
          <w:szCs w:val="24"/>
        </w:rPr>
        <w:t xml:space="preserve">Pallier </w:t>
      </w:r>
      <w:r w:rsidR="00BB474F">
        <w:rPr>
          <w:i/>
          <w:iCs/>
          <w:sz w:val="24"/>
          <w:szCs w:val="24"/>
        </w:rPr>
        <w:t>et al.</w:t>
      </w:r>
      <w:r w:rsidR="00BB474F">
        <w:rPr>
          <w:sz w:val="24"/>
          <w:szCs w:val="24"/>
        </w:rPr>
        <w:t xml:space="preserve"> (2003:155) cite Johnson and Newport</w:t>
      </w:r>
      <w:r w:rsidR="00793A72" w:rsidRPr="00793A72">
        <w:rPr>
          <w:sz w:val="24"/>
          <w:szCs w:val="24"/>
        </w:rPr>
        <w:t xml:space="preserve"> </w:t>
      </w:r>
      <w:r w:rsidR="00793A72">
        <w:rPr>
          <w:sz w:val="24"/>
          <w:szCs w:val="24"/>
        </w:rPr>
        <w:t>that this sensitivity</w:t>
      </w:r>
      <w:r w:rsidR="00714B24">
        <w:rPr>
          <w:sz w:val="24"/>
          <w:szCs w:val="24"/>
        </w:rPr>
        <w:t xml:space="preserve"> to time of exposure</w:t>
      </w:r>
      <w:r w:rsidR="00793A72">
        <w:rPr>
          <w:sz w:val="24"/>
          <w:szCs w:val="24"/>
        </w:rPr>
        <w:t xml:space="preserve"> extends beyond phonology and includes</w:t>
      </w:r>
      <w:r w:rsidR="00BB474F">
        <w:rPr>
          <w:sz w:val="24"/>
          <w:szCs w:val="24"/>
        </w:rPr>
        <w:t xml:space="preserve"> </w:t>
      </w:r>
      <w:r w:rsidR="00230082">
        <w:rPr>
          <w:sz w:val="24"/>
          <w:szCs w:val="24"/>
        </w:rPr>
        <w:t>morphology and syntax.</w:t>
      </w:r>
      <w:r w:rsidR="00230082">
        <w:rPr>
          <w:sz w:val="24"/>
          <w:szCs w:val="24"/>
        </w:rPr>
        <w:t xml:space="preserve"> </w:t>
      </w:r>
    </w:p>
    <w:p w14:paraId="645ADAA3" w14:textId="193F12A5" w:rsidR="004A6D36" w:rsidRPr="004A6D36" w:rsidRDefault="004A6D36" w:rsidP="00BB04A0">
      <w:pPr>
        <w:spacing w:line="360" w:lineRule="auto"/>
        <w:jc w:val="center"/>
        <w:rPr>
          <w:sz w:val="32"/>
          <w:szCs w:val="32"/>
          <w:u w:val="single"/>
        </w:rPr>
      </w:pPr>
      <w:r w:rsidRPr="004A6D36">
        <w:rPr>
          <w:sz w:val="32"/>
          <w:szCs w:val="32"/>
          <w:u w:val="single"/>
        </w:rPr>
        <w:t>Summary of the Interference Hypothesis</w:t>
      </w:r>
    </w:p>
    <w:p w14:paraId="5FBC1673" w14:textId="56CB600A" w:rsidR="00D26C51" w:rsidRDefault="003D5660" w:rsidP="00BB04A0">
      <w:pPr>
        <w:spacing w:line="360" w:lineRule="auto"/>
        <w:jc w:val="both"/>
        <w:rPr>
          <w:sz w:val="24"/>
          <w:szCs w:val="24"/>
        </w:rPr>
      </w:pPr>
      <w:r>
        <w:rPr>
          <w:sz w:val="24"/>
          <w:szCs w:val="24"/>
        </w:rPr>
        <w:t xml:space="preserve">Pallier </w:t>
      </w:r>
      <w:r>
        <w:rPr>
          <w:i/>
          <w:iCs/>
          <w:sz w:val="24"/>
          <w:szCs w:val="24"/>
        </w:rPr>
        <w:t xml:space="preserve">et al. </w:t>
      </w:r>
      <w:r>
        <w:rPr>
          <w:sz w:val="24"/>
          <w:szCs w:val="24"/>
        </w:rPr>
        <w:t>(2003:155) cite Bever (1981) that the loss of neural plasticity may not be brought on by physical maturation, but</w:t>
      </w:r>
      <w:r w:rsidR="00230082">
        <w:rPr>
          <w:sz w:val="24"/>
          <w:szCs w:val="24"/>
        </w:rPr>
        <w:t xml:space="preserve"> rather</w:t>
      </w:r>
      <w:r>
        <w:rPr>
          <w:sz w:val="24"/>
          <w:szCs w:val="24"/>
        </w:rPr>
        <w:t xml:space="preserve"> the</w:t>
      </w:r>
      <w:r w:rsidR="00230082">
        <w:rPr>
          <w:sz w:val="24"/>
          <w:szCs w:val="24"/>
        </w:rPr>
        <w:t xml:space="preserve"> process of</w:t>
      </w:r>
      <w:r>
        <w:rPr>
          <w:sz w:val="24"/>
          <w:szCs w:val="24"/>
        </w:rPr>
        <w:t xml:space="preserve"> acqui</w:t>
      </w:r>
      <w:r w:rsidR="00230082">
        <w:rPr>
          <w:sz w:val="24"/>
          <w:szCs w:val="24"/>
        </w:rPr>
        <w:t>ring</w:t>
      </w:r>
      <w:r>
        <w:rPr>
          <w:sz w:val="24"/>
          <w:szCs w:val="24"/>
        </w:rPr>
        <w:t xml:space="preserve"> of a language itself.</w:t>
      </w:r>
      <w:r w:rsidR="00230082">
        <w:rPr>
          <w:sz w:val="24"/>
          <w:szCs w:val="24"/>
        </w:rPr>
        <w:t xml:space="preserve"> This theory </w:t>
      </w:r>
      <w:r w:rsidR="00D26C51">
        <w:rPr>
          <w:sz w:val="24"/>
          <w:szCs w:val="24"/>
        </w:rPr>
        <w:t xml:space="preserve">is </w:t>
      </w:r>
      <w:r w:rsidR="00230082">
        <w:rPr>
          <w:sz w:val="24"/>
          <w:szCs w:val="24"/>
        </w:rPr>
        <w:t xml:space="preserve">known as the IH, as it posits that the structure imprinted on the brain by the speaker’s first language (henceforth “L1”) is </w:t>
      </w:r>
      <w:r w:rsidR="00793A72">
        <w:rPr>
          <w:sz w:val="24"/>
          <w:szCs w:val="24"/>
        </w:rPr>
        <w:t xml:space="preserve">the cause of the impedance to the learning of additional languages. According to the IH, </w:t>
      </w:r>
      <w:r w:rsidR="00002B61">
        <w:rPr>
          <w:sz w:val="24"/>
          <w:szCs w:val="24"/>
        </w:rPr>
        <w:t>learning a language builds certain neural pathways and in doing so sets the structure of the brain</w:t>
      </w:r>
      <w:r w:rsidR="00D95E7D">
        <w:rPr>
          <w:sz w:val="24"/>
          <w:szCs w:val="24"/>
        </w:rPr>
        <w:t>.</w:t>
      </w:r>
    </w:p>
    <w:p w14:paraId="18C3D301" w14:textId="2F963B00" w:rsidR="004A6D36" w:rsidRDefault="00D26C51" w:rsidP="00BB04A0">
      <w:pPr>
        <w:spacing w:line="360" w:lineRule="auto"/>
        <w:rPr>
          <w:sz w:val="24"/>
          <w:szCs w:val="24"/>
        </w:rPr>
      </w:pPr>
      <w:r>
        <w:rPr>
          <w:sz w:val="24"/>
          <w:szCs w:val="24"/>
        </w:rPr>
        <w:br w:type="page"/>
      </w:r>
    </w:p>
    <w:p w14:paraId="6912699E" w14:textId="28C6B479" w:rsidR="00714B24" w:rsidRDefault="00714B24" w:rsidP="00BB04A0">
      <w:pPr>
        <w:spacing w:line="360" w:lineRule="auto"/>
        <w:jc w:val="center"/>
        <w:rPr>
          <w:sz w:val="32"/>
          <w:szCs w:val="32"/>
          <w:u w:val="single"/>
        </w:rPr>
      </w:pPr>
      <w:r>
        <w:rPr>
          <w:sz w:val="32"/>
          <w:szCs w:val="32"/>
          <w:u w:val="single"/>
        </w:rPr>
        <w:lastRenderedPageBreak/>
        <w:t>Similarities and Differences between the Critical Period</w:t>
      </w:r>
      <w:r w:rsidR="00A46E1F" w:rsidRPr="00A46E1F">
        <w:rPr>
          <w:sz w:val="32"/>
          <w:szCs w:val="32"/>
          <w:u w:val="single"/>
        </w:rPr>
        <w:t>—</w:t>
      </w:r>
      <w:r>
        <w:rPr>
          <w:sz w:val="32"/>
          <w:szCs w:val="32"/>
          <w:u w:val="single"/>
        </w:rPr>
        <w:t xml:space="preserve"> and Interference Hypotheses</w:t>
      </w:r>
    </w:p>
    <w:p w14:paraId="685BC560" w14:textId="53012911" w:rsidR="00A46E1F" w:rsidRPr="00A46E1F" w:rsidRDefault="00D26C51" w:rsidP="00BB04A0">
      <w:pPr>
        <w:spacing w:line="360" w:lineRule="auto"/>
        <w:jc w:val="both"/>
        <w:rPr>
          <w:sz w:val="24"/>
          <w:szCs w:val="24"/>
        </w:rPr>
      </w:pPr>
      <w:r>
        <w:rPr>
          <w:sz w:val="24"/>
          <w:szCs w:val="24"/>
        </w:rPr>
        <w:t>The role that neural plasticity plays in language-learning is undeniable and given as the source of difficulty adults experience when attempting to learn a new language by both the CPH and IH. The main difference between the two is their explanations for the loss of neural plasticity.</w:t>
      </w:r>
      <w:r w:rsidR="00650F95">
        <w:rPr>
          <w:sz w:val="24"/>
          <w:szCs w:val="24"/>
        </w:rPr>
        <w:t xml:space="preserve"> According to the CPH, loss of neural plasticity is set to happen at a certain point in physical development and can neither be averted nor reverted. The IH, however, supposes that reversal of loss of neural plasticity, that is a gain in neural plasticity, can be achieved by a complete lack of stimulus in a speaker’s L1. This is because the CPH posits a more stable brain structure as simply a product of maturation while the IH presents the process of learning language itself as the stabiliser of brain structure. Neural plasticity should then be able to be regained insofar as a language can be “un-learned” or </w:t>
      </w:r>
      <w:proofErr w:type="spellStart"/>
      <w:r w:rsidR="00650F95">
        <w:rPr>
          <w:sz w:val="24"/>
          <w:szCs w:val="24"/>
        </w:rPr>
        <w:t>attrited</w:t>
      </w:r>
      <w:proofErr w:type="spellEnd"/>
      <w:r w:rsidR="00650F95">
        <w:rPr>
          <w:sz w:val="24"/>
          <w:szCs w:val="24"/>
        </w:rPr>
        <w:t>, according to the IH.</w:t>
      </w:r>
    </w:p>
    <w:p w14:paraId="0E76CABD" w14:textId="68D1676F" w:rsidR="00A46E1F" w:rsidRDefault="00650F95" w:rsidP="00BB04A0">
      <w:pPr>
        <w:spacing w:line="360" w:lineRule="auto"/>
        <w:jc w:val="center"/>
        <w:rPr>
          <w:sz w:val="32"/>
          <w:szCs w:val="32"/>
          <w:u w:val="single"/>
        </w:rPr>
      </w:pPr>
      <w:r>
        <w:rPr>
          <w:sz w:val="32"/>
          <w:szCs w:val="32"/>
          <w:u w:val="single"/>
        </w:rPr>
        <w:t xml:space="preserve">Weaknesses in Pallier </w:t>
      </w:r>
      <w:r>
        <w:rPr>
          <w:i/>
          <w:iCs/>
          <w:sz w:val="32"/>
          <w:szCs w:val="32"/>
          <w:u w:val="single"/>
        </w:rPr>
        <w:t>et al.</w:t>
      </w:r>
      <w:r>
        <w:rPr>
          <w:sz w:val="32"/>
          <w:szCs w:val="32"/>
          <w:u w:val="single"/>
        </w:rPr>
        <w:t xml:space="preserve"> (2003) and Norman &amp; Bylund (2016)</w:t>
      </w:r>
    </w:p>
    <w:p w14:paraId="162CCAD6" w14:textId="2132E81D" w:rsidR="00EE55CB" w:rsidRDefault="00EE55CB" w:rsidP="00BB04A0">
      <w:pPr>
        <w:spacing w:line="360" w:lineRule="auto"/>
        <w:jc w:val="both"/>
        <w:rPr>
          <w:sz w:val="24"/>
          <w:szCs w:val="24"/>
        </w:rPr>
      </w:pPr>
      <w:r>
        <w:rPr>
          <w:sz w:val="24"/>
          <w:szCs w:val="24"/>
        </w:rPr>
        <w:t xml:space="preserve">Although both articles study international adoptees who have had little to no exposure to their L1’s, neither of the studies explored the possibility of latent brain structure accommodating the so-called “lost” L1. If it were found that the subjects had a significant advantage in learning their L1 over other languages, this would detract from the validity of Pallier </w:t>
      </w:r>
      <w:r>
        <w:rPr>
          <w:i/>
          <w:iCs/>
          <w:sz w:val="24"/>
          <w:szCs w:val="24"/>
        </w:rPr>
        <w:t>et al.</w:t>
      </w:r>
      <w:r>
        <w:rPr>
          <w:sz w:val="24"/>
          <w:szCs w:val="24"/>
        </w:rPr>
        <w:t>’s claims that the L2 can completely replace the L1 in the brain. Norrman and Bylund failed to test to what extent Spanish (the L1) had been lost in their subjects. Any presence of the L1, such as overheard conversations in public, might serve to further solidify the neural pathways serving Spanish rather than Swedish phonological recognition.</w:t>
      </w:r>
      <w:r w:rsidR="00EB50D3">
        <w:rPr>
          <w:sz w:val="24"/>
          <w:szCs w:val="24"/>
        </w:rPr>
        <w:t xml:space="preserve"> Pallier </w:t>
      </w:r>
      <w:r w:rsidR="00EB50D3">
        <w:rPr>
          <w:i/>
          <w:iCs/>
          <w:sz w:val="24"/>
          <w:szCs w:val="24"/>
        </w:rPr>
        <w:t xml:space="preserve">et al. </w:t>
      </w:r>
      <w:r w:rsidR="00EB50D3">
        <w:rPr>
          <w:sz w:val="24"/>
          <w:szCs w:val="24"/>
        </w:rPr>
        <w:t>(2003:160)</w:t>
      </w:r>
      <w:r w:rsidR="00EB50D3">
        <w:rPr>
          <w:i/>
          <w:iCs/>
          <w:sz w:val="24"/>
          <w:szCs w:val="24"/>
        </w:rPr>
        <w:t xml:space="preserve"> </w:t>
      </w:r>
      <w:r w:rsidR="00EB50D3">
        <w:rPr>
          <w:sz w:val="24"/>
          <w:szCs w:val="24"/>
        </w:rPr>
        <w:t>acknowledge the critique that their oldest participant was less than 8 years of age but dismiss it with the fact that some versions of the CPH claim that a loss of neural plasticity begins well before puberty.</w:t>
      </w:r>
      <w:r w:rsidR="00D95E7D">
        <w:rPr>
          <w:sz w:val="24"/>
          <w:szCs w:val="24"/>
        </w:rPr>
        <w:t xml:space="preserve"> This defence is insufficient as the increased plasticity before puberty, even with a potential decline starting long before pubescence, could just as easily account for their findings as the IH.</w:t>
      </w:r>
    </w:p>
    <w:p w14:paraId="585EB7B2" w14:textId="44BA0673" w:rsidR="00D95E7D" w:rsidRDefault="00D95E7D" w:rsidP="00BB04A0">
      <w:pPr>
        <w:spacing w:line="360" w:lineRule="auto"/>
        <w:rPr>
          <w:sz w:val="24"/>
          <w:szCs w:val="24"/>
        </w:rPr>
      </w:pPr>
      <w:r>
        <w:rPr>
          <w:sz w:val="24"/>
          <w:szCs w:val="24"/>
        </w:rPr>
        <w:br w:type="page"/>
      </w:r>
    </w:p>
    <w:p w14:paraId="7F3304EE" w14:textId="4DC845AE" w:rsidR="00D95E7D" w:rsidRPr="00D95E7D" w:rsidRDefault="00D95E7D" w:rsidP="00BB04A0">
      <w:pPr>
        <w:spacing w:line="360" w:lineRule="auto"/>
        <w:jc w:val="center"/>
        <w:rPr>
          <w:sz w:val="32"/>
          <w:szCs w:val="32"/>
        </w:rPr>
      </w:pPr>
      <w:r>
        <w:rPr>
          <w:sz w:val="32"/>
          <w:szCs w:val="32"/>
          <w:u w:val="single"/>
        </w:rPr>
        <w:lastRenderedPageBreak/>
        <w:t>Optimising Methodology</w:t>
      </w:r>
    </w:p>
    <w:p w14:paraId="5EBEECF4" w14:textId="024A963B" w:rsidR="00EE55CB" w:rsidRDefault="00EA7FA9" w:rsidP="00BB04A0">
      <w:pPr>
        <w:spacing w:line="360" w:lineRule="auto"/>
        <w:rPr>
          <w:sz w:val="24"/>
          <w:szCs w:val="24"/>
        </w:rPr>
      </w:pPr>
      <w:r>
        <w:rPr>
          <w:sz w:val="24"/>
          <w:szCs w:val="24"/>
        </w:rPr>
        <w:t xml:space="preserve">This section of the report will imagine an ideal study that will avoid the weaknesses outlined above. The participants will be Finnish born persons adopted into Afrikaans households. They will be tested at the age of 30 and divided into three main groups depending on what age they were at adoption. The first group will have been adopted in the age range of 2-6, the second in the range of 6-9 and the final in the range of 9-12. This separation will be done to eliminate variation in the data caused by the participants’ being in different developmental stages. </w:t>
      </w:r>
      <w:r w:rsidR="00BB04A0">
        <w:rPr>
          <w:sz w:val="24"/>
          <w:szCs w:val="24"/>
        </w:rPr>
        <w:t xml:space="preserve">They will then be assessed by a native Finnish linguist, to ensure that there is no perceptible remaining knowledge of Finnish. Only then will testing begin, during which they </w:t>
      </w:r>
      <w:r w:rsidR="007D17C3">
        <w:rPr>
          <w:sz w:val="24"/>
          <w:szCs w:val="24"/>
        </w:rPr>
        <w:t>will be asked to convert given sentences into the negative form or explain the meaning of a given sentence which has already been negated. This test assesses lexical knowledge, syntactic capability with regards to Afrikaans’s use of two words for negation with precise position of the two words causing subtle meaning differences, and phonological knowledge with the Afrikaans equivalent of the English “neither … nor” construction relying on tone emphasis. The results will then be compared with a control group of Afrikaans natives.</w:t>
      </w:r>
      <w:r w:rsidR="00EE55CB">
        <w:rPr>
          <w:sz w:val="24"/>
          <w:szCs w:val="24"/>
        </w:rPr>
        <w:br w:type="page"/>
      </w:r>
    </w:p>
    <w:p w14:paraId="6AF035BA" w14:textId="2A80CDB7" w:rsidR="00650F95" w:rsidRDefault="00D1251E" w:rsidP="00D1251E">
      <w:pPr>
        <w:spacing w:line="360" w:lineRule="auto"/>
        <w:jc w:val="center"/>
        <w:rPr>
          <w:b/>
          <w:bCs/>
          <w:sz w:val="32"/>
          <w:szCs w:val="32"/>
        </w:rPr>
      </w:pPr>
      <w:r>
        <w:rPr>
          <w:b/>
          <w:bCs/>
          <w:sz w:val="32"/>
          <w:szCs w:val="32"/>
        </w:rPr>
        <w:lastRenderedPageBreak/>
        <w:t>References:</w:t>
      </w:r>
    </w:p>
    <w:p w14:paraId="5E6CD691" w14:textId="64003970" w:rsidR="00A7688B" w:rsidRPr="00A7688B" w:rsidRDefault="00D8249D" w:rsidP="00A7688B">
      <w:pPr>
        <w:spacing w:line="360" w:lineRule="auto"/>
        <w:rPr>
          <w:i/>
          <w:iCs/>
          <w:sz w:val="24"/>
          <w:szCs w:val="24"/>
          <w:lang w:val="de-DE"/>
        </w:rPr>
      </w:pPr>
      <w:r w:rsidRPr="00D8249D">
        <w:rPr>
          <w:sz w:val="24"/>
          <w:szCs w:val="24"/>
        </w:rPr>
        <w:t>Bever, T. 1981. Normal acquisition processes explain the critical period for language learning</w:t>
      </w:r>
      <w:r w:rsidR="00A7688B">
        <w:rPr>
          <w:sz w:val="24"/>
          <w:szCs w:val="24"/>
        </w:rPr>
        <w:t xml:space="preserve">, in </w:t>
      </w:r>
      <w:r w:rsidR="00A7688B" w:rsidRPr="00A7688B">
        <w:rPr>
          <w:sz w:val="24"/>
          <w:szCs w:val="24"/>
          <w:lang w:val="de-DE"/>
        </w:rPr>
        <w:t xml:space="preserve">Diller, K.C. </w:t>
      </w:r>
      <w:r w:rsidR="00A7688B">
        <w:rPr>
          <w:sz w:val="24"/>
          <w:szCs w:val="24"/>
          <w:lang w:val="de-DE"/>
        </w:rPr>
        <w:t>(</w:t>
      </w:r>
      <w:proofErr w:type="spellStart"/>
      <w:r w:rsidR="00A7688B">
        <w:rPr>
          <w:sz w:val="24"/>
          <w:szCs w:val="24"/>
          <w:lang w:val="de-DE"/>
        </w:rPr>
        <w:t>ed</w:t>
      </w:r>
      <w:proofErr w:type="spellEnd"/>
      <w:r w:rsidR="00A7688B" w:rsidRPr="00A7688B">
        <w:rPr>
          <w:i/>
          <w:iCs/>
          <w:sz w:val="24"/>
          <w:szCs w:val="24"/>
          <w:lang w:val="de-DE"/>
        </w:rPr>
        <w:t>.</w:t>
      </w:r>
      <w:r w:rsidR="00A7688B" w:rsidRPr="00A7688B">
        <w:rPr>
          <w:sz w:val="24"/>
          <w:szCs w:val="24"/>
          <w:lang w:val="de-DE"/>
        </w:rPr>
        <w:t>)</w:t>
      </w:r>
      <w:r w:rsidR="00A7688B" w:rsidRPr="00A7688B">
        <w:rPr>
          <w:i/>
          <w:iCs/>
          <w:sz w:val="24"/>
          <w:szCs w:val="24"/>
          <w:lang w:val="de-DE"/>
        </w:rPr>
        <w:t xml:space="preserve"> </w:t>
      </w:r>
      <w:r w:rsidR="00A7688B" w:rsidRPr="00A7688B">
        <w:rPr>
          <w:i/>
          <w:iCs/>
          <w:sz w:val="24"/>
          <w:szCs w:val="24"/>
          <w:lang w:val="de-DE"/>
        </w:rPr>
        <w:t xml:space="preserve">Individual </w:t>
      </w:r>
      <w:proofErr w:type="spellStart"/>
      <w:r w:rsidR="00A7688B" w:rsidRPr="00A7688B">
        <w:rPr>
          <w:i/>
          <w:iCs/>
          <w:sz w:val="24"/>
          <w:szCs w:val="24"/>
          <w:lang w:val="de-DE"/>
        </w:rPr>
        <w:t>differences</w:t>
      </w:r>
      <w:proofErr w:type="spellEnd"/>
      <w:r w:rsidR="00A7688B" w:rsidRPr="00A7688B">
        <w:rPr>
          <w:i/>
          <w:iCs/>
          <w:sz w:val="24"/>
          <w:szCs w:val="24"/>
          <w:lang w:val="de-DE"/>
        </w:rPr>
        <w:t xml:space="preserve"> &amp; </w:t>
      </w:r>
      <w:proofErr w:type="spellStart"/>
      <w:r w:rsidR="00A7688B" w:rsidRPr="00A7688B">
        <w:rPr>
          <w:i/>
          <w:iCs/>
          <w:sz w:val="24"/>
          <w:szCs w:val="24"/>
          <w:lang w:val="de-DE"/>
        </w:rPr>
        <w:t>universals</w:t>
      </w:r>
      <w:proofErr w:type="spellEnd"/>
      <w:r w:rsidR="00A7688B" w:rsidRPr="00A7688B">
        <w:rPr>
          <w:i/>
          <w:iCs/>
          <w:sz w:val="24"/>
          <w:szCs w:val="24"/>
          <w:lang w:val="de-DE"/>
        </w:rPr>
        <w:t xml:space="preserve"> in </w:t>
      </w:r>
      <w:proofErr w:type="spellStart"/>
      <w:r w:rsidR="00A7688B" w:rsidRPr="00A7688B">
        <w:rPr>
          <w:i/>
          <w:iCs/>
          <w:sz w:val="24"/>
          <w:szCs w:val="24"/>
          <w:lang w:val="de-DE"/>
        </w:rPr>
        <w:t>language</w:t>
      </w:r>
      <w:proofErr w:type="spellEnd"/>
      <w:r w:rsidR="00A7688B" w:rsidRPr="00A7688B">
        <w:rPr>
          <w:i/>
          <w:iCs/>
          <w:sz w:val="24"/>
          <w:szCs w:val="24"/>
          <w:lang w:val="de-DE"/>
        </w:rPr>
        <w:t xml:space="preserve"> </w:t>
      </w:r>
      <w:proofErr w:type="spellStart"/>
      <w:r w:rsidR="00A7688B" w:rsidRPr="00A7688B">
        <w:rPr>
          <w:i/>
          <w:iCs/>
          <w:sz w:val="24"/>
          <w:szCs w:val="24"/>
          <w:lang w:val="de-DE"/>
        </w:rPr>
        <w:t>learning</w:t>
      </w:r>
      <w:proofErr w:type="spellEnd"/>
      <w:r w:rsidR="00A7688B" w:rsidRPr="00A7688B">
        <w:rPr>
          <w:i/>
          <w:iCs/>
          <w:sz w:val="24"/>
          <w:szCs w:val="24"/>
          <w:lang w:val="de-DE"/>
        </w:rPr>
        <w:t xml:space="preserve"> </w:t>
      </w:r>
      <w:proofErr w:type="spellStart"/>
      <w:r w:rsidR="00A7688B" w:rsidRPr="00A7688B">
        <w:rPr>
          <w:i/>
          <w:iCs/>
          <w:sz w:val="24"/>
          <w:szCs w:val="24"/>
          <w:lang w:val="de-DE"/>
        </w:rPr>
        <w:t>aptitude</w:t>
      </w:r>
      <w:proofErr w:type="spellEnd"/>
      <w:r w:rsidR="00A7688B" w:rsidRPr="00A7688B">
        <w:rPr>
          <w:i/>
          <w:iCs/>
          <w:sz w:val="24"/>
          <w:szCs w:val="24"/>
          <w:lang w:val="de-DE"/>
        </w:rPr>
        <w:t>.</w:t>
      </w:r>
      <w:r w:rsidR="00A7688B" w:rsidRPr="00A7688B">
        <w:rPr>
          <w:sz w:val="24"/>
          <w:szCs w:val="24"/>
          <w:lang w:val="de-DE"/>
        </w:rPr>
        <w:t xml:space="preserve"> </w:t>
      </w:r>
      <w:r w:rsidR="00A7688B">
        <w:rPr>
          <w:sz w:val="24"/>
          <w:szCs w:val="24"/>
          <w:lang w:val="de-DE"/>
        </w:rPr>
        <w:t>Massachusetts</w:t>
      </w:r>
      <w:r w:rsidR="00A7688B" w:rsidRPr="00A7688B">
        <w:rPr>
          <w:sz w:val="24"/>
          <w:szCs w:val="24"/>
          <w:lang w:val="de-DE"/>
        </w:rPr>
        <w:t>: Newbury House.</w:t>
      </w:r>
      <w:r w:rsidR="00A7688B">
        <w:rPr>
          <w:sz w:val="24"/>
          <w:szCs w:val="24"/>
          <w:lang w:val="de-DE"/>
        </w:rPr>
        <w:t xml:space="preserve"> 176-198.</w:t>
      </w:r>
    </w:p>
    <w:p w14:paraId="3AEA4D01" w14:textId="0AD40621" w:rsidR="00D8249D" w:rsidRPr="00D8249D" w:rsidRDefault="00D8249D" w:rsidP="00D8249D">
      <w:pPr>
        <w:spacing w:line="360" w:lineRule="auto"/>
        <w:rPr>
          <w:sz w:val="24"/>
          <w:szCs w:val="24"/>
          <w:lang w:val="de-DE"/>
        </w:rPr>
      </w:pPr>
      <w:r w:rsidRPr="00D8249D">
        <w:rPr>
          <w:sz w:val="24"/>
          <w:szCs w:val="24"/>
          <w:lang w:val="de-DE"/>
        </w:rPr>
        <w:t xml:space="preserve">Johnson, J.S. &amp; Newport, E.L. 1989. Critical </w:t>
      </w:r>
      <w:proofErr w:type="spellStart"/>
      <w:r w:rsidRPr="00D8249D">
        <w:rPr>
          <w:sz w:val="24"/>
          <w:szCs w:val="24"/>
          <w:lang w:val="de-DE"/>
        </w:rPr>
        <w:t>period</w:t>
      </w:r>
      <w:proofErr w:type="spellEnd"/>
      <w:r w:rsidRPr="00D8249D">
        <w:rPr>
          <w:sz w:val="24"/>
          <w:szCs w:val="24"/>
          <w:lang w:val="de-DE"/>
        </w:rPr>
        <w:t xml:space="preserve"> </w:t>
      </w:r>
      <w:proofErr w:type="spellStart"/>
      <w:r w:rsidRPr="00D8249D">
        <w:rPr>
          <w:sz w:val="24"/>
          <w:szCs w:val="24"/>
          <w:lang w:val="de-DE"/>
        </w:rPr>
        <w:t>effects</w:t>
      </w:r>
      <w:proofErr w:type="spellEnd"/>
      <w:r w:rsidRPr="00D8249D">
        <w:rPr>
          <w:sz w:val="24"/>
          <w:szCs w:val="24"/>
          <w:lang w:val="de-DE"/>
        </w:rPr>
        <w:t xml:space="preserve"> in </w:t>
      </w:r>
      <w:proofErr w:type="spellStart"/>
      <w:r w:rsidRPr="00D8249D">
        <w:rPr>
          <w:sz w:val="24"/>
          <w:szCs w:val="24"/>
          <w:lang w:val="de-DE"/>
        </w:rPr>
        <w:t>second</w:t>
      </w:r>
      <w:proofErr w:type="spellEnd"/>
      <w:r w:rsidRPr="00D8249D">
        <w:rPr>
          <w:sz w:val="24"/>
          <w:szCs w:val="24"/>
          <w:lang w:val="de-DE"/>
        </w:rPr>
        <w:t xml:space="preserve"> </w:t>
      </w:r>
      <w:proofErr w:type="spellStart"/>
      <w:r w:rsidRPr="00D8249D">
        <w:rPr>
          <w:sz w:val="24"/>
          <w:szCs w:val="24"/>
          <w:lang w:val="de-DE"/>
        </w:rPr>
        <w:t>language</w:t>
      </w:r>
      <w:proofErr w:type="spellEnd"/>
      <w:r w:rsidRPr="00D8249D">
        <w:rPr>
          <w:sz w:val="24"/>
          <w:szCs w:val="24"/>
          <w:lang w:val="de-DE"/>
        </w:rPr>
        <w:t xml:space="preserve"> </w:t>
      </w:r>
      <w:proofErr w:type="spellStart"/>
      <w:r w:rsidRPr="00D8249D">
        <w:rPr>
          <w:sz w:val="24"/>
          <w:szCs w:val="24"/>
          <w:lang w:val="de-DE"/>
        </w:rPr>
        <w:t>learning</w:t>
      </w:r>
      <w:proofErr w:type="spellEnd"/>
      <w:r w:rsidRPr="00D8249D">
        <w:rPr>
          <w:sz w:val="24"/>
          <w:szCs w:val="24"/>
          <w:lang w:val="de-DE"/>
        </w:rPr>
        <w:t xml:space="preserve">: The </w:t>
      </w:r>
      <w:proofErr w:type="spellStart"/>
      <w:r w:rsidRPr="00D8249D">
        <w:rPr>
          <w:sz w:val="24"/>
          <w:szCs w:val="24"/>
          <w:lang w:val="de-DE"/>
        </w:rPr>
        <w:t>influence</w:t>
      </w:r>
      <w:proofErr w:type="spellEnd"/>
      <w:r w:rsidRPr="00D8249D">
        <w:rPr>
          <w:sz w:val="24"/>
          <w:szCs w:val="24"/>
          <w:lang w:val="de-DE"/>
        </w:rPr>
        <w:t xml:space="preserve"> </w:t>
      </w:r>
      <w:proofErr w:type="spellStart"/>
      <w:r w:rsidRPr="00D8249D">
        <w:rPr>
          <w:sz w:val="24"/>
          <w:szCs w:val="24"/>
          <w:lang w:val="de-DE"/>
        </w:rPr>
        <w:t>of</w:t>
      </w:r>
      <w:proofErr w:type="spellEnd"/>
      <w:r w:rsidRPr="00D8249D">
        <w:rPr>
          <w:sz w:val="24"/>
          <w:szCs w:val="24"/>
          <w:lang w:val="de-DE"/>
        </w:rPr>
        <w:t xml:space="preserve"> </w:t>
      </w:r>
      <w:proofErr w:type="spellStart"/>
      <w:r w:rsidRPr="00D8249D">
        <w:rPr>
          <w:sz w:val="24"/>
          <w:szCs w:val="24"/>
          <w:lang w:val="de-DE"/>
        </w:rPr>
        <w:t>maturational</w:t>
      </w:r>
      <w:proofErr w:type="spellEnd"/>
      <w:r w:rsidRPr="00D8249D">
        <w:rPr>
          <w:sz w:val="24"/>
          <w:szCs w:val="24"/>
          <w:lang w:val="de-DE"/>
        </w:rPr>
        <w:t xml:space="preserve"> </w:t>
      </w:r>
      <w:proofErr w:type="spellStart"/>
      <w:r w:rsidRPr="00D8249D">
        <w:rPr>
          <w:sz w:val="24"/>
          <w:szCs w:val="24"/>
          <w:lang w:val="de-DE"/>
        </w:rPr>
        <w:t>state</w:t>
      </w:r>
      <w:proofErr w:type="spellEnd"/>
      <w:r w:rsidRPr="00D8249D">
        <w:rPr>
          <w:sz w:val="24"/>
          <w:szCs w:val="24"/>
          <w:lang w:val="de-DE"/>
        </w:rPr>
        <w:t xml:space="preserve"> on </w:t>
      </w:r>
      <w:proofErr w:type="spellStart"/>
      <w:r w:rsidRPr="00D8249D">
        <w:rPr>
          <w:sz w:val="24"/>
          <w:szCs w:val="24"/>
          <w:lang w:val="de-DE"/>
        </w:rPr>
        <w:t>the</w:t>
      </w:r>
      <w:proofErr w:type="spellEnd"/>
      <w:r w:rsidRPr="00D8249D">
        <w:rPr>
          <w:sz w:val="24"/>
          <w:szCs w:val="24"/>
          <w:lang w:val="de-DE"/>
        </w:rPr>
        <w:t xml:space="preserve"> </w:t>
      </w:r>
      <w:proofErr w:type="spellStart"/>
      <w:r w:rsidRPr="00D8249D">
        <w:rPr>
          <w:sz w:val="24"/>
          <w:szCs w:val="24"/>
          <w:lang w:val="de-DE"/>
        </w:rPr>
        <w:t>acquisition</w:t>
      </w:r>
      <w:proofErr w:type="spellEnd"/>
      <w:r w:rsidRPr="00D8249D">
        <w:rPr>
          <w:sz w:val="24"/>
          <w:szCs w:val="24"/>
          <w:lang w:val="de-DE"/>
        </w:rPr>
        <w:t xml:space="preserve"> </w:t>
      </w:r>
      <w:proofErr w:type="spellStart"/>
      <w:r w:rsidRPr="00D8249D">
        <w:rPr>
          <w:sz w:val="24"/>
          <w:szCs w:val="24"/>
          <w:lang w:val="de-DE"/>
        </w:rPr>
        <w:t>of</w:t>
      </w:r>
      <w:proofErr w:type="spellEnd"/>
      <w:r w:rsidRPr="00D8249D">
        <w:rPr>
          <w:sz w:val="24"/>
          <w:szCs w:val="24"/>
          <w:lang w:val="de-DE"/>
        </w:rPr>
        <w:t xml:space="preserve"> English </w:t>
      </w:r>
      <w:proofErr w:type="spellStart"/>
      <w:r w:rsidRPr="00D8249D">
        <w:rPr>
          <w:sz w:val="24"/>
          <w:szCs w:val="24"/>
          <w:lang w:val="de-DE"/>
        </w:rPr>
        <w:t>as</w:t>
      </w:r>
      <w:proofErr w:type="spellEnd"/>
      <w:r w:rsidRPr="00D8249D">
        <w:rPr>
          <w:sz w:val="24"/>
          <w:szCs w:val="24"/>
          <w:lang w:val="de-DE"/>
        </w:rPr>
        <w:t xml:space="preserve"> a </w:t>
      </w:r>
      <w:proofErr w:type="spellStart"/>
      <w:r w:rsidRPr="00D8249D">
        <w:rPr>
          <w:sz w:val="24"/>
          <w:szCs w:val="24"/>
          <w:lang w:val="de-DE"/>
        </w:rPr>
        <w:t>second</w:t>
      </w:r>
      <w:proofErr w:type="spellEnd"/>
      <w:r w:rsidRPr="00D8249D">
        <w:rPr>
          <w:sz w:val="24"/>
          <w:szCs w:val="24"/>
          <w:lang w:val="de-DE"/>
        </w:rPr>
        <w:t xml:space="preserve"> </w:t>
      </w:r>
      <w:proofErr w:type="spellStart"/>
      <w:r w:rsidRPr="00D8249D">
        <w:rPr>
          <w:sz w:val="24"/>
          <w:szCs w:val="24"/>
          <w:lang w:val="de-DE"/>
        </w:rPr>
        <w:t>language</w:t>
      </w:r>
      <w:proofErr w:type="spellEnd"/>
      <w:r w:rsidRPr="00D8249D">
        <w:rPr>
          <w:sz w:val="24"/>
          <w:szCs w:val="24"/>
          <w:lang w:val="de-DE"/>
        </w:rPr>
        <w:t xml:space="preserve">. </w:t>
      </w:r>
      <w:proofErr w:type="spellStart"/>
      <w:r w:rsidRPr="00D8249D">
        <w:rPr>
          <w:i/>
          <w:iCs/>
          <w:sz w:val="24"/>
          <w:szCs w:val="24"/>
          <w:lang w:val="de-DE"/>
        </w:rPr>
        <w:t>Cognitive</w:t>
      </w:r>
      <w:proofErr w:type="spellEnd"/>
      <w:r w:rsidRPr="00D8249D">
        <w:rPr>
          <w:i/>
          <w:iCs/>
          <w:sz w:val="24"/>
          <w:szCs w:val="24"/>
          <w:lang w:val="de-DE"/>
        </w:rPr>
        <w:t xml:space="preserve"> </w:t>
      </w:r>
      <w:proofErr w:type="spellStart"/>
      <w:r w:rsidRPr="00D8249D">
        <w:rPr>
          <w:i/>
          <w:iCs/>
          <w:sz w:val="24"/>
          <w:szCs w:val="24"/>
          <w:lang w:val="de-DE"/>
        </w:rPr>
        <w:t>psychology</w:t>
      </w:r>
      <w:proofErr w:type="spellEnd"/>
      <w:r w:rsidRPr="00D8249D">
        <w:rPr>
          <w:sz w:val="24"/>
          <w:szCs w:val="24"/>
          <w:lang w:val="de-DE"/>
        </w:rPr>
        <w:t>. 21(1):60–99. DOI: 10.1016/0010-0285(89)90003-0.</w:t>
      </w:r>
    </w:p>
    <w:p w14:paraId="42BA3F15" w14:textId="3DCA832C" w:rsidR="00D8249D" w:rsidRDefault="00D8249D" w:rsidP="00D1251E">
      <w:pPr>
        <w:spacing w:line="360" w:lineRule="auto"/>
        <w:rPr>
          <w:sz w:val="24"/>
          <w:szCs w:val="24"/>
        </w:rPr>
      </w:pPr>
      <w:r w:rsidRPr="00D8249D">
        <w:rPr>
          <w:sz w:val="24"/>
          <w:szCs w:val="24"/>
        </w:rPr>
        <w:t>Lenneberg, E.H., Chomsky, N. &amp; Marx, O. 1967. </w:t>
      </w:r>
      <w:r w:rsidRPr="00D8249D">
        <w:rPr>
          <w:i/>
          <w:iCs/>
          <w:sz w:val="24"/>
          <w:szCs w:val="24"/>
        </w:rPr>
        <w:t>Biological foundations of language</w:t>
      </w:r>
      <w:r w:rsidRPr="00D8249D">
        <w:rPr>
          <w:sz w:val="24"/>
          <w:szCs w:val="24"/>
        </w:rPr>
        <w:t>. New York, N.Y: Wiley.</w:t>
      </w:r>
      <w:r w:rsidRPr="00D8249D">
        <w:rPr>
          <w:sz w:val="24"/>
          <w:szCs w:val="24"/>
        </w:rPr>
        <w:t xml:space="preserve"> </w:t>
      </w:r>
    </w:p>
    <w:p w14:paraId="5B7BEB43" w14:textId="1030FF2E" w:rsidR="00D1251E" w:rsidRDefault="00D1251E" w:rsidP="00D1251E">
      <w:pPr>
        <w:spacing w:line="360" w:lineRule="auto"/>
        <w:rPr>
          <w:sz w:val="24"/>
          <w:szCs w:val="24"/>
        </w:rPr>
      </w:pPr>
      <w:r>
        <w:rPr>
          <w:sz w:val="24"/>
          <w:szCs w:val="24"/>
        </w:rPr>
        <w:t xml:space="preserve">Norrman, G. &amp; Bylund, E. 2016. The irreversibility of sensitive period effects in language development: evidence from second language acquisition in international adoptees. </w:t>
      </w:r>
      <w:r>
        <w:rPr>
          <w:i/>
          <w:iCs/>
          <w:sz w:val="24"/>
          <w:szCs w:val="24"/>
        </w:rPr>
        <w:t xml:space="preserve">Developmental Science, </w:t>
      </w:r>
      <w:r>
        <w:rPr>
          <w:sz w:val="24"/>
          <w:szCs w:val="24"/>
        </w:rPr>
        <w:t>19(3):513-520.</w:t>
      </w:r>
    </w:p>
    <w:p w14:paraId="720F7338" w14:textId="33BF235C" w:rsidR="00D1251E" w:rsidRPr="00D1251E" w:rsidRDefault="00D1251E" w:rsidP="00D1251E">
      <w:pPr>
        <w:spacing w:line="360" w:lineRule="auto"/>
        <w:rPr>
          <w:sz w:val="24"/>
          <w:szCs w:val="24"/>
        </w:rPr>
      </w:pPr>
      <w:r>
        <w:rPr>
          <w:sz w:val="24"/>
          <w:szCs w:val="24"/>
        </w:rPr>
        <w:t xml:space="preserve">Pallier, C., Dehaene, S., Poline. J.-B., </w:t>
      </w:r>
      <w:proofErr w:type="spellStart"/>
      <w:r>
        <w:rPr>
          <w:sz w:val="24"/>
          <w:szCs w:val="24"/>
        </w:rPr>
        <w:t>LeBihan</w:t>
      </w:r>
      <w:proofErr w:type="spellEnd"/>
      <w:r>
        <w:rPr>
          <w:sz w:val="24"/>
          <w:szCs w:val="24"/>
        </w:rPr>
        <w:t xml:space="preserve">, D., Argenti, A.-M., Dupoux, E. and Mehler, J. 2003. Brain Imaging of Language Plasticity in Adopted Adults: Can a Second Language Replace the First? </w:t>
      </w:r>
      <w:r>
        <w:rPr>
          <w:i/>
          <w:iCs/>
          <w:sz w:val="24"/>
          <w:szCs w:val="24"/>
        </w:rPr>
        <w:t xml:space="preserve">Cerebral Cortex, </w:t>
      </w:r>
      <w:r>
        <w:rPr>
          <w:sz w:val="24"/>
          <w:szCs w:val="24"/>
        </w:rPr>
        <w:t>13:155-161.</w:t>
      </w:r>
    </w:p>
    <w:sectPr w:rsidR="00D1251E" w:rsidRPr="00D1251E" w:rsidSect="0092712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22"/>
    <w:rsid w:val="00002B61"/>
    <w:rsid w:val="00230082"/>
    <w:rsid w:val="00265358"/>
    <w:rsid w:val="002C4D98"/>
    <w:rsid w:val="003D5660"/>
    <w:rsid w:val="004A6D36"/>
    <w:rsid w:val="00650F95"/>
    <w:rsid w:val="006B100C"/>
    <w:rsid w:val="00714B24"/>
    <w:rsid w:val="00793A72"/>
    <w:rsid w:val="007B46A2"/>
    <w:rsid w:val="007D17C3"/>
    <w:rsid w:val="0087007C"/>
    <w:rsid w:val="0091214A"/>
    <w:rsid w:val="00927122"/>
    <w:rsid w:val="009D37F4"/>
    <w:rsid w:val="009E19AB"/>
    <w:rsid w:val="00A35285"/>
    <w:rsid w:val="00A46E1F"/>
    <w:rsid w:val="00A7688B"/>
    <w:rsid w:val="00BB04A0"/>
    <w:rsid w:val="00BB474F"/>
    <w:rsid w:val="00D1251E"/>
    <w:rsid w:val="00D26C51"/>
    <w:rsid w:val="00D8249D"/>
    <w:rsid w:val="00D95E7D"/>
    <w:rsid w:val="00DF64D8"/>
    <w:rsid w:val="00E775A3"/>
    <w:rsid w:val="00EA7FA9"/>
    <w:rsid w:val="00EB50D3"/>
    <w:rsid w:val="00EE55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5406"/>
  <w15:chartTrackingRefBased/>
  <w15:docId w15:val="{1B250D71-8812-4151-A222-EBE1277D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27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122"/>
    <w:rPr>
      <w:rFonts w:eastAsiaTheme="majorEastAsia" w:cstheme="majorBidi"/>
      <w:color w:val="272727" w:themeColor="text1" w:themeTint="D8"/>
    </w:rPr>
  </w:style>
  <w:style w:type="paragraph" w:styleId="Title">
    <w:name w:val="Title"/>
    <w:basedOn w:val="Normal"/>
    <w:next w:val="Normal"/>
    <w:link w:val="TitleChar"/>
    <w:uiPriority w:val="10"/>
    <w:qFormat/>
    <w:rsid w:val="00927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122"/>
    <w:pPr>
      <w:spacing w:before="160"/>
      <w:jc w:val="center"/>
    </w:pPr>
    <w:rPr>
      <w:i/>
      <w:iCs/>
      <w:color w:val="404040" w:themeColor="text1" w:themeTint="BF"/>
    </w:rPr>
  </w:style>
  <w:style w:type="character" w:customStyle="1" w:styleId="QuoteChar">
    <w:name w:val="Quote Char"/>
    <w:basedOn w:val="DefaultParagraphFont"/>
    <w:link w:val="Quote"/>
    <w:uiPriority w:val="29"/>
    <w:rsid w:val="00927122"/>
    <w:rPr>
      <w:i/>
      <w:iCs/>
      <w:color w:val="404040" w:themeColor="text1" w:themeTint="BF"/>
    </w:rPr>
  </w:style>
  <w:style w:type="paragraph" w:styleId="ListParagraph">
    <w:name w:val="List Paragraph"/>
    <w:basedOn w:val="Normal"/>
    <w:uiPriority w:val="34"/>
    <w:qFormat/>
    <w:rsid w:val="00927122"/>
    <w:pPr>
      <w:ind w:left="720"/>
      <w:contextualSpacing/>
    </w:pPr>
  </w:style>
  <w:style w:type="character" w:styleId="IntenseEmphasis">
    <w:name w:val="Intense Emphasis"/>
    <w:basedOn w:val="DefaultParagraphFont"/>
    <w:uiPriority w:val="21"/>
    <w:qFormat/>
    <w:rsid w:val="00927122"/>
    <w:rPr>
      <w:i/>
      <w:iCs/>
      <w:color w:val="0F4761" w:themeColor="accent1" w:themeShade="BF"/>
    </w:rPr>
  </w:style>
  <w:style w:type="paragraph" w:styleId="IntenseQuote">
    <w:name w:val="Intense Quote"/>
    <w:basedOn w:val="Normal"/>
    <w:next w:val="Normal"/>
    <w:link w:val="IntenseQuoteChar"/>
    <w:uiPriority w:val="30"/>
    <w:qFormat/>
    <w:rsid w:val="00927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122"/>
    <w:rPr>
      <w:i/>
      <w:iCs/>
      <w:color w:val="0F4761" w:themeColor="accent1" w:themeShade="BF"/>
    </w:rPr>
  </w:style>
  <w:style w:type="character" w:styleId="IntenseReference">
    <w:name w:val="Intense Reference"/>
    <w:basedOn w:val="DefaultParagraphFont"/>
    <w:uiPriority w:val="32"/>
    <w:qFormat/>
    <w:rsid w:val="00927122"/>
    <w:rPr>
      <w:b/>
      <w:bCs/>
      <w:smallCaps/>
      <w:color w:val="0F4761" w:themeColor="accent1" w:themeShade="BF"/>
      <w:spacing w:val="5"/>
    </w:rPr>
  </w:style>
  <w:style w:type="paragraph" w:styleId="NoSpacing">
    <w:name w:val="No Spacing"/>
    <w:link w:val="NoSpacingChar"/>
    <w:uiPriority w:val="1"/>
    <w:qFormat/>
    <w:rsid w:val="00927122"/>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927122"/>
    <w:rPr>
      <w:rFonts w:eastAsiaTheme="minorEastAsia"/>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84349">
      <w:bodyDiv w:val="1"/>
      <w:marLeft w:val="0"/>
      <w:marRight w:val="0"/>
      <w:marTop w:val="0"/>
      <w:marBottom w:val="0"/>
      <w:divBdr>
        <w:top w:val="none" w:sz="0" w:space="0" w:color="auto"/>
        <w:left w:val="none" w:sz="0" w:space="0" w:color="auto"/>
        <w:bottom w:val="none" w:sz="0" w:space="0" w:color="auto"/>
        <w:right w:val="none" w:sz="0" w:space="0" w:color="auto"/>
      </w:divBdr>
      <w:divsChild>
        <w:div w:id="948505714">
          <w:marLeft w:val="0"/>
          <w:marRight w:val="0"/>
          <w:marTop w:val="0"/>
          <w:marBottom w:val="0"/>
          <w:divBdr>
            <w:top w:val="none" w:sz="0" w:space="0" w:color="auto"/>
            <w:left w:val="none" w:sz="0" w:space="0" w:color="auto"/>
            <w:bottom w:val="none" w:sz="0" w:space="0" w:color="auto"/>
            <w:right w:val="none" w:sz="0" w:space="0" w:color="auto"/>
          </w:divBdr>
          <w:divsChild>
            <w:div w:id="443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8018">
      <w:bodyDiv w:val="1"/>
      <w:marLeft w:val="0"/>
      <w:marRight w:val="0"/>
      <w:marTop w:val="0"/>
      <w:marBottom w:val="0"/>
      <w:divBdr>
        <w:top w:val="none" w:sz="0" w:space="0" w:color="auto"/>
        <w:left w:val="none" w:sz="0" w:space="0" w:color="auto"/>
        <w:bottom w:val="none" w:sz="0" w:space="0" w:color="auto"/>
        <w:right w:val="none" w:sz="0" w:space="0" w:color="auto"/>
      </w:divBdr>
      <w:divsChild>
        <w:div w:id="667441699">
          <w:marLeft w:val="0"/>
          <w:marRight w:val="0"/>
          <w:marTop w:val="0"/>
          <w:marBottom w:val="0"/>
          <w:divBdr>
            <w:top w:val="none" w:sz="0" w:space="0" w:color="auto"/>
            <w:left w:val="none" w:sz="0" w:space="0" w:color="auto"/>
            <w:bottom w:val="none" w:sz="0" w:space="0" w:color="auto"/>
            <w:right w:val="none" w:sz="0" w:space="0" w:color="auto"/>
          </w:divBdr>
          <w:divsChild>
            <w:div w:id="13330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4599">
      <w:bodyDiv w:val="1"/>
      <w:marLeft w:val="0"/>
      <w:marRight w:val="0"/>
      <w:marTop w:val="0"/>
      <w:marBottom w:val="0"/>
      <w:divBdr>
        <w:top w:val="none" w:sz="0" w:space="0" w:color="auto"/>
        <w:left w:val="none" w:sz="0" w:space="0" w:color="auto"/>
        <w:bottom w:val="none" w:sz="0" w:space="0" w:color="auto"/>
        <w:right w:val="none" w:sz="0" w:space="0" w:color="auto"/>
      </w:divBdr>
      <w:divsChild>
        <w:div w:id="489489072">
          <w:marLeft w:val="0"/>
          <w:marRight w:val="0"/>
          <w:marTop w:val="0"/>
          <w:marBottom w:val="0"/>
          <w:divBdr>
            <w:top w:val="none" w:sz="0" w:space="0" w:color="auto"/>
            <w:left w:val="none" w:sz="0" w:space="0" w:color="auto"/>
            <w:bottom w:val="none" w:sz="0" w:space="0" w:color="auto"/>
            <w:right w:val="none" w:sz="0" w:space="0" w:color="auto"/>
          </w:divBdr>
          <w:divsChild>
            <w:div w:id="172760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4829">
      <w:bodyDiv w:val="1"/>
      <w:marLeft w:val="0"/>
      <w:marRight w:val="0"/>
      <w:marTop w:val="0"/>
      <w:marBottom w:val="0"/>
      <w:divBdr>
        <w:top w:val="none" w:sz="0" w:space="0" w:color="auto"/>
        <w:left w:val="none" w:sz="0" w:space="0" w:color="auto"/>
        <w:bottom w:val="none" w:sz="0" w:space="0" w:color="auto"/>
        <w:right w:val="none" w:sz="0" w:space="0" w:color="auto"/>
      </w:divBdr>
      <w:divsChild>
        <w:div w:id="1139349111">
          <w:marLeft w:val="0"/>
          <w:marRight w:val="0"/>
          <w:marTop w:val="0"/>
          <w:marBottom w:val="0"/>
          <w:divBdr>
            <w:top w:val="none" w:sz="0" w:space="0" w:color="auto"/>
            <w:left w:val="none" w:sz="0" w:space="0" w:color="auto"/>
            <w:bottom w:val="none" w:sz="0" w:space="0" w:color="auto"/>
            <w:right w:val="none" w:sz="0" w:space="0" w:color="auto"/>
          </w:divBdr>
          <w:divsChild>
            <w:div w:id="20426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#27902277</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850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Window onto brain plasticity:
Language development in international adoptees</dc:title>
  <dc:subject>General Linguistics 278</dc:subject>
  <dc:creator>Quin Barnard</dc:creator>
  <cp:keywords/>
  <dc:description/>
  <cp:lastModifiedBy>Quin Barnard</cp:lastModifiedBy>
  <cp:revision>1</cp:revision>
  <dcterms:created xsi:type="dcterms:W3CDTF">2025-03-02T16:37:00Z</dcterms:created>
  <dcterms:modified xsi:type="dcterms:W3CDTF">2025-03-02T20:27:00Z</dcterms:modified>
</cp:coreProperties>
</file>