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E761E" w14:textId="6C7E7499" w:rsidR="004949D4" w:rsidRPr="004949D4" w:rsidRDefault="004949D4" w:rsidP="005C4EB9">
      <w:pPr>
        <w:spacing w:line="360" w:lineRule="auto"/>
        <w:rPr>
          <w:rFonts w:ascii="Garamond" w:hAnsi="Garamond"/>
          <w:b/>
          <w:bCs/>
          <w:lang w:val="de-DE"/>
        </w:rPr>
      </w:pPr>
      <w:r w:rsidRPr="004949D4">
        <w:rPr>
          <w:rFonts w:ascii="Garamond" w:hAnsi="Garamond"/>
          <w:b/>
          <w:bCs/>
          <w:lang w:val="de-DE"/>
        </w:rPr>
        <w:t xml:space="preserve">Quin Barnard </w:t>
      </w:r>
      <w:r w:rsidRPr="004949D4">
        <w:rPr>
          <w:rFonts w:ascii="Garamond" w:hAnsi="Garamond"/>
          <w:b/>
          <w:bCs/>
          <w:lang w:val="de-DE"/>
        </w:rPr>
        <w:tab/>
      </w:r>
      <w:r w:rsidRPr="004949D4">
        <w:rPr>
          <w:rFonts w:ascii="Garamond" w:hAnsi="Garamond"/>
          <w:b/>
          <w:bCs/>
          <w:lang w:val="de-DE"/>
        </w:rPr>
        <w:tab/>
      </w:r>
      <w:r w:rsidRPr="004949D4">
        <w:rPr>
          <w:rFonts w:ascii="Garamond" w:hAnsi="Garamond"/>
          <w:b/>
          <w:bCs/>
          <w:lang w:val="de-DE"/>
        </w:rPr>
        <w:tab/>
      </w:r>
      <w:r w:rsidRPr="004949D4">
        <w:rPr>
          <w:rFonts w:ascii="Garamond" w:hAnsi="Garamond"/>
          <w:b/>
          <w:bCs/>
          <w:lang w:val="de-DE"/>
        </w:rPr>
        <w:tab/>
      </w:r>
      <w:r w:rsidRPr="004949D4">
        <w:rPr>
          <w:rFonts w:ascii="Garamond" w:hAnsi="Garamond"/>
          <w:b/>
          <w:bCs/>
          <w:lang w:val="de-DE"/>
        </w:rPr>
        <w:tab/>
      </w:r>
      <w:r w:rsidRPr="004949D4">
        <w:rPr>
          <w:rFonts w:ascii="Garamond" w:hAnsi="Garamond"/>
          <w:b/>
          <w:bCs/>
          <w:lang w:val="de-DE"/>
        </w:rPr>
        <w:tab/>
        <w:t>Montag, den 2.</w:t>
      </w:r>
      <w:r w:rsidR="005C4EB9">
        <w:rPr>
          <w:rFonts w:ascii="Garamond" w:hAnsi="Garamond"/>
          <w:b/>
          <w:bCs/>
          <w:lang w:val="de-DE"/>
        </w:rPr>
        <w:t xml:space="preserve"> März</w:t>
      </w:r>
      <w:r w:rsidRPr="004949D4">
        <w:rPr>
          <w:rFonts w:ascii="Garamond" w:hAnsi="Garamond"/>
          <w:b/>
          <w:bCs/>
          <w:lang w:val="de-DE"/>
        </w:rPr>
        <w:t xml:space="preserve"> 2026</w:t>
      </w:r>
      <w:r w:rsidRPr="004949D4">
        <w:rPr>
          <w:rFonts w:ascii="Garamond" w:hAnsi="Garamond"/>
          <w:b/>
          <w:bCs/>
          <w:lang w:val="de-DE"/>
        </w:rPr>
        <w:br/>
        <w:t>#27902277</w:t>
      </w:r>
      <w:r w:rsidRPr="004949D4">
        <w:rPr>
          <w:rFonts w:ascii="Garamond" w:hAnsi="Garamond"/>
          <w:b/>
          <w:bCs/>
          <w:lang w:val="de-DE"/>
        </w:rPr>
        <w:br/>
        <w:t>Deutsch 328: Erinnerungskultur – Literatur nach 1945</w:t>
      </w:r>
      <w:r w:rsidRPr="004949D4">
        <w:rPr>
          <w:rFonts w:ascii="Garamond" w:hAnsi="Garamond"/>
          <w:b/>
          <w:bCs/>
          <w:lang w:val="de-DE"/>
        </w:rPr>
        <w:br/>
        <w:t>Herr Professor Ingo Müller</w:t>
      </w:r>
      <w:r w:rsidRPr="004949D4">
        <w:rPr>
          <w:rFonts w:ascii="Garamond" w:hAnsi="Garamond"/>
          <w:b/>
          <w:bCs/>
          <w:lang w:val="de-DE"/>
        </w:rPr>
        <w:br/>
        <w:t>Essay-Skizze</w:t>
      </w:r>
    </w:p>
    <w:p w14:paraId="6575E903" w14:textId="64E8D1B8" w:rsidR="004949D4" w:rsidRDefault="004949D4" w:rsidP="00E22CD6">
      <w:pPr>
        <w:spacing w:line="360" w:lineRule="auto"/>
        <w:jc w:val="both"/>
        <w:rPr>
          <w:rFonts w:ascii="Garamond" w:hAnsi="Garamond"/>
          <w:lang w:val="de-DE"/>
        </w:rPr>
      </w:pPr>
      <w:r>
        <w:rPr>
          <w:rFonts w:ascii="Garamond" w:hAnsi="Garamond"/>
          <w:lang w:val="de-DE"/>
        </w:rPr>
        <w:t>Während der Jahre 1938 bis 1945 wurde in Deutschland eine systematische Entmenschlichung von den Nationalsozialisten betrieben.</w:t>
      </w:r>
      <w:r w:rsidR="008B69B2">
        <w:rPr>
          <w:rFonts w:ascii="Garamond" w:hAnsi="Garamond"/>
          <w:lang w:val="de-DE"/>
        </w:rPr>
        <w:t xml:space="preserve"> Sie richtete sich nicht ausschließlich gegen Juden, sondern gegen mannigfaltige, von den Nationalsozialisten definierte Gruppen. Die </w:t>
      </w:r>
      <w:r w:rsidR="00F150C4">
        <w:rPr>
          <w:rFonts w:ascii="Garamond" w:hAnsi="Garamond"/>
          <w:lang w:val="de-DE"/>
        </w:rPr>
        <w:t>Ideologie,</w:t>
      </w:r>
      <w:r w:rsidR="00B17FD0">
        <w:rPr>
          <w:rFonts w:ascii="Garamond" w:hAnsi="Garamond"/>
          <w:lang w:val="de-DE"/>
        </w:rPr>
        <w:t xml:space="preserve"> die</w:t>
      </w:r>
      <w:r w:rsidR="00127446">
        <w:rPr>
          <w:rFonts w:ascii="Garamond" w:hAnsi="Garamond"/>
          <w:lang w:val="de-DE"/>
        </w:rPr>
        <w:t xml:space="preserve"> eine </w:t>
      </w:r>
      <w:r w:rsidR="00E7610C">
        <w:rPr>
          <w:rFonts w:ascii="Garamond" w:hAnsi="Garamond"/>
          <w:lang w:val="de-DE"/>
        </w:rPr>
        <w:t xml:space="preserve">solche </w:t>
      </w:r>
      <w:r w:rsidR="00127446">
        <w:rPr>
          <w:rFonts w:ascii="Garamond" w:hAnsi="Garamond"/>
          <w:lang w:val="de-DE"/>
        </w:rPr>
        <w:t>Gräueltat</w:t>
      </w:r>
      <w:r w:rsidR="00FC1445">
        <w:rPr>
          <w:rFonts w:ascii="Garamond" w:hAnsi="Garamond"/>
          <w:lang w:val="de-DE"/>
        </w:rPr>
        <w:t xml:space="preserve"> ermöglicht</w:t>
      </w:r>
      <w:r w:rsidR="0086042D">
        <w:rPr>
          <w:rFonts w:ascii="Garamond" w:hAnsi="Garamond"/>
          <w:lang w:val="de-DE"/>
        </w:rPr>
        <w:t>e</w:t>
      </w:r>
      <w:r w:rsidR="00FC1445">
        <w:rPr>
          <w:rFonts w:ascii="Garamond" w:hAnsi="Garamond"/>
          <w:lang w:val="de-DE"/>
        </w:rPr>
        <w:t xml:space="preserve">, </w:t>
      </w:r>
      <w:r w:rsidR="00E7610C">
        <w:rPr>
          <w:rFonts w:ascii="Garamond" w:hAnsi="Garamond"/>
          <w:lang w:val="de-DE"/>
        </w:rPr>
        <w:t>wurde</w:t>
      </w:r>
      <w:r w:rsidR="00FC1445">
        <w:rPr>
          <w:rFonts w:ascii="Garamond" w:hAnsi="Garamond"/>
          <w:lang w:val="de-DE"/>
        </w:rPr>
        <w:t xml:space="preserve"> in der Nachkriegsliteratur </w:t>
      </w:r>
      <w:r w:rsidR="005C4EB9">
        <w:rPr>
          <w:rFonts w:ascii="Garamond" w:hAnsi="Garamond"/>
          <w:lang w:val="de-DE"/>
        </w:rPr>
        <w:t xml:space="preserve">von verschiedenen Schrifstellern kritisiert und hinterfragt. Eine solche Kritik liefert Alexander Kluge mit dem Text </w:t>
      </w:r>
      <w:r w:rsidR="00F77E7A">
        <w:rPr>
          <w:rFonts w:ascii="Garamond" w:hAnsi="Garamond"/>
          <w:i/>
          <w:iCs/>
          <w:lang w:val="de-DE"/>
        </w:rPr>
        <w:t>„Ein Liebesversuch</w:t>
      </w:r>
      <w:r w:rsidR="005C4EB9">
        <w:rPr>
          <w:rFonts w:ascii="Garamond" w:hAnsi="Garamond"/>
          <w:i/>
          <w:iCs/>
          <w:lang w:val="de-DE"/>
        </w:rPr>
        <w:t>.</w:t>
      </w:r>
      <w:r w:rsidR="00F77E7A">
        <w:rPr>
          <w:rFonts w:ascii="Garamond" w:hAnsi="Garamond"/>
          <w:i/>
          <w:iCs/>
          <w:lang w:val="de-DE"/>
        </w:rPr>
        <w:t>“</w:t>
      </w:r>
      <w:r w:rsidR="005C4EB9">
        <w:rPr>
          <w:rFonts w:ascii="Garamond" w:hAnsi="Garamond"/>
          <w:i/>
          <w:iCs/>
          <w:lang w:val="de-DE"/>
        </w:rPr>
        <w:t xml:space="preserve"> </w:t>
      </w:r>
      <w:r w:rsidR="005C4EB9">
        <w:rPr>
          <w:rFonts w:ascii="Garamond" w:hAnsi="Garamond"/>
          <w:lang w:val="de-DE"/>
        </w:rPr>
        <w:t>Die Erzählung beinhaltet viele Fragen an einem nationalsozialistischen Arzt</w:t>
      </w:r>
      <w:r w:rsidR="00866BD4">
        <w:rPr>
          <w:rFonts w:ascii="Garamond" w:hAnsi="Garamond"/>
          <w:lang w:val="de-DE"/>
        </w:rPr>
        <w:t>,</w:t>
      </w:r>
      <w:r w:rsidR="005C4EB9">
        <w:rPr>
          <w:rFonts w:ascii="Garamond" w:hAnsi="Garamond"/>
          <w:lang w:val="de-DE"/>
        </w:rPr>
        <w:t xml:space="preserve"> die Fragen an der NSDAP symbolisieren. Der Autor verwendet Fragen, statt irgendein anderes Mittel,</w:t>
      </w:r>
      <w:r w:rsidR="006D3F02">
        <w:rPr>
          <w:rFonts w:ascii="Garamond" w:hAnsi="Garamond"/>
          <w:lang w:val="de-DE"/>
        </w:rPr>
        <w:t xml:space="preserve"> um den Leser </w:t>
      </w:r>
      <w:r w:rsidR="00BB4C22">
        <w:rPr>
          <w:rFonts w:ascii="Garamond" w:hAnsi="Garamond"/>
          <w:lang w:val="de-DE"/>
        </w:rPr>
        <w:t>aufmerk</w:t>
      </w:r>
      <w:r w:rsidR="00DB2031">
        <w:rPr>
          <w:rFonts w:ascii="Garamond" w:hAnsi="Garamond"/>
          <w:lang w:val="de-DE"/>
        </w:rPr>
        <w:t xml:space="preserve">sam auf </w:t>
      </w:r>
      <w:r w:rsidR="00604758">
        <w:rPr>
          <w:rFonts w:ascii="Garamond" w:hAnsi="Garamond"/>
          <w:lang w:val="de-DE"/>
        </w:rPr>
        <w:t xml:space="preserve">sowohl </w:t>
      </w:r>
      <w:r w:rsidR="00476EF5">
        <w:rPr>
          <w:rFonts w:ascii="Garamond" w:hAnsi="Garamond"/>
          <w:lang w:val="de-DE"/>
        </w:rPr>
        <w:t>ethisch</w:t>
      </w:r>
      <w:r w:rsidR="00604758">
        <w:rPr>
          <w:rFonts w:ascii="Garamond" w:hAnsi="Garamond"/>
          <w:lang w:val="de-DE"/>
        </w:rPr>
        <w:t>e</w:t>
      </w:r>
      <w:r w:rsidR="00476EF5">
        <w:rPr>
          <w:rFonts w:ascii="Garamond" w:hAnsi="Garamond"/>
          <w:lang w:val="de-DE"/>
        </w:rPr>
        <w:t xml:space="preserve"> als auch philosophische </w:t>
      </w:r>
      <w:r w:rsidR="00AA35B7">
        <w:rPr>
          <w:rFonts w:ascii="Garamond" w:hAnsi="Garamond"/>
          <w:lang w:val="de-DE"/>
        </w:rPr>
        <w:t>Fragen zu machen.</w:t>
      </w:r>
    </w:p>
    <w:p w14:paraId="2D4B909A" w14:textId="2BD41930" w:rsidR="00354798" w:rsidRDefault="00CE2647" w:rsidP="00E22CD6">
      <w:pPr>
        <w:spacing w:line="360" w:lineRule="auto"/>
        <w:jc w:val="both"/>
        <w:rPr>
          <w:rFonts w:ascii="Garamond" w:hAnsi="Garamond"/>
          <w:lang w:val="de-DE"/>
        </w:rPr>
      </w:pPr>
      <w:r>
        <w:rPr>
          <w:rFonts w:ascii="Garamond" w:hAnsi="Garamond"/>
          <w:lang w:val="de-DE"/>
        </w:rPr>
        <w:t>Die Frage als Stilmittel besitzt eine eigenartige Stärke</w:t>
      </w:r>
      <w:r w:rsidR="000A1BDE">
        <w:rPr>
          <w:rFonts w:ascii="Garamond" w:hAnsi="Garamond"/>
          <w:lang w:val="de-DE"/>
        </w:rPr>
        <w:t>:</w:t>
      </w:r>
      <w:r>
        <w:rPr>
          <w:rFonts w:ascii="Garamond" w:hAnsi="Garamond"/>
          <w:lang w:val="de-DE"/>
        </w:rPr>
        <w:t xml:space="preserve"> </w:t>
      </w:r>
      <w:r w:rsidR="000A1BDE">
        <w:rPr>
          <w:rFonts w:ascii="Garamond" w:hAnsi="Garamond"/>
          <w:lang w:val="de-DE"/>
        </w:rPr>
        <w:t>i</w:t>
      </w:r>
      <w:r>
        <w:rPr>
          <w:rFonts w:ascii="Garamond" w:hAnsi="Garamond"/>
          <w:lang w:val="de-DE"/>
        </w:rPr>
        <w:t>ndem der Schriftsteller die Frage stellt, wird de</w:t>
      </w:r>
      <w:r w:rsidR="00185010">
        <w:rPr>
          <w:rFonts w:ascii="Garamond" w:hAnsi="Garamond"/>
          <w:lang w:val="de-DE"/>
        </w:rPr>
        <w:t>r</w:t>
      </w:r>
      <w:r>
        <w:rPr>
          <w:rFonts w:ascii="Garamond" w:hAnsi="Garamond"/>
          <w:lang w:val="de-DE"/>
        </w:rPr>
        <w:t xml:space="preserve"> Leser gezwungen</w:t>
      </w:r>
      <w:r w:rsidR="00185010">
        <w:rPr>
          <w:rFonts w:ascii="Garamond" w:hAnsi="Garamond"/>
          <w:lang w:val="de-DE"/>
        </w:rPr>
        <w:t xml:space="preserve">, selbst eine Antwort zu formulieren. Mit seinem Text fordert Kluge den Leser auf, die Perspektive eines nationalsozialistischen Arztes während des Zweiten Weltkrieges einzunehmen und zu überlegen, was geschehen ist und warum. </w:t>
      </w:r>
      <w:r w:rsidR="005C4EB9">
        <w:rPr>
          <w:rFonts w:ascii="Garamond" w:hAnsi="Garamond"/>
          <w:lang w:val="de-DE"/>
        </w:rPr>
        <w:t xml:space="preserve">Wenn der Leser die Antworten des lyrischen Ichs liest, fällt es dem Leser auf, wie distanziert der Arzt, der die NSDAP darstellt, sich gegen anderen Menschen benimmt. </w:t>
      </w:r>
      <w:r w:rsidR="00185010">
        <w:rPr>
          <w:rFonts w:ascii="Garamond" w:hAnsi="Garamond"/>
          <w:lang w:val="de-DE"/>
        </w:rPr>
        <w:t>Diese Aufforderung wird durch die Verwendung von Pronomen der ersten Person Plural</w:t>
      </w:r>
      <w:r w:rsidR="000A1BDE">
        <w:rPr>
          <w:rFonts w:ascii="Garamond" w:hAnsi="Garamond"/>
          <w:lang w:val="de-DE"/>
        </w:rPr>
        <w:t xml:space="preserve"> </w:t>
      </w:r>
      <w:r w:rsidR="00185010">
        <w:rPr>
          <w:rFonts w:ascii="Garamond" w:hAnsi="Garamond"/>
          <w:lang w:val="de-DE"/>
        </w:rPr>
        <w:t>unterstütz</w:t>
      </w:r>
      <w:r w:rsidR="000A1BDE">
        <w:rPr>
          <w:rFonts w:ascii="Garamond" w:hAnsi="Garamond"/>
          <w:lang w:val="de-DE"/>
        </w:rPr>
        <w:t>t</w:t>
      </w:r>
      <w:r w:rsidR="00185010">
        <w:rPr>
          <w:rFonts w:ascii="Garamond" w:hAnsi="Garamond"/>
          <w:lang w:val="de-DE"/>
        </w:rPr>
        <w:t>, da</w:t>
      </w:r>
      <w:r w:rsidR="000A1BDE" w:rsidRPr="000A1BDE">
        <w:rPr>
          <w:rFonts w:ascii="Garamond" w:hAnsi="Garamond"/>
          <w:lang w:val="de-DE"/>
        </w:rPr>
        <w:t xml:space="preserve"> </w:t>
      </w:r>
      <w:r w:rsidR="000A1BDE">
        <w:rPr>
          <w:rFonts w:ascii="Garamond" w:hAnsi="Garamond"/>
          <w:lang w:val="de-DE"/>
        </w:rPr>
        <w:t>dem Leser</w:t>
      </w:r>
      <w:r w:rsidR="00185010">
        <w:rPr>
          <w:rFonts w:ascii="Garamond" w:hAnsi="Garamond"/>
          <w:lang w:val="de-DE"/>
        </w:rPr>
        <w:t xml:space="preserve"> dadurch die Möglichkeit,</w:t>
      </w:r>
      <w:r w:rsidR="000A1BDE" w:rsidRPr="000A1BDE">
        <w:rPr>
          <w:rFonts w:ascii="Garamond" w:hAnsi="Garamond"/>
          <w:lang w:val="de-DE"/>
        </w:rPr>
        <w:t xml:space="preserve"> </w:t>
      </w:r>
      <w:r w:rsidR="000A1BDE">
        <w:rPr>
          <w:rFonts w:ascii="Garamond" w:hAnsi="Garamond"/>
          <w:lang w:val="de-DE"/>
        </w:rPr>
        <w:t>die Blamage</w:t>
      </w:r>
      <w:r w:rsidR="00185010">
        <w:rPr>
          <w:rFonts w:ascii="Garamond" w:hAnsi="Garamond"/>
          <w:lang w:val="de-DE"/>
        </w:rPr>
        <w:t xml:space="preserve"> auf einen anderen zu verschieben, ge</w:t>
      </w:r>
      <w:r w:rsidR="000A1BDE">
        <w:rPr>
          <w:rFonts w:ascii="Garamond" w:hAnsi="Garamond"/>
          <w:lang w:val="de-DE"/>
        </w:rPr>
        <w:t>nommen</w:t>
      </w:r>
      <w:r w:rsidR="00185010">
        <w:rPr>
          <w:rFonts w:ascii="Garamond" w:hAnsi="Garamond"/>
          <w:lang w:val="de-DE"/>
        </w:rPr>
        <w:t xml:space="preserve"> wird.</w:t>
      </w:r>
      <w:r w:rsidR="000A1BDE">
        <w:rPr>
          <w:rFonts w:ascii="Garamond" w:hAnsi="Garamond"/>
          <w:lang w:val="de-DE"/>
        </w:rPr>
        <w:t xml:space="preserve"> </w:t>
      </w:r>
      <w:r w:rsidR="00B7074F">
        <w:rPr>
          <w:rFonts w:ascii="Garamond" w:hAnsi="Garamond"/>
          <w:lang w:val="de-DE"/>
        </w:rPr>
        <w:t xml:space="preserve">Am Ende des Texts, steht eine Frage, auf der keine Antwort geschrieben ist. Das heißt, der Leser wird wieder aufgefordert selbst eine Antwort zu finden, aber er kann es jetzt nicht mit den Antworten von dem Arzt vergleichen. </w:t>
      </w:r>
      <w:r w:rsidR="000A1BDE">
        <w:rPr>
          <w:rFonts w:ascii="Garamond" w:hAnsi="Garamond"/>
          <w:lang w:val="de-DE"/>
        </w:rPr>
        <w:t>Durch diese beiden literarischen Techniken bleibt der Text dem Leser sehr lange nach der Lektüre noch im Gedächtnis.</w:t>
      </w:r>
    </w:p>
    <w:p w14:paraId="4F237B54" w14:textId="2AE8ECD9" w:rsidR="000A1BDE" w:rsidRPr="00471377" w:rsidRDefault="003D7F6C" w:rsidP="00471377">
      <w:pPr>
        <w:spacing w:line="360" w:lineRule="auto"/>
        <w:jc w:val="both"/>
        <w:rPr>
          <w:rFonts w:ascii="Garamond" w:hAnsi="Garamond"/>
          <w:lang w:val="de-DE"/>
        </w:rPr>
      </w:pPr>
      <w:r>
        <w:rPr>
          <w:rFonts w:ascii="Garamond" w:hAnsi="Garamond"/>
          <w:lang w:val="de-DE"/>
        </w:rPr>
        <w:t xml:space="preserve">Ich habe diesen Text gewählt, weil mich die Frage des freien Willens besonders interessiert. Kluge deutet in </w:t>
      </w:r>
      <w:r>
        <w:rPr>
          <w:rFonts w:ascii="Garamond" w:hAnsi="Garamond"/>
          <w:i/>
          <w:iCs/>
          <w:lang w:val="de-DE"/>
        </w:rPr>
        <w:t xml:space="preserve">„Ein Liebesversuch“ </w:t>
      </w:r>
      <w:r>
        <w:rPr>
          <w:rFonts w:ascii="Garamond" w:hAnsi="Garamond"/>
          <w:lang w:val="de-DE"/>
        </w:rPr>
        <w:t xml:space="preserve">darauf hin, dass die Nationalsozialisten Menschen selbst ihres freien Willens beraubten, wenn von etwas die Rede ist, das eigentlich schön, unantastbar und privat sein sollte, wie die Liebe. Ich würde in meinem Essay jede Frage und ihre </w:t>
      </w:r>
      <w:r w:rsidR="00D81A92">
        <w:rPr>
          <w:rFonts w:ascii="Garamond" w:hAnsi="Garamond"/>
          <w:lang w:val="de-DE"/>
        </w:rPr>
        <w:t>Wirkung</w:t>
      </w:r>
      <w:r>
        <w:rPr>
          <w:rFonts w:ascii="Garamond" w:hAnsi="Garamond"/>
          <w:lang w:val="de-DE"/>
        </w:rPr>
        <w:t xml:space="preserve"> interpretieren mithilfe</w:t>
      </w:r>
      <w:r w:rsidR="00D81A92">
        <w:rPr>
          <w:rFonts w:ascii="Garamond" w:hAnsi="Garamond"/>
          <w:lang w:val="de-DE"/>
        </w:rPr>
        <w:t xml:space="preserve"> von Sekundärliteratur, die sowohl die allgemeine Wirkung </w:t>
      </w:r>
      <w:r w:rsidR="005C4EB9">
        <w:rPr>
          <w:rFonts w:ascii="Garamond" w:hAnsi="Garamond"/>
          <w:lang w:val="de-DE"/>
        </w:rPr>
        <w:t>der Frage</w:t>
      </w:r>
      <w:r w:rsidR="00D81A92">
        <w:rPr>
          <w:rFonts w:ascii="Garamond" w:hAnsi="Garamond"/>
          <w:lang w:val="de-DE"/>
        </w:rPr>
        <w:t xml:space="preserve"> als auch das Werk von dem Schriftsteller Alexander Kluge untersucht. Ich </w:t>
      </w:r>
      <w:r w:rsidR="002D53B0">
        <w:rPr>
          <w:rFonts w:ascii="Garamond" w:hAnsi="Garamond"/>
          <w:lang w:val="de-DE"/>
        </w:rPr>
        <w:t xml:space="preserve">ziele darauf, mit meinem Essay </w:t>
      </w:r>
      <w:r w:rsidR="005C4EB9">
        <w:rPr>
          <w:rFonts w:ascii="Garamond" w:hAnsi="Garamond"/>
          <w:lang w:val="de-DE"/>
        </w:rPr>
        <w:t xml:space="preserve">zu zeigen wie Kluge durch seine Fragen den Leser herausfordert um nicht </w:t>
      </w:r>
      <w:r w:rsidR="00B7074F">
        <w:rPr>
          <w:rFonts w:ascii="Garamond" w:hAnsi="Garamond"/>
          <w:lang w:val="de-DE"/>
        </w:rPr>
        <w:t>Unmenschlichkeit anzunehmen</w:t>
      </w:r>
      <w:r w:rsidR="00471377">
        <w:rPr>
          <w:rFonts w:ascii="Garamond" w:hAnsi="Garamond"/>
          <w:lang w:val="de-DE"/>
        </w:rPr>
        <w:t xml:space="preserve">. Wie früher erwähnt, macht die Wahl von Pronomen im Text auch einen starken Eindruck, der die </w:t>
      </w:r>
      <w:r w:rsidR="00471377">
        <w:rPr>
          <w:rFonts w:ascii="Garamond" w:hAnsi="Garamond"/>
          <w:lang w:val="de-DE"/>
        </w:rPr>
        <w:lastRenderedPageBreak/>
        <w:t xml:space="preserve">Fragen betont. Die Pronomen will ich analysieren als Beispiel eine </w:t>
      </w:r>
      <w:r w:rsidR="00471377">
        <w:rPr>
          <w:rFonts w:ascii="Garamond" w:hAnsi="Garamond"/>
          <w:i/>
          <w:iCs/>
          <w:lang w:val="de-DE"/>
        </w:rPr>
        <w:t>„wir-gegen-die-Mentalität,“</w:t>
      </w:r>
      <w:r w:rsidR="00471377">
        <w:rPr>
          <w:rFonts w:ascii="Garamond" w:hAnsi="Garamond"/>
          <w:lang w:val="de-DE"/>
        </w:rPr>
        <w:t xml:space="preserve"> die mit der Benennung der </w:t>
      </w:r>
      <w:r w:rsidR="00471377">
        <w:rPr>
          <w:rFonts w:ascii="Garamond" w:hAnsi="Garamond"/>
          <w:i/>
          <w:iCs/>
          <w:lang w:val="de-DE"/>
        </w:rPr>
        <w:t xml:space="preserve">„Versuchspersonen“ </w:t>
      </w:r>
      <w:r w:rsidR="00471377">
        <w:rPr>
          <w:rFonts w:ascii="Garamond" w:hAnsi="Garamond"/>
          <w:lang w:val="de-DE"/>
        </w:rPr>
        <w:t>verbunden ist.</w:t>
      </w:r>
    </w:p>
    <w:p w14:paraId="430B61C7" w14:textId="77777777" w:rsidR="00471377" w:rsidRPr="003D7F6C" w:rsidRDefault="00471377" w:rsidP="00E22CD6">
      <w:pPr>
        <w:spacing w:line="360" w:lineRule="auto"/>
        <w:jc w:val="both"/>
        <w:rPr>
          <w:rFonts w:ascii="Garamond" w:hAnsi="Garamond"/>
          <w:lang w:val="de-DE"/>
        </w:rPr>
      </w:pPr>
    </w:p>
    <w:sectPr w:rsidR="00471377" w:rsidRPr="003D7F6C" w:rsidSect="000E6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9D4"/>
    <w:rsid w:val="000A1BDE"/>
    <w:rsid w:val="000E6DEE"/>
    <w:rsid w:val="00127446"/>
    <w:rsid w:val="00163EA4"/>
    <w:rsid w:val="00185010"/>
    <w:rsid w:val="00234715"/>
    <w:rsid w:val="00265358"/>
    <w:rsid w:val="00287C26"/>
    <w:rsid w:val="002C4D98"/>
    <w:rsid w:val="002D53B0"/>
    <w:rsid w:val="00354798"/>
    <w:rsid w:val="0035732C"/>
    <w:rsid w:val="003D7F6C"/>
    <w:rsid w:val="00471377"/>
    <w:rsid w:val="00476EF5"/>
    <w:rsid w:val="004949D4"/>
    <w:rsid w:val="00504C6D"/>
    <w:rsid w:val="00523D00"/>
    <w:rsid w:val="005261E8"/>
    <w:rsid w:val="00590334"/>
    <w:rsid w:val="005C4EB9"/>
    <w:rsid w:val="005D17AA"/>
    <w:rsid w:val="00604758"/>
    <w:rsid w:val="006B100C"/>
    <w:rsid w:val="006D3F02"/>
    <w:rsid w:val="007D2630"/>
    <w:rsid w:val="00831FAB"/>
    <w:rsid w:val="0086042D"/>
    <w:rsid w:val="00866BD4"/>
    <w:rsid w:val="0087007C"/>
    <w:rsid w:val="0088775A"/>
    <w:rsid w:val="008B69B2"/>
    <w:rsid w:val="0091214A"/>
    <w:rsid w:val="009D37F4"/>
    <w:rsid w:val="00AA35B7"/>
    <w:rsid w:val="00AC1D75"/>
    <w:rsid w:val="00B0569B"/>
    <w:rsid w:val="00B17FD0"/>
    <w:rsid w:val="00B7074F"/>
    <w:rsid w:val="00BB4C22"/>
    <w:rsid w:val="00BC3683"/>
    <w:rsid w:val="00BE59DB"/>
    <w:rsid w:val="00CE2647"/>
    <w:rsid w:val="00D17CB7"/>
    <w:rsid w:val="00D81A92"/>
    <w:rsid w:val="00DB2031"/>
    <w:rsid w:val="00DD7D16"/>
    <w:rsid w:val="00DE69B6"/>
    <w:rsid w:val="00DF64D8"/>
    <w:rsid w:val="00E22CD6"/>
    <w:rsid w:val="00E7610C"/>
    <w:rsid w:val="00EB5A01"/>
    <w:rsid w:val="00F150C4"/>
    <w:rsid w:val="00F77E7A"/>
    <w:rsid w:val="00FC144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8FE28"/>
  <w15:chartTrackingRefBased/>
  <w15:docId w15:val="{EEF70C78-EEF9-43E1-B0D4-9A3B94A9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9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9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9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9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9D4"/>
    <w:rPr>
      <w:rFonts w:eastAsiaTheme="majorEastAsia" w:cstheme="majorBidi"/>
      <w:color w:val="272727" w:themeColor="text1" w:themeTint="D8"/>
    </w:rPr>
  </w:style>
  <w:style w:type="paragraph" w:styleId="Title">
    <w:name w:val="Title"/>
    <w:basedOn w:val="Normal"/>
    <w:next w:val="Normal"/>
    <w:link w:val="TitleChar"/>
    <w:uiPriority w:val="10"/>
    <w:qFormat/>
    <w:rsid w:val="00494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9D4"/>
    <w:pPr>
      <w:spacing w:before="160"/>
      <w:jc w:val="center"/>
    </w:pPr>
    <w:rPr>
      <w:i/>
      <w:iCs/>
      <w:color w:val="404040" w:themeColor="text1" w:themeTint="BF"/>
    </w:rPr>
  </w:style>
  <w:style w:type="character" w:customStyle="1" w:styleId="QuoteChar">
    <w:name w:val="Quote Char"/>
    <w:basedOn w:val="DefaultParagraphFont"/>
    <w:link w:val="Quote"/>
    <w:uiPriority w:val="29"/>
    <w:rsid w:val="004949D4"/>
    <w:rPr>
      <w:i/>
      <w:iCs/>
      <w:color w:val="404040" w:themeColor="text1" w:themeTint="BF"/>
    </w:rPr>
  </w:style>
  <w:style w:type="paragraph" w:styleId="ListParagraph">
    <w:name w:val="List Paragraph"/>
    <w:basedOn w:val="Normal"/>
    <w:uiPriority w:val="34"/>
    <w:qFormat/>
    <w:rsid w:val="004949D4"/>
    <w:pPr>
      <w:ind w:left="720"/>
      <w:contextualSpacing/>
    </w:pPr>
  </w:style>
  <w:style w:type="character" w:styleId="IntenseEmphasis">
    <w:name w:val="Intense Emphasis"/>
    <w:basedOn w:val="DefaultParagraphFont"/>
    <w:uiPriority w:val="21"/>
    <w:qFormat/>
    <w:rsid w:val="004949D4"/>
    <w:rPr>
      <w:i/>
      <w:iCs/>
      <w:color w:val="0F4761" w:themeColor="accent1" w:themeShade="BF"/>
    </w:rPr>
  </w:style>
  <w:style w:type="paragraph" w:styleId="IntenseQuote">
    <w:name w:val="Intense Quote"/>
    <w:basedOn w:val="Normal"/>
    <w:next w:val="Normal"/>
    <w:link w:val="IntenseQuoteChar"/>
    <w:uiPriority w:val="30"/>
    <w:qFormat/>
    <w:rsid w:val="00494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9D4"/>
    <w:rPr>
      <w:i/>
      <w:iCs/>
      <w:color w:val="0F4761" w:themeColor="accent1" w:themeShade="BF"/>
    </w:rPr>
  </w:style>
  <w:style w:type="character" w:styleId="IntenseReference">
    <w:name w:val="Intense Reference"/>
    <w:basedOn w:val="DefaultParagraphFont"/>
    <w:uiPriority w:val="32"/>
    <w:qFormat/>
    <w:rsid w:val="004949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A0BD3508104B428AF67C615BE3B437" ma:contentTypeVersion="6" ma:contentTypeDescription="Create a new document." ma:contentTypeScope="" ma:versionID="24114cf2e7ef4c46b161d07d6c7e25f8">
  <xsd:schema xmlns:xsd="http://www.w3.org/2001/XMLSchema" xmlns:xs="http://www.w3.org/2001/XMLSchema" xmlns:p="http://schemas.microsoft.com/office/2006/metadata/properties" xmlns:ns3="8ace2058-f70a-4520-a2cc-a7ded0f71ece" targetNamespace="http://schemas.microsoft.com/office/2006/metadata/properties" ma:root="true" ma:fieldsID="a138081577d3b5b5fa458ac30bb45583" ns3:_="">
    <xsd:import namespace="8ace2058-f70a-4520-a2cc-a7ded0f71ec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ce2058-f70a-4520-a2cc-a7ded0f71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ace2058-f70a-4520-a2cc-a7ded0f71ece" xsi:nil="true"/>
  </documentManagement>
</p:properties>
</file>

<file path=customXml/itemProps1.xml><?xml version="1.0" encoding="utf-8"?>
<ds:datastoreItem xmlns:ds="http://schemas.openxmlformats.org/officeDocument/2006/customXml" ds:itemID="{974B1019-9FEB-466D-B247-120DDFD90F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ce2058-f70a-4520-a2cc-a7ded0f71e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FEA268-839B-400A-8A7B-51D4C29052E8}">
  <ds:schemaRefs>
    <ds:schemaRef ds:uri="http://schemas.microsoft.com/sharepoint/v3/contenttype/forms"/>
  </ds:schemaRefs>
</ds:datastoreItem>
</file>

<file path=customXml/itemProps3.xml><?xml version="1.0" encoding="utf-8"?>
<ds:datastoreItem xmlns:ds="http://schemas.openxmlformats.org/officeDocument/2006/customXml" ds:itemID="{4294AF20-BAF3-458D-95A6-29DBFC676623}">
  <ds:schemaRefs>
    <ds:schemaRef ds:uri="http://schemas.microsoft.com/office/2006/metadata/properties"/>
    <ds:schemaRef ds:uri="http://schemas.microsoft.com/office/infopath/2007/PartnerControls"/>
    <ds:schemaRef ds:uri="8ace2058-f70a-4520-a2cc-a7ded0f71ece"/>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Pages>
  <Words>547</Words>
  <Characters>2319</Characters>
  <Application>Microsoft Office Word</Application>
  <DocSecurity>0</DocSecurity>
  <Lines>44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QC, Mr [27902277@sun.ac.za]</dc:creator>
  <cp:keywords/>
  <dc:description/>
  <cp:lastModifiedBy>Barnard, QC, Mr [27902277@sun.ac.za]</cp:lastModifiedBy>
  <cp:revision>4</cp:revision>
  <dcterms:created xsi:type="dcterms:W3CDTF">2026-02-22T17:34:00Z</dcterms:created>
  <dcterms:modified xsi:type="dcterms:W3CDTF">2026-03-01T17:18:00Z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0x010100FAA0BD3508104B428AF67C615BE3B437</vt:lpwstr>
  </property>
</Properties>
</file>