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39AC" w14:textId="44CD7578" w:rsidR="0091214A" w:rsidRDefault="00513A22" w:rsidP="00513A22">
      <w:pPr>
        <w:jc w:val="both"/>
      </w:pPr>
      <w:r>
        <w:rPr>
          <w:lang w:val="en-GB"/>
        </w:rPr>
        <w:t xml:space="preserve">The Temporal Focus Hypothesis (TFH) arose in the 1990’s </w:t>
      </w:r>
      <w:r w:rsidR="004D4D36">
        <w:rPr>
          <w:lang w:val="en-GB"/>
        </w:rPr>
        <w:t xml:space="preserve">and </w:t>
      </w:r>
      <w:r>
        <w:rPr>
          <w:lang w:val="en-GB"/>
        </w:rPr>
        <w:t>attempt</w:t>
      </w:r>
      <w:r w:rsidR="004D4D36">
        <w:rPr>
          <w:lang w:val="en-GB"/>
        </w:rPr>
        <w:t>s</w:t>
      </w:r>
      <w:r>
        <w:rPr>
          <w:lang w:val="en-GB"/>
        </w:rPr>
        <w:t xml:space="preserve"> to provide a model that can predict the variations of human language with regards to time, specifically the metaphorical orientation of the flow of time with reference to the speaker</w:t>
      </w:r>
      <w:r w:rsidR="004D4D36">
        <w:rPr>
          <w:lang w:val="en-GB"/>
        </w:rPr>
        <w:t>.</w:t>
      </w:r>
      <w:r>
        <w:t xml:space="preserve"> </w:t>
      </w:r>
      <w:r w:rsidR="004D4D36">
        <w:t>One</w:t>
      </w:r>
      <w:r>
        <w:t xml:space="preserve"> example </w:t>
      </w:r>
      <w:r w:rsidR="004D4D36">
        <w:t>would be</w:t>
      </w:r>
      <w:r>
        <w:t xml:space="preserve"> placing the future “in front of” and the past “behind” the speaker. The TFH posits that this mapping is influenced by the importance and salience of the concepts of the past and future</w:t>
      </w:r>
      <w:r w:rsidR="00C74AA1" w:rsidRPr="00C74AA1">
        <w:t xml:space="preserve"> </w:t>
      </w:r>
      <w:r w:rsidR="00C74AA1">
        <w:t>respectively</w:t>
      </w:r>
      <w:r>
        <w:t xml:space="preserve"> in</w:t>
      </w:r>
      <w:r w:rsidR="00C74AA1">
        <w:t xml:space="preserve"> </w:t>
      </w:r>
      <w:r>
        <w:t>speech</w:t>
      </w:r>
      <w:r w:rsidR="000820BA">
        <w:t>, society and other factors</w:t>
      </w:r>
      <w:r>
        <w:t xml:space="preserve">. </w:t>
      </w:r>
      <w:proofErr w:type="gramStart"/>
      <w:r>
        <w:t>That is to say, according</w:t>
      </w:r>
      <w:proofErr w:type="gramEnd"/>
      <w:r>
        <w:t xml:space="preserve"> to the TFH, a culture that </w:t>
      </w:r>
      <w:proofErr w:type="spellStart"/>
      <w:r>
        <w:t>emphasises</w:t>
      </w:r>
      <w:proofErr w:type="spellEnd"/>
      <w:r>
        <w:t xml:space="preserve"> the past is likely to tend towards so-called past-in-front mappings</w:t>
      </w:r>
      <w:r w:rsidR="004D4D36">
        <w:t>.</w:t>
      </w:r>
    </w:p>
    <w:p w14:paraId="01D6B2D3" w14:textId="1836B45A" w:rsidR="00513A22" w:rsidRDefault="0088100E" w:rsidP="00513A22">
      <w:pPr>
        <w:jc w:val="both"/>
        <w:rPr>
          <w:lang w:val="en-GB"/>
        </w:rPr>
      </w:pPr>
      <w:r>
        <w:rPr>
          <w:lang w:val="en-GB"/>
        </w:rPr>
        <w:t xml:space="preserve">Li et al. (2018) is a between-subjects design study investigating the validity of the TFH. </w:t>
      </w:r>
      <w:proofErr w:type="gramStart"/>
      <w:r>
        <w:rPr>
          <w:lang w:val="en-GB"/>
        </w:rPr>
        <w:t>In an attempt to</w:t>
      </w:r>
      <w:proofErr w:type="gramEnd"/>
      <w:r>
        <w:rPr>
          <w:lang w:val="en-GB"/>
        </w:rPr>
        <w:t xml:space="preserve"> improve upon preceding research, where subjects varied in both culture and country, subjects were selected from North and South Korea </w:t>
      </w:r>
      <w:proofErr w:type="gramStart"/>
      <w:r>
        <w:rPr>
          <w:lang w:val="en-GB"/>
        </w:rPr>
        <w:t>in order to</w:t>
      </w:r>
      <w:proofErr w:type="gramEnd"/>
      <w:r>
        <w:rPr>
          <w:lang w:val="en-GB"/>
        </w:rPr>
        <w:t xml:space="preserve"> minimise the effects of geographic elements, such as lived religious experiences. The selection of participants isolates the independent variable as the participants’ culture, either North or South Korean, allowing more accurate interpretation of the dependent variable: mental and linguistic temporal mapping.</w:t>
      </w:r>
      <w:r w:rsidR="00C74AA1">
        <w:rPr>
          <w:lang w:val="en-GB"/>
        </w:rPr>
        <w:t xml:space="preserve"> Conversely, </w:t>
      </w:r>
      <w:proofErr w:type="spellStart"/>
      <w:r w:rsidR="00C74AA1">
        <w:rPr>
          <w:lang w:val="en-GB"/>
        </w:rPr>
        <w:t>Li&amp;Cao</w:t>
      </w:r>
      <w:proofErr w:type="spellEnd"/>
      <w:r w:rsidR="00C74AA1">
        <w:rPr>
          <w:lang w:val="en-GB"/>
        </w:rPr>
        <w:t xml:space="preserve"> (2021) is </w:t>
      </w:r>
      <w:r w:rsidR="004D4D36">
        <w:rPr>
          <w:lang w:val="en-GB"/>
        </w:rPr>
        <w:t>a within-subjects design study investigating the influence of inducing a certain mode of thought within subjects on the validity of the TFH. Participants from similar backgrounds were assigned to groups randomly and given either news about sports exclusively or about sports and the COVID</w:t>
      </w:r>
      <w:r w:rsidR="000820BA">
        <w:rPr>
          <w:lang w:val="en-GB"/>
        </w:rPr>
        <w:t>-</w:t>
      </w:r>
      <w:r w:rsidR="004D4D36">
        <w:rPr>
          <w:lang w:val="en-GB"/>
        </w:rPr>
        <w:t xml:space="preserve">19 pandemic. </w:t>
      </w:r>
      <w:proofErr w:type="spellStart"/>
      <w:r w:rsidR="004D4D36">
        <w:rPr>
          <w:lang w:val="en-GB"/>
        </w:rPr>
        <w:t>Li&amp;Cao</w:t>
      </w:r>
      <w:proofErr w:type="spellEnd"/>
      <w:r w:rsidR="004D4D36">
        <w:rPr>
          <w:lang w:val="en-GB"/>
        </w:rPr>
        <w:t xml:space="preserve"> (2021) thus isolate pandemic-thinking as a binary true/false variable as the independent variable, with a similar dependent variable to Li et al. (2018).</w:t>
      </w:r>
    </w:p>
    <w:p w14:paraId="06702B38" w14:textId="45BBF8FD" w:rsidR="000820BA" w:rsidRDefault="000820BA" w:rsidP="00513A22">
      <w:pPr>
        <w:jc w:val="both"/>
        <w:rPr>
          <w:lang w:val="en-GB"/>
        </w:rPr>
      </w:pPr>
      <w:r>
        <w:rPr>
          <w:lang w:val="en-GB"/>
        </w:rPr>
        <w:t xml:space="preserve">Li et al. (2018) found no significant tendency within the North Korean participants, but the South Korean participants largely preferred the future-in-front mapping when given a temporal diagram task. </w:t>
      </w:r>
      <w:proofErr w:type="spellStart"/>
      <w:r>
        <w:rPr>
          <w:lang w:val="en-GB"/>
        </w:rPr>
        <w:t>Li&amp;Cao</w:t>
      </w:r>
      <w:proofErr w:type="spellEnd"/>
      <w:r>
        <w:rPr>
          <w:lang w:val="en-GB"/>
        </w:rPr>
        <w:t xml:space="preserve"> (2021) again found no significant tendency within their control group, but the experimental group tended towards past-in-front mappings. </w:t>
      </w:r>
      <w:proofErr w:type="gramStart"/>
      <w:r>
        <w:rPr>
          <w:lang w:val="en-GB"/>
        </w:rPr>
        <w:t>Both of these</w:t>
      </w:r>
      <w:proofErr w:type="gramEnd"/>
      <w:r>
        <w:rPr>
          <w:lang w:val="en-GB"/>
        </w:rPr>
        <w:t xml:space="preserve"> studies strongly support the TFH. Although no tendency was found within the North Korean participants, Li et al. were still able to produce a model called the Temporal Focus which could accurately predict a subject’s mapping based on cultural tendencies and views. This is strong proof </w:t>
      </w:r>
      <w:r w:rsidR="002A0A93">
        <w:rPr>
          <w:lang w:val="en-GB"/>
        </w:rPr>
        <w:t xml:space="preserve">that temporal focus influences temporal thought. </w:t>
      </w:r>
      <w:proofErr w:type="spellStart"/>
      <w:r w:rsidR="002A0A93">
        <w:rPr>
          <w:lang w:val="en-GB"/>
        </w:rPr>
        <w:t>Li&amp;Cao</w:t>
      </w:r>
      <w:proofErr w:type="spellEnd"/>
      <w:r w:rsidR="002A0A93">
        <w:rPr>
          <w:lang w:val="en-GB"/>
        </w:rPr>
        <w:t xml:space="preserve"> provide stronger proof yet, manipulating temporal focus within subjects. After variance analysis it was demonstrated that members of the experimental group were more likely to view the past with more importance than the future and accordingly were more prone toward past-in-front mappings when presented with the same temporal diagram task Li et al. (2018) used.</w:t>
      </w:r>
    </w:p>
    <w:p w14:paraId="0BE0D151" w14:textId="6BA1705A" w:rsidR="00841185" w:rsidRDefault="00841185" w:rsidP="00513A22">
      <w:pPr>
        <w:jc w:val="both"/>
        <w:rPr>
          <w:b/>
          <w:bCs/>
          <w:lang w:val="en-GB"/>
        </w:rPr>
      </w:pPr>
      <w:r>
        <w:rPr>
          <w:b/>
          <w:bCs/>
          <w:lang w:val="en-GB"/>
        </w:rPr>
        <w:t>References:</w:t>
      </w:r>
    </w:p>
    <w:p w14:paraId="2A2F4BD1" w14:textId="2BB68BEF" w:rsidR="00841185" w:rsidRPr="00841185" w:rsidRDefault="00841185" w:rsidP="00841185">
      <w:pPr>
        <w:jc w:val="both"/>
        <w:rPr>
          <w:sz w:val="22"/>
          <w:szCs w:val="22"/>
        </w:rPr>
      </w:pPr>
      <w:r w:rsidRPr="00841185">
        <w:rPr>
          <w:sz w:val="22"/>
          <w:szCs w:val="22"/>
        </w:rPr>
        <w:t>Li, H., Bui, V.Q. and Cao, Y., 2018. One country, two cultures: Implicit space–time mappings in Southern and Northern Vietnamese. </w:t>
      </w:r>
      <w:r w:rsidRPr="00841185">
        <w:rPr>
          <w:i/>
          <w:iCs/>
          <w:sz w:val="22"/>
          <w:szCs w:val="22"/>
        </w:rPr>
        <w:t>European Journal of Social Psychology</w:t>
      </w:r>
      <w:r w:rsidRPr="00841185">
        <w:rPr>
          <w:sz w:val="22"/>
          <w:szCs w:val="22"/>
        </w:rPr>
        <w:t>, </w:t>
      </w:r>
      <w:r w:rsidRPr="00841185">
        <w:rPr>
          <w:i/>
          <w:iCs/>
          <w:sz w:val="22"/>
          <w:szCs w:val="22"/>
        </w:rPr>
        <w:t>48</w:t>
      </w:r>
      <w:r w:rsidRPr="00841185">
        <w:rPr>
          <w:sz w:val="22"/>
          <w:szCs w:val="22"/>
        </w:rPr>
        <w:t>(4), pp.560-565.</w:t>
      </w:r>
    </w:p>
    <w:p w14:paraId="214020FB" w14:textId="5A5BD75A" w:rsidR="00841185" w:rsidRPr="00841185" w:rsidRDefault="00841185" w:rsidP="00841185">
      <w:pPr>
        <w:jc w:val="both"/>
        <w:rPr>
          <w:sz w:val="22"/>
          <w:szCs w:val="22"/>
          <w:lang w:val="en-GB"/>
        </w:rPr>
      </w:pPr>
      <w:r w:rsidRPr="00841185">
        <w:rPr>
          <w:sz w:val="22"/>
          <w:szCs w:val="22"/>
        </w:rPr>
        <w:t xml:space="preserve">Li, H. and Cao, Y., 2021. In times of </w:t>
      </w:r>
      <w:proofErr w:type="gramStart"/>
      <w:r w:rsidRPr="00841185">
        <w:rPr>
          <w:sz w:val="22"/>
          <w:szCs w:val="22"/>
        </w:rPr>
        <w:t xml:space="preserve">illness: </w:t>
      </w:r>
      <w:proofErr w:type="gramEnd"/>
      <w:r w:rsidRPr="00841185">
        <w:rPr>
          <w:sz w:val="22"/>
          <w:szCs w:val="22"/>
        </w:rPr>
        <w:t>Covid-19 threat influences temporal focus and implicit space-time mappings. </w:t>
      </w:r>
      <w:r w:rsidRPr="00841185">
        <w:rPr>
          <w:i/>
          <w:iCs/>
          <w:sz w:val="22"/>
          <w:szCs w:val="22"/>
        </w:rPr>
        <w:t>Personality and Individual Differences</w:t>
      </w:r>
      <w:r w:rsidRPr="00841185">
        <w:rPr>
          <w:sz w:val="22"/>
          <w:szCs w:val="22"/>
        </w:rPr>
        <w:t>, </w:t>
      </w:r>
      <w:r w:rsidRPr="00841185">
        <w:rPr>
          <w:i/>
          <w:iCs/>
          <w:sz w:val="22"/>
          <w:szCs w:val="22"/>
        </w:rPr>
        <w:t>171</w:t>
      </w:r>
      <w:r w:rsidRPr="00841185">
        <w:rPr>
          <w:sz w:val="22"/>
          <w:szCs w:val="22"/>
        </w:rPr>
        <w:t>, p.110561.</w:t>
      </w:r>
    </w:p>
    <w:sectPr w:rsidR="00841185" w:rsidRPr="00841185" w:rsidSect="000E6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22"/>
    <w:rsid w:val="000820BA"/>
    <w:rsid w:val="000E6DEE"/>
    <w:rsid w:val="00234715"/>
    <w:rsid w:val="00265358"/>
    <w:rsid w:val="002A0A93"/>
    <w:rsid w:val="002C4D98"/>
    <w:rsid w:val="00302E98"/>
    <w:rsid w:val="004D4D36"/>
    <w:rsid w:val="00513A22"/>
    <w:rsid w:val="006B100C"/>
    <w:rsid w:val="00841185"/>
    <w:rsid w:val="0087007C"/>
    <w:rsid w:val="0088100E"/>
    <w:rsid w:val="0088775A"/>
    <w:rsid w:val="0091214A"/>
    <w:rsid w:val="009D37F4"/>
    <w:rsid w:val="00B93FB5"/>
    <w:rsid w:val="00C74AA1"/>
    <w:rsid w:val="00DD7D16"/>
    <w:rsid w:val="00DF64D8"/>
    <w:rsid w:val="00EB5A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C22D"/>
  <w15:chartTrackingRefBased/>
  <w15:docId w15:val="{AAE8B883-2B36-4300-8D25-61148722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A22"/>
    <w:rPr>
      <w:rFonts w:eastAsiaTheme="majorEastAsia" w:cstheme="majorBidi"/>
      <w:color w:val="272727" w:themeColor="text1" w:themeTint="D8"/>
    </w:rPr>
  </w:style>
  <w:style w:type="paragraph" w:styleId="Title">
    <w:name w:val="Title"/>
    <w:basedOn w:val="Normal"/>
    <w:next w:val="Normal"/>
    <w:link w:val="TitleChar"/>
    <w:uiPriority w:val="10"/>
    <w:qFormat/>
    <w:rsid w:val="00513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A22"/>
    <w:pPr>
      <w:spacing w:before="160"/>
      <w:jc w:val="center"/>
    </w:pPr>
    <w:rPr>
      <w:i/>
      <w:iCs/>
      <w:color w:val="404040" w:themeColor="text1" w:themeTint="BF"/>
    </w:rPr>
  </w:style>
  <w:style w:type="character" w:customStyle="1" w:styleId="QuoteChar">
    <w:name w:val="Quote Char"/>
    <w:basedOn w:val="DefaultParagraphFont"/>
    <w:link w:val="Quote"/>
    <w:uiPriority w:val="29"/>
    <w:rsid w:val="00513A22"/>
    <w:rPr>
      <w:i/>
      <w:iCs/>
      <w:color w:val="404040" w:themeColor="text1" w:themeTint="BF"/>
    </w:rPr>
  </w:style>
  <w:style w:type="paragraph" w:styleId="ListParagraph">
    <w:name w:val="List Paragraph"/>
    <w:basedOn w:val="Normal"/>
    <w:uiPriority w:val="34"/>
    <w:qFormat/>
    <w:rsid w:val="00513A22"/>
    <w:pPr>
      <w:ind w:left="720"/>
      <w:contextualSpacing/>
    </w:pPr>
  </w:style>
  <w:style w:type="character" w:styleId="IntenseEmphasis">
    <w:name w:val="Intense Emphasis"/>
    <w:basedOn w:val="DefaultParagraphFont"/>
    <w:uiPriority w:val="21"/>
    <w:qFormat/>
    <w:rsid w:val="00513A22"/>
    <w:rPr>
      <w:i/>
      <w:iCs/>
      <w:color w:val="0F4761" w:themeColor="accent1" w:themeShade="BF"/>
    </w:rPr>
  </w:style>
  <w:style w:type="paragraph" w:styleId="IntenseQuote">
    <w:name w:val="Intense Quote"/>
    <w:basedOn w:val="Normal"/>
    <w:next w:val="Normal"/>
    <w:link w:val="IntenseQuoteChar"/>
    <w:uiPriority w:val="30"/>
    <w:qFormat/>
    <w:rsid w:val="00513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A22"/>
    <w:rPr>
      <w:i/>
      <w:iCs/>
      <w:color w:val="0F4761" w:themeColor="accent1" w:themeShade="BF"/>
    </w:rPr>
  </w:style>
  <w:style w:type="character" w:styleId="IntenseReference">
    <w:name w:val="Intense Reference"/>
    <w:basedOn w:val="DefaultParagraphFont"/>
    <w:uiPriority w:val="32"/>
    <w:qFormat/>
    <w:rsid w:val="00513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478</Words>
  <Characters>2664</Characters>
  <Application>Microsoft Office Word</Application>
  <DocSecurity>0</DocSecurity>
  <Lines>40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QC, Mr [27902277@sun.ac.za]</dc:creator>
  <cp:keywords/>
  <dc:description/>
  <cp:lastModifiedBy>Barnard, QC, Mr [27902277@sun.ac.za]</cp:lastModifiedBy>
  <cp:revision>2</cp:revision>
  <dcterms:created xsi:type="dcterms:W3CDTF">2026-03-01T15:19:00Z</dcterms:created>
  <dcterms:modified xsi:type="dcterms:W3CDTF">2026-03-01T16:21:00Z</dcterms:modified>
</cp:coreProperties>
</file>