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rgi463jkkzy2" w:id="0"/>
      <w:bookmarkEnd w:id="0"/>
      <w:r w:rsidDel="00000000" w:rsidR="00000000" w:rsidRPr="00000000">
        <w:rPr>
          <w:sz w:val="46"/>
          <w:szCs w:val="46"/>
          <w:rtl w:val="0"/>
        </w:rPr>
        <w:t xml:space="preserve">Royal Executive Suite (Heading)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Where Leadership Meets Intelligent Luxury (Sub-heading)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Crafted for executives, visionaries, and refined travelers, Royal Executive Suite combines expansive living, advanced automation, and elevated design for a stay defined by focus, comfort, and prestige. (Description)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26"/>
          <w:szCs w:val="26"/>
        </w:rPr>
      </w:pPr>
      <w:bookmarkStart w:colFirst="0" w:colLast="0" w:name="_w5atgro4k2ov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Key Features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(Perfect for feature bullets)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ajhqcjlpvqzd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Executive Intelligence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Voice-controlled room assistant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Programmable mood lighting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Motorized blackout curtains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Digital privacy glass controls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Wireless multi-device charging dock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Smart entertainment wall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onsg3uuoy28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Space &amp; Productivity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Spacious king-size premium bed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Dedicated executive workspace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Separate private lounge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Floor-to-ceiling skyline windows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Premium in-room minibar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pmarejb8nlxh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Signature Design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Charcoal stone walls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Walnut wood paneling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Brushed gold accents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Black marble furnishings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Signature Emperor door branding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