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014535672"/>
        <w:docPartObj>
          <w:docPartGallery w:val="Cover Pages"/>
          <w:docPartUnique/>
        </w:docPartObj>
      </w:sdtPr>
      <w:sdtEndPr/>
      <w:sdtContent>
        <w:p w14:paraId="4A87BDA1" w14:textId="0BA55BEB" w:rsidR="00FA4FDC" w:rsidRDefault="00FA4FDC">
          <w:r>
            <w:rPr>
              <w:noProof/>
            </w:rPr>
            <mc:AlternateContent>
              <mc:Choice Requires="wpg">
                <w:drawing>
                  <wp:anchor distT="0" distB="0" distL="114300" distR="114300" simplePos="0" relativeHeight="251659264" behindDoc="1" locked="0" layoutInCell="1" allowOverlap="1" wp14:anchorId="5482AE0B" wp14:editId="345BACB2">
                    <wp:simplePos x="0" y="0"/>
                    <wp:positionH relativeFrom="page">
                      <wp:align>center</wp:align>
                    </wp:positionH>
                    <wp:positionV relativeFrom="page">
                      <wp:align>center</wp:align>
                    </wp:positionV>
                    <wp:extent cx="6858000" cy="9144000"/>
                    <wp:effectExtent l="0" t="0" r="2540" b="635"/>
                    <wp:wrapNone/>
                    <wp:docPr id="48" name="Group 48"/>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g:grpSp>
                            <wpg:cNvPr id="49" name="Group 49"/>
                            <wpg:cNvGrpSpPr/>
                            <wpg:grpSpPr>
                              <a:xfrm>
                                <a:off x="0" y="0"/>
                                <a:ext cx="6858000" cy="9144000"/>
                                <a:chOff x="0" y="0"/>
                                <a:chExt cx="6858000" cy="9144000"/>
                              </a:xfrm>
                            </wpg:grpSpPr>
                            <wps:wsp>
                              <wps:cNvPr id="54" name="Rectangle 54"/>
                              <wps:cNvSpPr/>
                              <wps:spPr>
                                <a:xfrm>
                                  <a:off x="0" y="0"/>
                                  <a:ext cx="6858000" cy="9144000"/>
                                </a:xfrm>
                                <a:prstGeom prst="rect">
                                  <a:avLst/>
                                </a:prstGeom>
                                <a:gradFill>
                                  <a:gsLst>
                                    <a:gs pos="10000">
                                      <a:schemeClr val="dk2">
                                        <a:tint val="97000"/>
                                        <a:hueMod val="92000"/>
                                        <a:satMod val="169000"/>
                                        <a:lumMod val="164000"/>
                                      </a:schemeClr>
                                    </a:gs>
                                    <a:gs pos="100000">
                                      <a:schemeClr val="dk2">
                                        <a:shade val="96000"/>
                                        <a:satMod val="120000"/>
                                        <a:lumMod val="90000"/>
                                      </a:schemeClr>
                                    </a:gs>
                                  </a:gsLst>
                                  <a:lin ang="6120000" scaled="1"/>
                                </a:gradFill>
                                <a:ln>
                                  <a:noFill/>
                                </a:ln>
                              </wps:spPr>
                              <wps:style>
                                <a:lnRef idx="2">
                                  <a:schemeClr val="accent1">
                                    <a:shade val="50000"/>
                                  </a:schemeClr>
                                </a:lnRef>
                                <a:fillRef idx="1002">
                                  <a:schemeClr val="dk2"/>
                                </a:fillRef>
                                <a:effectRef idx="0">
                                  <a:schemeClr val="accent1"/>
                                </a:effectRef>
                                <a:fontRef idx="minor">
                                  <a:schemeClr val="lt1"/>
                                </a:fontRef>
                              </wps:style>
                              <wps:txbx>
                                <w:txbxContent>
                                  <w:p w14:paraId="1EBB9665" w14:textId="77777777" w:rsidR="00FA4FDC" w:rsidRDefault="00FA4FDC">
                                    <w:pPr>
                                      <w:pStyle w:val="NoSpacing"/>
                                      <w:rPr>
                                        <w:color w:val="FFFFFF" w:themeColor="background1"/>
                                        <w:sz w:val="48"/>
                                        <w:szCs w:val="48"/>
                                      </w:rPr>
                                    </w:pPr>
                                  </w:p>
                                </w:txbxContent>
                              </wps:txbx>
                              <wps:bodyPr rot="0" spcFirstLastPara="0" vertOverflow="overflow" horzOverflow="overflow" vert="horz" wrap="square" lIns="685800" tIns="685800" rIns="914400" bIns="4572000" numCol="1" spcCol="0" rtlCol="0" fromWordArt="0" anchor="t" anchorCtr="0" forceAA="0" compatLnSpc="1">
                                <a:prstTxWarp prst="textNoShape">
                                  <a:avLst/>
                                </a:prstTxWarp>
                                <a:noAutofit/>
                              </wps:bodyPr>
                            </wps:wsp>
                            <wpg:grpSp>
                              <wpg:cNvPr id="55" name="Group 2"/>
                              <wpg:cNvGrpSpPr/>
                              <wpg:grpSpPr>
                                <a:xfrm>
                                  <a:off x="2524125" y="0"/>
                                  <a:ext cx="4329113" cy="4491038"/>
                                  <a:chOff x="0" y="0"/>
                                  <a:chExt cx="4329113" cy="4491038"/>
                                </a:xfrm>
                                <a:solidFill>
                                  <a:schemeClr val="bg1"/>
                                </a:solidFill>
                              </wpg:grpSpPr>
                              <wps:wsp>
                                <wps:cNvPr id="56" name="Freeform 56"/>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7" name="Freeform 57"/>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8" name="Freeform 58"/>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9" name="Freeform 59"/>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0" name="Freeform 60"/>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grpSp>
                          <wps:wsp>
                            <wps:cNvPr id="61" name="Text Box 61"/>
                            <wps:cNvSpPr txBox="1"/>
                            <wps:spPr>
                              <a:xfrm>
                                <a:off x="9518" y="4838700"/>
                                <a:ext cx="6843395" cy="37897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FFFFFF" w:themeColor="background1"/>
                                      <w:sz w:val="64"/>
                                      <w:szCs w:val="64"/>
                                    </w:rPr>
                                    <w:alias w:val="Title"/>
                                    <w:tag w:val=""/>
                                    <w:id w:val="1841046763"/>
                                    <w:dataBinding w:prefixMappings="xmlns:ns0='http://purl.org/dc/elements/1.1/' xmlns:ns1='http://schemas.openxmlformats.org/package/2006/metadata/core-properties' " w:xpath="/ns1:coreProperties[1]/ns0:title[1]" w:storeItemID="{6C3C8BC8-F283-45AE-878A-BAB7291924A1}"/>
                                    <w:text/>
                                  </w:sdtPr>
                                  <w:sdtEndPr/>
                                  <w:sdtContent>
                                    <w:p w14:paraId="21EBE569" w14:textId="24C995B5" w:rsidR="00FA4FDC" w:rsidRDefault="00FA4FDC">
                                      <w:pPr>
                                        <w:pStyle w:val="NoSpacing"/>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 xml:space="preserve">Modelling BAE Systems Stock Prices based on </w:t>
                                      </w:r>
                                      <w:r w:rsidR="009977BD">
                                        <w:rPr>
                                          <w:rFonts w:asciiTheme="majorHAnsi" w:eastAsiaTheme="majorEastAsia" w:hAnsiTheme="majorHAnsi" w:cstheme="majorBidi"/>
                                          <w:caps/>
                                          <w:color w:val="FFFFFF" w:themeColor="background1"/>
                                          <w:sz w:val="64"/>
                                          <w:szCs w:val="64"/>
                                        </w:rPr>
                                        <w:t xml:space="preserve">Data from </w:t>
                                      </w:r>
                                      <w:r>
                                        <w:rPr>
                                          <w:rFonts w:asciiTheme="majorHAnsi" w:eastAsiaTheme="majorEastAsia" w:hAnsiTheme="majorHAnsi" w:cstheme="majorBidi"/>
                                          <w:caps/>
                                          <w:color w:val="FFFFFF" w:themeColor="background1"/>
                                          <w:sz w:val="64"/>
                                          <w:szCs w:val="64"/>
                                        </w:rPr>
                                        <w:t>the London Stock Exchange</w:t>
                                      </w:r>
                                    </w:p>
                                  </w:sdtContent>
                                </w:sdt>
                                <w:sdt>
                                  <w:sdtPr>
                                    <w:rPr>
                                      <w:color w:val="4472C4" w:themeColor="accent1"/>
                                      <w:sz w:val="36"/>
                                      <w:szCs w:val="36"/>
                                    </w:rPr>
                                    <w:alias w:val="Subtitle"/>
                                    <w:tag w:val=""/>
                                    <w:id w:val="-1686441493"/>
                                    <w:dataBinding w:prefixMappings="xmlns:ns0='http://purl.org/dc/elements/1.1/' xmlns:ns1='http://schemas.openxmlformats.org/package/2006/metadata/core-properties' " w:xpath="/ns1:coreProperties[1]/ns0:subject[1]" w:storeItemID="{6C3C8BC8-F283-45AE-878A-BAB7291924A1}"/>
                                    <w:text/>
                                  </w:sdtPr>
                                  <w:sdtEndPr/>
                                  <w:sdtContent>
                                    <w:p w14:paraId="71CCC0FD" w14:textId="60E2AD36" w:rsidR="00FA4FDC" w:rsidRDefault="00FA4FDC">
                                      <w:pPr>
                                        <w:pStyle w:val="NoSpacing"/>
                                        <w:spacing w:before="120"/>
                                        <w:rPr>
                                          <w:color w:val="4472C4" w:themeColor="accent1"/>
                                          <w:sz w:val="36"/>
                                          <w:szCs w:val="36"/>
                                        </w:rPr>
                                      </w:pPr>
                                      <w:r w:rsidRPr="00FA4FDC">
                                        <w:rPr>
                                          <w:color w:val="4472C4" w:themeColor="accent1"/>
                                          <w:sz w:val="36"/>
                                          <w:szCs w:val="36"/>
                                        </w:rPr>
                                        <w:t>MM9</w:t>
                                      </w:r>
                                      <w:r w:rsidR="009977BD">
                                        <w:rPr>
                                          <w:color w:val="4472C4" w:themeColor="accent1"/>
                                          <w:sz w:val="36"/>
                                          <w:szCs w:val="36"/>
                                        </w:rPr>
                                        <w:t>16</w:t>
                                      </w:r>
                                      <w:r w:rsidRPr="00FA4FDC">
                                        <w:rPr>
                                          <w:color w:val="4472C4" w:themeColor="accent1"/>
                                          <w:sz w:val="36"/>
                                          <w:szCs w:val="36"/>
                                        </w:rPr>
                                        <w:t xml:space="preserve"> Regression Modelling Project</w:t>
                                      </w:r>
                                    </w:p>
                                  </w:sdtContent>
                                </w:sdt>
                              </w:txbxContent>
                            </wps:txbx>
                            <wps:bodyPr rot="0" spcFirstLastPara="0" vertOverflow="overflow" horzOverflow="overflow" vert="horz" wrap="square" lIns="6858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5482AE0B" id="Group 48" o:spid="_x0000_s1026" style="position:absolute;margin-left:0;margin-top:0;width:540pt;height:10in;z-index:-251657216;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">
                    <v:group id="Group 49" o:spid="_x0000_s1027" style="position:absolute;width:68580;height:91440" coordsize="68580,9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rect id="Rectangle 54" o:spid="_x0000_s1028" style="position:absolute;width:68580;height:91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" fillcolor="#485870 [3122]" stroked="f" strokeweight="1pt">
                        <v:fill color2="#3d4b5f [2882]" angle="348" colors="0 #88acbb;6554f #88acbb" focus="100%" type="gradient"/>
                        <v:textbox inset="54pt,54pt,1in,5in">
                          <w:txbxContent>
                            <w:p w14:paraId="1EBB9665" w14:textId="77777777" w:rsidR="00FA4FDC" w:rsidRDefault="00FA4FDC">
                              <w:pPr>
                                <w:pStyle w:val="NoSpacing"/>
                                <w:rPr>
                                  <w:color w:val="FFFFFF" w:themeColor="background1"/>
                                  <w:sz w:val="48"/>
                                  <w:szCs w:val="48"/>
                                </w:rPr>
                              </w:pPr>
                            </w:p>
                          </w:txbxContent>
                        </v:textbox>
                      </v:rect>
                      <v:group id="Group 2" o:spid="_x0000_s1029" style="position:absolute;left:25241;width:43291;height:44910" coordsize="43291,44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shape id="Freeform 56" o:spid="_x0000_s1030"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" path="m4,1786l,1782,1776,r5,5l4,1786xe" filled="f" stroked="f">
                          <v:path arrowok="t" o:connecttype="custom" o:connectlocs="6350,2835275;0,2828925;2819400,0;2827338,7938;6350,2835275" o:connectangles="0,0,0,0,0"/>
                        </v:shape>
                        <v:shape id="Freeform 57" o:spid="_x0000_s1031"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" path="m5,2234l,2229,2229,r5,5l5,2234xe" filled="f" stroked="f">
                          <v:path arrowok="t" o:connecttype="custom" o:connectlocs="7938,3546475;0,3538538;3538538,0;3546475,7938;7938,3546475" o:connectangles="0,0,0,0,0"/>
                        </v:shape>
                        <v:shape id="Freeform 58" o:spid="_x0000_s1032"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" path="m9,2197l,2193,2188,r9,10l9,2197xe" filled="f" stroked="f">
                          <v:path arrowok="t" o:connecttype="custom" o:connectlocs="14288,3487738;0,3481388;3473450,0;3487738,15875;14288,3487738" o:connectangles="0,0,0,0,0"/>
                        </v:shape>
                        <v:shape id="Freeform 59" o:spid="_x0000_s1033"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0" o:spid="_x0000_s1034"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" path="m,2732r,-4l2722,r5,5l,2732xe" filled="f" stroked="f">
                          <v:path arrowok="t" o:connecttype="custom" o:connectlocs="0,4337050;0,4330700;4321175,0;4329113,7938;0,4337050" o:connectangles="0,0,0,0,0"/>
                        </v:shape>
                      </v:group>
                    </v:group>
                    <v:shapetype id="_x0000_t202" coordsize="21600,21600" o:spt="202" path="m,l,21600r21600,l21600,xe">
                      <v:stroke joinstyle="miter"/>
                      <v:path gradientshapeok="t" o:connecttype="rect"/>
                    </v:shapetype>
                    <v:shape id="Text Box 61" o:spid="_x0000_s1035" type="#_x0000_t202" style="position:absolute;left:95;top:48387;width:68434;height:3789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" filled="f" stroked="f" strokeweight=".5pt">
                      <v:textbox inset="54pt,0,1in,0">
                        <w:txbxContent>
                          <w:sdt>
                            <w:sdtPr>
                              <w:rPr>
                                <w:rFonts w:asciiTheme="majorHAnsi" w:eastAsiaTheme="majorEastAsia" w:hAnsiTheme="majorHAnsi" w:cstheme="majorBidi"/>
                                <w:caps/>
                                <w:color w:val="FFFFFF" w:themeColor="background1"/>
                                <w:sz w:val="64"/>
                                <w:szCs w:val="64"/>
                              </w:rPr>
                              <w:alias w:val="Title"/>
                              <w:tag w:val=""/>
                              <w:id w:val="1841046763"/>
                              <w:dataBinding w:prefixMappings="xmlns:ns0='http://purl.org/dc/elements/1.1/' xmlns:ns1='http://schemas.openxmlformats.org/package/2006/metadata/core-properties' " w:xpath="/ns1:coreProperties[1]/ns0:title[1]" w:storeItemID="{6C3C8BC8-F283-45AE-878A-BAB7291924A1}"/>
                              <w:text/>
                            </w:sdtPr>
                            <w:sdtEndPr/>
                            <w:sdtContent>
                              <w:p w14:paraId="21EBE569" w14:textId="24C995B5" w:rsidR="00FA4FDC" w:rsidRDefault="00FA4FDC">
                                <w:pPr>
                                  <w:pStyle w:val="NoSpacing"/>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 xml:space="preserve">Modelling BAE Systems Stock Prices based on </w:t>
                                </w:r>
                                <w:r w:rsidR="009977BD">
                                  <w:rPr>
                                    <w:rFonts w:asciiTheme="majorHAnsi" w:eastAsiaTheme="majorEastAsia" w:hAnsiTheme="majorHAnsi" w:cstheme="majorBidi"/>
                                    <w:caps/>
                                    <w:color w:val="FFFFFF" w:themeColor="background1"/>
                                    <w:sz w:val="64"/>
                                    <w:szCs w:val="64"/>
                                  </w:rPr>
                                  <w:t xml:space="preserve">Data from </w:t>
                                </w:r>
                                <w:r>
                                  <w:rPr>
                                    <w:rFonts w:asciiTheme="majorHAnsi" w:eastAsiaTheme="majorEastAsia" w:hAnsiTheme="majorHAnsi" w:cstheme="majorBidi"/>
                                    <w:caps/>
                                    <w:color w:val="FFFFFF" w:themeColor="background1"/>
                                    <w:sz w:val="64"/>
                                    <w:szCs w:val="64"/>
                                  </w:rPr>
                                  <w:t>the London Stock Exchange</w:t>
                                </w:r>
                              </w:p>
                            </w:sdtContent>
                          </w:sdt>
                          <w:sdt>
                            <w:sdtPr>
                              <w:rPr>
                                <w:color w:val="4472C4" w:themeColor="accent1"/>
                                <w:sz w:val="36"/>
                                <w:szCs w:val="36"/>
                              </w:rPr>
                              <w:alias w:val="Subtitle"/>
                              <w:tag w:val=""/>
                              <w:id w:val="-1686441493"/>
                              <w:dataBinding w:prefixMappings="xmlns:ns0='http://purl.org/dc/elements/1.1/' xmlns:ns1='http://schemas.openxmlformats.org/package/2006/metadata/core-properties' " w:xpath="/ns1:coreProperties[1]/ns0:subject[1]" w:storeItemID="{6C3C8BC8-F283-45AE-878A-BAB7291924A1}"/>
                              <w:text/>
                            </w:sdtPr>
                            <w:sdtEndPr/>
                            <w:sdtContent>
                              <w:p w14:paraId="71CCC0FD" w14:textId="60E2AD36" w:rsidR="00FA4FDC" w:rsidRDefault="00FA4FDC">
                                <w:pPr>
                                  <w:pStyle w:val="NoSpacing"/>
                                  <w:spacing w:before="120"/>
                                  <w:rPr>
                                    <w:color w:val="4472C4" w:themeColor="accent1"/>
                                    <w:sz w:val="36"/>
                                    <w:szCs w:val="36"/>
                                  </w:rPr>
                                </w:pPr>
                                <w:r w:rsidRPr="00FA4FDC">
                                  <w:rPr>
                                    <w:color w:val="4472C4" w:themeColor="accent1"/>
                                    <w:sz w:val="36"/>
                                    <w:szCs w:val="36"/>
                                  </w:rPr>
                                  <w:t>MM9</w:t>
                                </w:r>
                                <w:r w:rsidR="009977BD">
                                  <w:rPr>
                                    <w:color w:val="4472C4" w:themeColor="accent1"/>
                                    <w:sz w:val="36"/>
                                    <w:szCs w:val="36"/>
                                  </w:rPr>
                                  <w:t>16</w:t>
                                </w:r>
                                <w:r w:rsidRPr="00FA4FDC">
                                  <w:rPr>
                                    <w:color w:val="4472C4" w:themeColor="accent1"/>
                                    <w:sz w:val="36"/>
                                    <w:szCs w:val="36"/>
                                  </w:rPr>
                                  <w:t xml:space="preserve"> Regression Modelling Project</w:t>
                                </w:r>
                              </w:p>
                            </w:sdtContent>
                          </w:sdt>
                        </w:txbxContent>
                      </v:textbox>
                    </v:shape>
                    <w10:wrap anchorx="page" anchory="page"/>
                  </v:group>
                </w:pict>
              </mc:Fallback>
            </mc:AlternateContent>
          </w:r>
        </w:p>
        <w:p w14:paraId="698D8782" w14:textId="3BFCF431" w:rsidR="00FA4FDC" w:rsidRDefault="00FA4FDC">
          <w:r>
            <w:br w:type="page"/>
          </w:r>
        </w:p>
      </w:sdtContent>
    </w:sdt>
    <w:p w14:paraId="3F8A9CFC" w14:textId="654FC865" w:rsidR="00717CE0" w:rsidRDefault="00FA4FDC" w:rsidP="00FA4FDC">
      <w:pPr>
        <w:pStyle w:val="Heading1"/>
      </w:pPr>
      <w:r>
        <w:lastRenderedPageBreak/>
        <w:t>Introduction</w:t>
      </w:r>
    </w:p>
    <w:p w14:paraId="36BEFE4D" w14:textId="7C440252" w:rsidR="00FA4FDC" w:rsidRPr="00FA4FDC" w:rsidRDefault="00FA4FDC" w:rsidP="00FA4FDC">
      <w:r>
        <w:t xml:space="preserve">The goal of this project was to predict the closing share prices of BAE Systems based off of the closing prices of 29 other companies included in the Financial Times Stock Exchange 100 Index, including </w:t>
      </w:r>
      <w:r w:rsidRPr="00FA4FDC">
        <w:t>St James's Place plc</w:t>
      </w:r>
      <w:r>
        <w:t xml:space="preserve">, Vodafone and EasyJet. </w:t>
      </w:r>
      <w:r w:rsidR="00C00CA5">
        <w:t>The dataset consists of data taken daily from January 2016 up until January 2019, with the companies other than BAE Systems having been standardised with mean 0 and variance 1 in order to prepare them for use in a regression model. As the closing price for BAE Systems is one day ahead of the other values, this allows for a regression model to be prepared that can predict closing share prices a day ahead of the final values for the other companies. In this report I will explain my reasoning behind selecting the variables used in my final models, as well as a brief discussion of how effective the model’s predictions are and how these could be improved.</w:t>
      </w:r>
    </w:p>
    <w:p w14:paraId="69A19D99" w14:textId="4FEF8882" w:rsidR="00FA4FDC" w:rsidRDefault="00EA6709" w:rsidP="00F72368">
      <w:pPr>
        <w:pStyle w:val="Heading1"/>
      </w:pPr>
      <w:r>
        <w:t>Constructing an Initial Model</w:t>
      </w:r>
    </w:p>
    <w:p w14:paraId="3354CE13" w14:textId="28CDDE78" w:rsidR="00BA6A11" w:rsidRPr="00BA6A11" w:rsidRDefault="00BA6A11" w:rsidP="00BA6A11">
      <w:pPr>
        <w:pStyle w:val="Heading2"/>
      </w:pPr>
      <w:r>
        <w:t>Selecting Variables</w:t>
      </w:r>
    </w:p>
    <w:p w14:paraId="5C4EC9F3" w14:textId="33BDE6A3" w:rsidR="00EA6709" w:rsidRDefault="00EA6709" w:rsidP="00EA6709">
      <w:r>
        <w:t xml:space="preserve">In order to construct a preliminary </w:t>
      </w:r>
      <w:r w:rsidR="00E15389">
        <w:t>model,</w:t>
      </w:r>
      <w:r>
        <w:t xml:space="preserve"> I began by </w:t>
      </w:r>
      <w:r w:rsidR="004919BA">
        <w:t>removing the two non-numerical models from the data (Date and Weekday) as these could not be easily fitted to a linear regression model</w:t>
      </w:r>
      <w:r w:rsidR="00E15389">
        <w:t xml:space="preserve"> (although I will discuss how they potentially could be later). I then </w:t>
      </w:r>
      <w:r w:rsidR="00457449">
        <w:t>took the Pearson’s correlation coeff</w:t>
      </w:r>
      <w:r w:rsidR="00DF4264">
        <w:t>icient for each variable when compared to BA and plotted these in the bar chart below:</w:t>
      </w:r>
    </w:p>
    <w:p w14:paraId="1745C373" w14:textId="62EEC36F" w:rsidR="00DF4264" w:rsidRDefault="00285EBF" w:rsidP="004F1422">
      <w:pPr>
        <w:jc w:val="center"/>
      </w:pPr>
      <w:r>
        <w:rPr>
          <w:noProof/>
        </w:rPr>
        <w:drawing>
          <wp:inline distT="0" distB="0" distL="0" distR="0" wp14:anchorId="52A8B6C1" wp14:editId="0FAFEA57">
            <wp:extent cx="2787991" cy="2232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87991" cy="2232000"/>
                    </a:xfrm>
                    <a:prstGeom prst="rect">
                      <a:avLst/>
                    </a:prstGeom>
                  </pic:spPr>
                </pic:pic>
              </a:graphicData>
            </a:graphic>
          </wp:inline>
        </w:drawing>
      </w:r>
      <w:r w:rsidR="004F1422">
        <w:rPr>
          <w:noProof/>
        </w:rPr>
        <w:drawing>
          <wp:inline distT="0" distB="0" distL="0" distR="0" wp14:anchorId="45AC8B21" wp14:editId="1F24D43C">
            <wp:extent cx="2787991" cy="2232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87991" cy="2232000"/>
                    </a:xfrm>
                    <a:prstGeom prst="rect">
                      <a:avLst/>
                    </a:prstGeom>
                  </pic:spPr>
                </pic:pic>
              </a:graphicData>
            </a:graphic>
          </wp:inline>
        </w:drawing>
      </w:r>
    </w:p>
    <w:p w14:paraId="7EA05F3B" w14:textId="5FD132D7" w:rsidR="00285EBF" w:rsidRDefault="00285EBF" w:rsidP="00EA6709">
      <w:r>
        <w:t xml:space="preserve">As this was difficult to compare, I then took a square of </w:t>
      </w:r>
      <w:r w:rsidR="006C29A6">
        <w:t>the R coefficient in order to obtain the R</w:t>
      </w:r>
      <w:r w:rsidR="006C29A6">
        <w:rPr>
          <w:vertAlign w:val="superscript"/>
        </w:rPr>
        <w:t>2</w:t>
      </w:r>
      <w:r w:rsidR="006C29A6">
        <w:t xml:space="preserve"> values which are much easily comparable.</w:t>
      </w:r>
      <w:r w:rsidR="004F1422">
        <w:t xml:space="preserve"> </w:t>
      </w:r>
      <w:r w:rsidR="00DC4B69">
        <w:t xml:space="preserve">To create a simple model that could be used as a comparison for more complex models that were later produced, I selected the 5 Companies with the strongest correlation with BA. These were in order: </w:t>
      </w:r>
    </w:p>
    <w:tbl>
      <w:tblPr>
        <w:tblStyle w:val="TableGrid"/>
        <w:tblW w:w="0" w:type="auto"/>
        <w:jc w:val="center"/>
        <w:tblLook w:val="04A0" w:firstRow="1" w:lastRow="0" w:firstColumn="1" w:lastColumn="0" w:noHBand="0" w:noVBand="1"/>
      </w:tblPr>
      <w:tblGrid>
        <w:gridCol w:w="1485"/>
        <w:gridCol w:w="2597"/>
        <w:gridCol w:w="1231"/>
        <w:gridCol w:w="1170"/>
      </w:tblGrid>
      <w:tr w:rsidR="00083EBC" w14:paraId="053F2D9E" w14:textId="77777777" w:rsidTr="00E312B6">
        <w:trPr>
          <w:jc w:val="center"/>
        </w:trPr>
        <w:tc>
          <w:tcPr>
            <w:tcW w:w="0" w:type="auto"/>
          </w:tcPr>
          <w:p w14:paraId="2EB23C37" w14:textId="144464E7" w:rsidR="00083EBC" w:rsidRDefault="00083EBC" w:rsidP="00083EBC">
            <w:pPr>
              <w:jc w:val="center"/>
            </w:pPr>
            <w:r>
              <w:t>Base_Variable</w:t>
            </w:r>
          </w:p>
        </w:tc>
        <w:tc>
          <w:tcPr>
            <w:tcW w:w="0" w:type="auto"/>
          </w:tcPr>
          <w:p w14:paraId="06BCCBC5" w14:textId="1EDFB462" w:rsidR="00083EBC" w:rsidRDefault="00083EBC" w:rsidP="00083EBC">
            <w:pPr>
              <w:jc w:val="center"/>
            </w:pPr>
            <w:r>
              <w:t>Comparison_Variable</w:t>
            </w:r>
          </w:p>
        </w:tc>
        <w:tc>
          <w:tcPr>
            <w:tcW w:w="0" w:type="auto"/>
          </w:tcPr>
          <w:p w14:paraId="13E20A7A" w14:textId="282F4451" w:rsidR="00083EBC" w:rsidRDefault="00083EBC" w:rsidP="00083EBC">
            <w:pPr>
              <w:jc w:val="center"/>
            </w:pPr>
            <w:r>
              <w:t>R</w:t>
            </w:r>
          </w:p>
        </w:tc>
        <w:tc>
          <w:tcPr>
            <w:tcW w:w="0" w:type="auto"/>
          </w:tcPr>
          <w:p w14:paraId="61B8AFDA" w14:textId="7972103F" w:rsidR="00083EBC" w:rsidRDefault="00083EBC" w:rsidP="00083EBC">
            <w:pPr>
              <w:jc w:val="center"/>
            </w:pPr>
            <w:r>
              <w:t>R_squared</w:t>
            </w:r>
          </w:p>
        </w:tc>
      </w:tr>
      <w:tr w:rsidR="00083EBC" w14:paraId="20951665" w14:textId="77777777" w:rsidTr="00E312B6">
        <w:trPr>
          <w:jc w:val="center"/>
        </w:trPr>
        <w:tc>
          <w:tcPr>
            <w:tcW w:w="0" w:type="auto"/>
          </w:tcPr>
          <w:p w14:paraId="63C5BDB2" w14:textId="54BC5A94" w:rsidR="00083EBC" w:rsidRDefault="00083EBC" w:rsidP="00083EBC">
            <w:r>
              <w:t>BA</w:t>
            </w:r>
          </w:p>
        </w:tc>
        <w:tc>
          <w:tcPr>
            <w:tcW w:w="0" w:type="auto"/>
          </w:tcPr>
          <w:p w14:paraId="340B3174" w14:textId="363AAEB4" w:rsidR="00083EBC" w:rsidRDefault="00DE7276" w:rsidP="00083EBC">
            <w:r>
              <w:t>STJ (</w:t>
            </w:r>
            <w:r w:rsidRPr="00DE7276">
              <w:t>St James's Place plc</w:t>
            </w:r>
            <w:r>
              <w:t>)</w:t>
            </w:r>
          </w:p>
        </w:tc>
        <w:tc>
          <w:tcPr>
            <w:tcW w:w="0" w:type="auto"/>
          </w:tcPr>
          <w:p w14:paraId="2C74F62D" w14:textId="23AEE7D7" w:rsidR="00083EBC" w:rsidRDefault="00083EBC" w:rsidP="00083EBC">
            <w:pPr>
              <w:jc w:val="center"/>
            </w:pPr>
            <w:r>
              <w:t>0.6870552</w:t>
            </w:r>
          </w:p>
        </w:tc>
        <w:tc>
          <w:tcPr>
            <w:tcW w:w="0" w:type="auto"/>
          </w:tcPr>
          <w:p w14:paraId="1E14D752" w14:textId="521D8BC6" w:rsidR="00083EBC" w:rsidRDefault="00083EBC" w:rsidP="00083EBC">
            <w:pPr>
              <w:jc w:val="center"/>
            </w:pPr>
            <w:r>
              <w:t>0.4720448</w:t>
            </w:r>
          </w:p>
        </w:tc>
      </w:tr>
      <w:tr w:rsidR="00083EBC" w14:paraId="17EE88F2" w14:textId="77777777" w:rsidTr="00E312B6">
        <w:trPr>
          <w:jc w:val="center"/>
        </w:trPr>
        <w:tc>
          <w:tcPr>
            <w:tcW w:w="0" w:type="auto"/>
          </w:tcPr>
          <w:p w14:paraId="3D99A876" w14:textId="68B1C4A8" w:rsidR="00083EBC" w:rsidRDefault="00083EBC" w:rsidP="00083EBC">
            <w:r>
              <w:t>BA</w:t>
            </w:r>
          </w:p>
        </w:tc>
        <w:tc>
          <w:tcPr>
            <w:tcW w:w="0" w:type="auto"/>
          </w:tcPr>
          <w:p w14:paraId="4AE08B76" w14:textId="6E5AB68B" w:rsidR="00083EBC" w:rsidRDefault="00DE7276" w:rsidP="00083EBC">
            <w:r>
              <w:t>CAN (</w:t>
            </w:r>
            <w:r w:rsidRPr="00DE7276">
              <w:t>Centrica plc</w:t>
            </w:r>
            <w:r>
              <w:t>)</w:t>
            </w:r>
          </w:p>
        </w:tc>
        <w:tc>
          <w:tcPr>
            <w:tcW w:w="0" w:type="auto"/>
          </w:tcPr>
          <w:p w14:paraId="23530A7B" w14:textId="23D6453B" w:rsidR="00083EBC" w:rsidRDefault="00083EBC" w:rsidP="00083EBC">
            <w:pPr>
              <w:jc w:val="center"/>
            </w:pPr>
            <w:r>
              <w:t>-0.6591334</w:t>
            </w:r>
          </w:p>
        </w:tc>
        <w:tc>
          <w:tcPr>
            <w:tcW w:w="0" w:type="auto"/>
          </w:tcPr>
          <w:p w14:paraId="43C5D7A4" w14:textId="33B0AF1C" w:rsidR="00083EBC" w:rsidRDefault="00083EBC" w:rsidP="00083EBC">
            <w:pPr>
              <w:jc w:val="center"/>
            </w:pPr>
            <w:r>
              <w:t>0.4344569</w:t>
            </w:r>
          </w:p>
        </w:tc>
      </w:tr>
      <w:tr w:rsidR="00083EBC" w14:paraId="3570D34C" w14:textId="77777777" w:rsidTr="00E312B6">
        <w:trPr>
          <w:jc w:val="center"/>
        </w:trPr>
        <w:tc>
          <w:tcPr>
            <w:tcW w:w="0" w:type="auto"/>
          </w:tcPr>
          <w:p w14:paraId="1288DD9C" w14:textId="4CD29008" w:rsidR="00083EBC" w:rsidRDefault="00083EBC" w:rsidP="00083EBC">
            <w:r>
              <w:t>BA</w:t>
            </w:r>
          </w:p>
        </w:tc>
        <w:tc>
          <w:tcPr>
            <w:tcW w:w="0" w:type="auto"/>
          </w:tcPr>
          <w:p w14:paraId="27AA7700" w14:textId="015B072E" w:rsidR="00083EBC" w:rsidRDefault="00083EBC" w:rsidP="00083EBC">
            <w:r>
              <w:t>EZJ</w:t>
            </w:r>
            <w:r w:rsidR="00DE7276">
              <w:t xml:space="preserve"> (</w:t>
            </w:r>
            <w:r w:rsidR="00DE7276" w:rsidRPr="00DE7276">
              <w:t>EasyJet plc</w:t>
            </w:r>
            <w:r w:rsidR="00DE7276">
              <w:t>)</w:t>
            </w:r>
          </w:p>
        </w:tc>
        <w:tc>
          <w:tcPr>
            <w:tcW w:w="0" w:type="auto"/>
          </w:tcPr>
          <w:p w14:paraId="51A3FFDC" w14:textId="13967480" w:rsidR="00083EBC" w:rsidRDefault="00083EBC" w:rsidP="00083EBC">
            <w:pPr>
              <w:jc w:val="center"/>
            </w:pPr>
            <w:r>
              <w:t>-0.6536152</w:t>
            </w:r>
          </w:p>
        </w:tc>
        <w:tc>
          <w:tcPr>
            <w:tcW w:w="0" w:type="auto"/>
          </w:tcPr>
          <w:p w14:paraId="1B9B71FE" w14:textId="7BC0E3E0" w:rsidR="00083EBC" w:rsidRDefault="00083EBC" w:rsidP="00083EBC">
            <w:pPr>
              <w:jc w:val="center"/>
            </w:pPr>
            <w:r>
              <w:t>0.4272129</w:t>
            </w:r>
          </w:p>
        </w:tc>
      </w:tr>
      <w:tr w:rsidR="00083EBC" w14:paraId="2DA35AB5" w14:textId="77777777" w:rsidTr="00E312B6">
        <w:trPr>
          <w:jc w:val="center"/>
        </w:trPr>
        <w:tc>
          <w:tcPr>
            <w:tcW w:w="0" w:type="auto"/>
          </w:tcPr>
          <w:p w14:paraId="6C355D10" w14:textId="1682E886" w:rsidR="00083EBC" w:rsidRDefault="00083EBC" w:rsidP="00083EBC">
            <w:r>
              <w:t>BA</w:t>
            </w:r>
          </w:p>
        </w:tc>
        <w:tc>
          <w:tcPr>
            <w:tcW w:w="0" w:type="auto"/>
          </w:tcPr>
          <w:p w14:paraId="564032C3" w14:textId="4F583445" w:rsidR="00083EBC" w:rsidRDefault="00083EBC" w:rsidP="00083EBC">
            <w:r>
              <w:t>RMV</w:t>
            </w:r>
            <w:r w:rsidR="00DE7276">
              <w:t xml:space="preserve"> (</w:t>
            </w:r>
            <w:r w:rsidR="00DE7276" w:rsidRPr="00DE7276">
              <w:t>Rightmove plc</w:t>
            </w:r>
            <w:r w:rsidR="00DE7276">
              <w:t>)</w:t>
            </w:r>
          </w:p>
        </w:tc>
        <w:tc>
          <w:tcPr>
            <w:tcW w:w="0" w:type="auto"/>
          </w:tcPr>
          <w:p w14:paraId="77E837BB" w14:textId="1778BA3B" w:rsidR="00083EBC" w:rsidRDefault="00083EBC" w:rsidP="00083EBC">
            <w:pPr>
              <w:jc w:val="center"/>
            </w:pPr>
            <w:r>
              <w:t>-0.6454839</w:t>
            </w:r>
          </w:p>
        </w:tc>
        <w:tc>
          <w:tcPr>
            <w:tcW w:w="0" w:type="auto"/>
          </w:tcPr>
          <w:p w14:paraId="22AEF96C" w14:textId="518643E6" w:rsidR="00083EBC" w:rsidRDefault="00083EBC" w:rsidP="00083EBC">
            <w:pPr>
              <w:jc w:val="center"/>
            </w:pPr>
            <w:r>
              <w:t>0.4166495</w:t>
            </w:r>
          </w:p>
        </w:tc>
      </w:tr>
      <w:tr w:rsidR="00083EBC" w14:paraId="64192E9E" w14:textId="77777777" w:rsidTr="00E312B6">
        <w:trPr>
          <w:jc w:val="center"/>
        </w:trPr>
        <w:tc>
          <w:tcPr>
            <w:tcW w:w="0" w:type="auto"/>
          </w:tcPr>
          <w:p w14:paraId="23F58E85" w14:textId="68B4EA11" w:rsidR="00083EBC" w:rsidRDefault="00083EBC" w:rsidP="00083EBC">
            <w:r>
              <w:t>BA</w:t>
            </w:r>
          </w:p>
        </w:tc>
        <w:tc>
          <w:tcPr>
            <w:tcW w:w="0" w:type="auto"/>
          </w:tcPr>
          <w:p w14:paraId="1E69394B" w14:textId="40A548A1" w:rsidR="00083EBC" w:rsidRDefault="00083EBC" w:rsidP="00083EBC">
            <w:r>
              <w:t>VOD</w:t>
            </w:r>
            <w:r w:rsidR="00DE7276">
              <w:t xml:space="preserve"> (</w:t>
            </w:r>
            <w:r w:rsidR="00DE7276" w:rsidRPr="00DE7276">
              <w:t>Vodafone Group plc</w:t>
            </w:r>
            <w:r w:rsidR="00DE7276">
              <w:t>)</w:t>
            </w:r>
          </w:p>
        </w:tc>
        <w:tc>
          <w:tcPr>
            <w:tcW w:w="0" w:type="auto"/>
          </w:tcPr>
          <w:p w14:paraId="45C7B5D5" w14:textId="7794B232" w:rsidR="00083EBC" w:rsidRDefault="00083EBC" w:rsidP="00083EBC">
            <w:pPr>
              <w:jc w:val="center"/>
            </w:pPr>
            <w:r>
              <w:t>-0.6440479</w:t>
            </w:r>
          </w:p>
        </w:tc>
        <w:tc>
          <w:tcPr>
            <w:tcW w:w="0" w:type="auto"/>
          </w:tcPr>
          <w:p w14:paraId="19978014" w14:textId="5AA060AB" w:rsidR="00083EBC" w:rsidRDefault="00083EBC" w:rsidP="00083EBC">
            <w:pPr>
              <w:jc w:val="center"/>
            </w:pPr>
            <w:r>
              <w:t>0.4147977</w:t>
            </w:r>
          </w:p>
        </w:tc>
      </w:tr>
    </w:tbl>
    <w:p w14:paraId="1F7154F6" w14:textId="3323A9CB" w:rsidR="006B462D" w:rsidRDefault="00BA6A11" w:rsidP="00BA6A11">
      <w:pPr>
        <w:pStyle w:val="Heading2"/>
      </w:pPr>
      <w:r>
        <w:t xml:space="preserve">Constructing </w:t>
      </w:r>
      <w:r w:rsidR="003638FC">
        <w:t xml:space="preserve">and Evaluating </w:t>
      </w:r>
      <w:r>
        <w:t>the Linear Regression</w:t>
      </w:r>
    </w:p>
    <w:p w14:paraId="1C10AD85" w14:textId="7D0FD72C" w:rsidR="002C0A37" w:rsidRDefault="00393DF7" w:rsidP="002C0A37">
      <w:r>
        <w:t xml:space="preserve">I then fitted the 5 variables to </w:t>
      </w:r>
      <w:r w:rsidR="00C95732">
        <w:t>a linear regression model using the below code:</w:t>
      </w:r>
    </w:p>
    <w:p w14:paraId="63BEB056" w14:textId="0B691B9E" w:rsidR="00C95732" w:rsidRPr="0088664F" w:rsidRDefault="0088664F" w:rsidP="0088664F">
      <w:pPr>
        <w:jc w:val="center"/>
        <w:rPr>
          <w:sz w:val="20"/>
          <w:szCs w:val="20"/>
        </w:rPr>
      </w:pPr>
      <w:r w:rsidRPr="0088664F">
        <w:rPr>
          <w:sz w:val="20"/>
          <w:szCs w:val="20"/>
        </w:rPr>
        <w:t>top5_mod &lt;- lm(BA~STJ+CNA+EZJ+RMV+VOD, data=top5)</w:t>
      </w:r>
    </w:p>
    <w:p w14:paraId="2C10494E" w14:textId="2009D940" w:rsidR="00E833AF" w:rsidRDefault="00562409" w:rsidP="00E833AF">
      <w:r>
        <w:t xml:space="preserve">This produced a </w:t>
      </w:r>
      <w:r w:rsidR="00B3067D">
        <w:t xml:space="preserve">model with the following </w:t>
      </w:r>
      <w:r w:rsidR="00CF3391">
        <w:t>coefficients</w:t>
      </w:r>
      <w:r w:rsidR="000618E9">
        <w:t xml:space="preserve"> and test statistics.</w:t>
      </w:r>
    </w:p>
    <w:p w14:paraId="6A089DEC" w14:textId="008870CA" w:rsidR="00CF3391" w:rsidRDefault="00CF3391" w:rsidP="00CF3391">
      <w:pPr>
        <w:jc w:val="center"/>
      </w:pPr>
      <w:r>
        <w:rPr>
          <w:noProof/>
        </w:rPr>
        <w:lastRenderedPageBreak/>
        <w:drawing>
          <wp:inline distT="0" distB="0" distL="0" distR="0" wp14:anchorId="7FBCA787" wp14:editId="7A1C56AC">
            <wp:extent cx="3092625" cy="1980000"/>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92625" cy="1980000"/>
                    </a:xfrm>
                    <a:prstGeom prst="rect">
                      <a:avLst/>
                    </a:prstGeom>
                  </pic:spPr>
                </pic:pic>
              </a:graphicData>
            </a:graphic>
          </wp:inline>
        </w:drawing>
      </w:r>
    </w:p>
    <w:p w14:paraId="2F280811" w14:textId="66C815C1" w:rsidR="000618E9" w:rsidRDefault="000618E9" w:rsidP="000618E9">
      <w:r>
        <w:t xml:space="preserve">Using the values contained within the </w:t>
      </w:r>
      <w:r w:rsidR="009915B9">
        <w:t>model summary it was then possible to produce an ANOVA table for the model</w:t>
      </w:r>
      <w:r w:rsidR="00A02253">
        <w:t>, which</w:t>
      </w:r>
      <w:r w:rsidR="00643A87">
        <w:t xml:space="preserve"> would then allow me to carry out an F-test to assess the goodness of fit of the model. The ANOVA table constructed </w:t>
      </w:r>
      <w:r w:rsidR="003959D5">
        <w:t>looked like so:</w:t>
      </w:r>
    </w:p>
    <w:p w14:paraId="24F786E0" w14:textId="4FEFCBC5" w:rsidR="003959D5" w:rsidRDefault="00231B55" w:rsidP="000618E9">
      <w:r>
        <w:rPr>
          <w:noProof/>
        </w:rPr>
        <w:drawing>
          <wp:inline distT="0" distB="0" distL="0" distR="0" wp14:anchorId="7E252314" wp14:editId="64ACB02E">
            <wp:extent cx="5731510" cy="584200"/>
            <wp:effectExtent l="0" t="0" r="254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584200"/>
                    </a:xfrm>
                    <a:prstGeom prst="rect">
                      <a:avLst/>
                    </a:prstGeom>
                  </pic:spPr>
                </pic:pic>
              </a:graphicData>
            </a:graphic>
          </wp:inline>
        </w:drawing>
      </w:r>
    </w:p>
    <w:p w14:paraId="484DAC8F" w14:textId="44BABE2F" w:rsidR="00F41A0F" w:rsidRDefault="00F41A0F" w:rsidP="00F41A0F">
      <w:pPr>
        <w:pStyle w:val="Heading3"/>
      </w:pPr>
      <w:r>
        <w:t>Gauging the Goodness of Fit</w:t>
      </w:r>
    </w:p>
    <w:p w14:paraId="259B15DB" w14:textId="4440B7F3" w:rsidR="00400947" w:rsidRDefault="00400947" w:rsidP="00400947">
      <w:r>
        <w:t>The observed F (389.518) is large in comparison to the critical value obtained from</w:t>
      </w:r>
      <w:r w:rsidR="00190F14">
        <w:t xml:space="preserve"> the F-test </w:t>
      </w:r>
      <w:r>
        <w:t xml:space="preserve">(2.223) and the p-value </w:t>
      </w:r>
      <w:r w:rsidR="00EF2011">
        <w:t xml:space="preserve">was </w:t>
      </w:r>
      <w:r w:rsidR="00190F14">
        <w:t>also</w:t>
      </w:r>
      <w:r w:rsidR="00EF2011">
        <w:t xml:space="preserve"> found to be</w:t>
      </w:r>
      <w:r w:rsidR="00190F14">
        <w:t xml:space="preserve"> extremely</w:t>
      </w:r>
      <w:r>
        <w:t xml:space="preserve"> small (6.804e-232) </w:t>
      </w:r>
      <w:r w:rsidR="00190F14">
        <w:t>which means we</w:t>
      </w:r>
      <w:r>
        <w:t xml:space="preserve"> can </w:t>
      </w:r>
      <w:r w:rsidR="00190F14">
        <w:t xml:space="preserve">confidently </w:t>
      </w:r>
      <w:r>
        <w:t xml:space="preserve">reject </w:t>
      </w:r>
      <w:r w:rsidR="00190F14">
        <w:t>the null hypothesis</w:t>
      </w:r>
      <w:r>
        <w:t xml:space="preserve">, which indicates that there is a </w:t>
      </w:r>
      <w:r w:rsidR="00190F14">
        <w:t xml:space="preserve">good fit between BA’s closing prices and the </w:t>
      </w:r>
      <w:r w:rsidR="00BE1C90">
        <w:t xml:space="preserve">other 5 companies closing prices, and that a </w:t>
      </w:r>
      <w:r>
        <w:t xml:space="preserve">linear </w:t>
      </w:r>
      <w:r w:rsidR="00BE1C90">
        <w:t>relationship exists</w:t>
      </w:r>
      <w:r>
        <w:t xml:space="preserve"> between BA's closing prices and at least one of STJ's, CNA's, EZJ's, RMV's and VOD's closing prices.</w:t>
      </w:r>
    </w:p>
    <w:p w14:paraId="01DDAD36" w14:textId="74844AF5" w:rsidR="001924B1" w:rsidRDefault="001924B1" w:rsidP="001924B1">
      <w:pPr>
        <w:pStyle w:val="Heading3"/>
      </w:pPr>
      <w:r>
        <w:t>Interpreting the Model Coefficients</w:t>
      </w:r>
    </w:p>
    <w:p w14:paraId="2CD7A3D2" w14:textId="7186A936" w:rsidR="00842814" w:rsidRDefault="00336EAD" w:rsidP="00400947">
      <w:r>
        <w:t>The completed model has the following equation:</w:t>
      </w:r>
    </w:p>
    <w:p w14:paraId="56911F58" w14:textId="55D503B8" w:rsidR="00336EAD" w:rsidRPr="00336EAD" w:rsidRDefault="00336EAD" w:rsidP="00336EAD">
      <w:pPr>
        <w:rPr>
          <w:rFonts w:ascii="Cambria Math" w:hAnsi="Cambria Math"/>
          <w:sz w:val="18"/>
          <w:szCs w:val="18"/>
          <w:oMath/>
        </w:rPr>
      </w:pPr>
      <m:oMathPara>
        <m:oMath>
          <m:r>
            <w:rPr>
              <w:rFonts w:ascii="Cambria Math" w:hAnsi="Cambria Math"/>
              <w:sz w:val="18"/>
              <w:szCs w:val="18"/>
            </w:rPr>
            <m:t xml:space="preserve">BA = </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0</m:t>
              </m:r>
            </m:sub>
          </m:sSub>
          <m:r>
            <w:rPr>
              <w:rFonts w:ascii="Cambria Math" w:hAnsi="Cambria Math"/>
              <w:sz w:val="18"/>
              <w:szCs w:val="18"/>
            </w:rPr>
            <m:t xml:space="preserve"> + </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1</m:t>
              </m:r>
            </m:sub>
          </m:sSub>
          <m:r>
            <w:rPr>
              <w:rFonts w:ascii="Cambria Math" w:hAnsi="Cambria Math"/>
              <w:sz w:val="18"/>
              <w:szCs w:val="18"/>
            </w:rPr>
            <m:t xml:space="preserve">(STJ) + </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2</m:t>
              </m:r>
            </m:sub>
          </m:sSub>
          <m:r>
            <w:rPr>
              <w:rFonts w:ascii="Cambria Math" w:hAnsi="Cambria Math"/>
              <w:sz w:val="18"/>
              <w:szCs w:val="18"/>
            </w:rPr>
            <m:t xml:space="preserve">(CNA) + </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3</m:t>
              </m:r>
            </m:sub>
          </m:sSub>
          <m:r>
            <w:rPr>
              <w:rFonts w:ascii="Cambria Math" w:hAnsi="Cambria Math"/>
              <w:sz w:val="18"/>
              <w:szCs w:val="18"/>
            </w:rPr>
            <m:t xml:space="preserve">(EZJ) + </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4</m:t>
              </m:r>
            </m:sub>
          </m:sSub>
          <m:r>
            <w:rPr>
              <w:rFonts w:ascii="Cambria Math" w:hAnsi="Cambria Math"/>
              <w:sz w:val="18"/>
              <w:szCs w:val="18"/>
            </w:rPr>
            <m:t xml:space="preserve">(RMV) + </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5</m:t>
              </m:r>
            </m:sub>
          </m:sSub>
          <m:r>
            <w:rPr>
              <w:rFonts w:ascii="Cambria Math" w:hAnsi="Cambria Math"/>
              <w:sz w:val="18"/>
              <w:szCs w:val="18"/>
            </w:rPr>
            <m:t>(VOD) + errors</m:t>
          </m:r>
        </m:oMath>
      </m:oMathPara>
    </w:p>
    <w:p w14:paraId="561677CC" w14:textId="67FC9118" w:rsidR="00336EAD" w:rsidRPr="00336EAD" w:rsidRDefault="00336EAD" w:rsidP="00336EAD">
      <w:pPr>
        <w:rPr>
          <w:rFonts w:eastAsiaTheme="minorEastAsia"/>
          <w:sz w:val="18"/>
          <w:szCs w:val="18"/>
        </w:rPr>
      </w:pPr>
      <m:oMathPara>
        <m:oMath>
          <m:r>
            <w:rPr>
              <w:rFonts w:ascii="Cambria Math" w:hAnsi="Cambria Math"/>
              <w:sz w:val="18"/>
              <w:szCs w:val="18"/>
            </w:rPr>
            <m:t>BA = 562.877 + 52.718(STJ) + 8.021(CNA) - 16.019(EZJ) - 5.81(RMV) - 20.039(VOD) + errors</m:t>
          </m:r>
        </m:oMath>
      </m:oMathPara>
    </w:p>
    <w:p w14:paraId="2BCDBD35" w14:textId="23B7EA07" w:rsidR="000D5166" w:rsidRDefault="008067E0" w:rsidP="000D5166">
      <w:pPr>
        <w:rPr>
          <w:rFonts w:eastAsiaTheme="minorEastAsia"/>
        </w:rPr>
      </w:pPr>
      <w:r w:rsidRPr="008067E0">
        <w:rPr>
          <w:rFonts w:eastAsiaTheme="minorEastAsia"/>
        </w:rPr>
        <w:t>In order</w:t>
      </w:r>
      <w:r>
        <w:rPr>
          <w:rFonts w:eastAsiaTheme="minorEastAsia"/>
        </w:rPr>
        <w:t xml:space="preserve"> to gauge how</w:t>
      </w:r>
      <w:r w:rsidR="00BF163A">
        <w:rPr>
          <w:rFonts w:eastAsiaTheme="minorEastAsia"/>
        </w:rPr>
        <w:t xml:space="preserve"> well</w:t>
      </w:r>
      <w:r>
        <w:rPr>
          <w:rFonts w:eastAsiaTheme="minorEastAsia"/>
        </w:rPr>
        <w:t xml:space="preserve"> these coefficients stacked </w:t>
      </w:r>
      <w:r w:rsidR="00BF163A">
        <w:rPr>
          <w:rFonts w:eastAsiaTheme="minorEastAsia"/>
        </w:rPr>
        <w:t xml:space="preserve">up and how good they would be at </w:t>
      </w:r>
      <w:r w:rsidR="005B2352">
        <w:rPr>
          <w:rFonts w:eastAsiaTheme="minorEastAsia"/>
        </w:rPr>
        <w:t xml:space="preserve">modelling the liner relationship, I </w:t>
      </w:r>
      <w:r w:rsidR="000D5166">
        <w:rPr>
          <w:rFonts w:eastAsiaTheme="minorEastAsia"/>
        </w:rPr>
        <w:t>carried</w:t>
      </w:r>
      <w:r w:rsidR="000D5166" w:rsidRPr="000D5166">
        <w:rPr>
          <w:rFonts w:eastAsiaTheme="minorEastAsia"/>
        </w:rPr>
        <w:t xml:space="preserve"> out a confidence interval check for the value of BA closing prices based on values from the first column of the top5 table to see if </w:t>
      </w:r>
      <w:r w:rsidR="000D5166">
        <w:rPr>
          <w:rFonts w:eastAsiaTheme="minorEastAsia"/>
        </w:rPr>
        <w:t xml:space="preserve">the </w:t>
      </w:r>
      <w:r w:rsidR="005B2B96">
        <w:rPr>
          <w:rFonts w:eastAsiaTheme="minorEastAsia"/>
        </w:rPr>
        <w:t>value predicted would</w:t>
      </w:r>
      <w:r w:rsidR="000D5166" w:rsidRPr="000D5166">
        <w:rPr>
          <w:rFonts w:eastAsiaTheme="minorEastAsia"/>
        </w:rPr>
        <w:t xml:space="preserve"> pass the sanity check</w:t>
      </w:r>
      <w:r w:rsidR="005B2B96">
        <w:rPr>
          <w:rFonts w:eastAsiaTheme="minorEastAsia"/>
        </w:rPr>
        <w:t xml:space="preserve">. </w:t>
      </w:r>
    </w:p>
    <w:p w14:paraId="6199D01A" w14:textId="37A79504" w:rsidR="005B2B96" w:rsidRDefault="005B2B96" w:rsidP="000D5166">
      <w:pPr>
        <w:rPr>
          <w:rFonts w:eastAsiaTheme="minorEastAsia"/>
        </w:rPr>
      </w:pPr>
      <w:r>
        <w:rPr>
          <w:rFonts w:eastAsiaTheme="minorEastAsia"/>
        </w:rPr>
        <w:t xml:space="preserve">The confidence interval tells us on average what closing price BA </w:t>
      </w:r>
      <w:r w:rsidR="0093358B">
        <w:rPr>
          <w:rFonts w:eastAsiaTheme="minorEastAsia"/>
        </w:rPr>
        <w:t xml:space="preserve">would have based off of specified values for the other closing </w:t>
      </w:r>
      <w:r w:rsidR="0085238A">
        <w:rPr>
          <w:rFonts w:eastAsiaTheme="minorEastAsia"/>
        </w:rPr>
        <w:t>prices and takes into account sample variation allowing for a tighter interval to be plotted.</w:t>
      </w:r>
    </w:p>
    <w:p w14:paraId="4EF0665B" w14:textId="0EE38F0D" w:rsidR="000D69F8" w:rsidRDefault="000D69F8" w:rsidP="000D69F8">
      <w:pPr>
        <w:rPr>
          <w:rFonts w:eastAsiaTheme="minorEastAsia"/>
        </w:rPr>
      </w:pPr>
      <w:r>
        <w:rPr>
          <w:rFonts w:eastAsiaTheme="minorEastAsia"/>
        </w:rPr>
        <w:t>The check returned a value for</w:t>
      </w:r>
      <w:r w:rsidR="0034145B">
        <w:rPr>
          <w:rFonts w:eastAsiaTheme="minorEastAsia"/>
        </w:rPr>
        <w:t xml:space="preserve"> a</w:t>
      </w:r>
      <w:r>
        <w:rPr>
          <w:rFonts w:eastAsiaTheme="minorEastAsia"/>
        </w:rPr>
        <w:t xml:space="preserve"> BA price</w:t>
      </w:r>
      <w:r w:rsidR="0034145B">
        <w:rPr>
          <w:rFonts w:eastAsiaTheme="minorEastAsia"/>
        </w:rPr>
        <w:t xml:space="preserve"> </w:t>
      </w:r>
      <w:r w:rsidRPr="000D69F8">
        <w:rPr>
          <w:rFonts w:eastAsiaTheme="minorEastAsia"/>
        </w:rPr>
        <w:t>of 453.2791 with an UL of 459.0606 and LL of 447.2791, which the actual value of 456.7</w:t>
      </w:r>
      <w:r w:rsidR="00C56503">
        <w:rPr>
          <w:rFonts w:eastAsiaTheme="minorEastAsia"/>
        </w:rPr>
        <w:t xml:space="preserve"> for those same values</w:t>
      </w:r>
      <w:r w:rsidRPr="000D69F8">
        <w:rPr>
          <w:rFonts w:eastAsiaTheme="minorEastAsia"/>
        </w:rPr>
        <w:t xml:space="preserve"> </w:t>
      </w:r>
      <w:r w:rsidR="00C56503" w:rsidRPr="000D69F8">
        <w:rPr>
          <w:rFonts w:eastAsiaTheme="minorEastAsia"/>
        </w:rPr>
        <w:t>fits</w:t>
      </w:r>
      <w:r w:rsidR="00C56503">
        <w:rPr>
          <w:rFonts w:eastAsiaTheme="minorEastAsia"/>
        </w:rPr>
        <w:t xml:space="preserve"> </w:t>
      </w:r>
      <w:r w:rsidR="00C56503" w:rsidRPr="000D69F8">
        <w:rPr>
          <w:rFonts w:eastAsiaTheme="minorEastAsia"/>
        </w:rPr>
        <w:t>comfortably</w:t>
      </w:r>
      <w:r w:rsidRPr="000D69F8">
        <w:rPr>
          <w:rFonts w:eastAsiaTheme="minorEastAsia"/>
        </w:rPr>
        <w:t xml:space="preserve"> inside. This is a nice tight interval too, with a +/- of a little over 1% of the fitted variable</w:t>
      </w:r>
      <w:r w:rsidR="00C56503">
        <w:rPr>
          <w:rFonts w:eastAsiaTheme="minorEastAsia"/>
        </w:rPr>
        <w:t xml:space="preserve">, meaning that the model can predict the average BA closing price to a tight margin. </w:t>
      </w:r>
    </w:p>
    <w:p w14:paraId="1C8C11A3" w14:textId="08641527" w:rsidR="00415D35" w:rsidRDefault="00E92EA0" w:rsidP="00A42230">
      <w:pPr>
        <w:rPr>
          <w:rFonts w:eastAsiaTheme="minorEastAsia"/>
        </w:rPr>
      </w:pPr>
      <w:r>
        <w:rPr>
          <w:rFonts w:eastAsiaTheme="minorEastAsia"/>
        </w:rPr>
        <w:t xml:space="preserve">A prediction interval check was also carried out. Unlike a confidence interval, a prediction interval aims to calculate </w:t>
      </w:r>
      <w:r w:rsidR="00F2014D">
        <w:rPr>
          <w:rFonts w:eastAsiaTheme="minorEastAsia"/>
        </w:rPr>
        <w:t xml:space="preserve">the </w:t>
      </w:r>
      <w:r w:rsidR="0034145B">
        <w:rPr>
          <w:rFonts w:eastAsiaTheme="minorEastAsia"/>
        </w:rPr>
        <w:t>response for a specific stock price, not for a sample based on averages. This managed to return the same BA price of</w:t>
      </w:r>
      <w:r>
        <w:rPr>
          <w:rFonts w:eastAsiaTheme="minorEastAsia"/>
        </w:rPr>
        <w:t xml:space="preserve"> </w:t>
      </w:r>
      <w:r w:rsidR="0034145B" w:rsidRPr="000D69F8">
        <w:rPr>
          <w:rFonts w:eastAsiaTheme="minorEastAsia"/>
        </w:rPr>
        <w:t>453.2791</w:t>
      </w:r>
      <w:r w:rsidR="0034145B">
        <w:rPr>
          <w:rFonts w:eastAsiaTheme="minorEastAsia"/>
        </w:rPr>
        <w:t xml:space="preserve"> although with a</w:t>
      </w:r>
      <w:r w:rsidR="00B90443">
        <w:rPr>
          <w:rFonts w:eastAsiaTheme="minorEastAsia"/>
        </w:rPr>
        <w:t xml:space="preserve"> much larger interval, roughly about </w:t>
      </w:r>
      <w:r w:rsidR="00A42230">
        <w:rPr>
          <w:rFonts w:eastAsiaTheme="minorEastAsia"/>
        </w:rPr>
        <w:t xml:space="preserve">15% of the fitted value. </w:t>
      </w:r>
      <w:r w:rsidR="00A42230" w:rsidRPr="00A42230">
        <w:rPr>
          <w:rFonts w:eastAsiaTheme="minorEastAsia"/>
        </w:rPr>
        <w:t xml:space="preserve">This suggests that the model is capable of predicting the value of closing prices for a given sample quite accurately. </w:t>
      </w:r>
      <w:r w:rsidR="004C43DE" w:rsidRPr="00A42230">
        <w:rPr>
          <w:rFonts w:eastAsiaTheme="minorEastAsia"/>
        </w:rPr>
        <w:t>However,</w:t>
      </w:r>
      <w:r w:rsidR="00A42230" w:rsidRPr="00A42230">
        <w:rPr>
          <w:rFonts w:eastAsiaTheme="minorEastAsia"/>
        </w:rPr>
        <w:t xml:space="preserve"> when trying to predict the closing price for a specific day it is far less useful</w:t>
      </w:r>
      <w:r w:rsidR="004C43DE">
        <w:rPr>
          <w:rFonts w:eastAsiaTheme="minorEastAsia"/>
        </w:rPr>
        <w:t>.</w:t>
      </w:r>
    </w:p>
    <w:p w14:paraId="028C2DB2" w14:textId="66F0D0F1" w:rsidR="004C1544" w:rsidRDefault="00217621" w:rsidP="00217621">
      <w:pPr>
        <w:pStyle w:val="Heading3"/>
        <w:rPr>
          <w:rFonts w:eastAsiaTheme="minorEastAsia"/>
        </w:rPr>
      </w:pPr>
      <w:r>
        <w:rPr>
          <w:rFonts w:eastAsiaTheme="minorEastAsia"/>
        </w:rPr>
        <w:t>Potential Issues with this Model</w:t>
      </w:r>
    </w:p>
    <w:p w14:paraId="5AD2A75F" w14:textId="7A35B00D" w:rsidR="00663FFE" w:rsidRDefault="005D090E" w:rsidP="00217621">
      <w:r>
        <w:t>To see if the coeffi</w:t>
      </w:r>
      <w:r w:rsidR="00B33CFA">
        <w:t>ci</w:t>
      </w:r>
      <w:r>
        <w:t>ents</w:t>
      </w:r>
      <w:r w:rsidR="00B33CFA">
        <w:t xml:space="preserve"> were truly representative of the effect each variable </w:t>
      </w:r>
      <w:r w:rsidR="00663FFE">
        <w:t>was having on the response, I decided to compare the correlation of each variable respective to BA against the coefficients for each variable in the model:</w:t>
      </w:r>
    </w:p>
    <w:p w14:paraId="78AFE4B8" w14:textId="77777777" w:rsidR="00027DBB" w:rsidRDefault="00027DBB" w:rsidP="00217621"/>
    <w:tbl>
      <w:tblPr>
        <w:tblStyle w:val="TableGrid"/>
        <w:tblW w:w="0" w:type="auto"/>
        <w:jc w:val="center"/>
        <w:tblLook w:val="04A0" w:firstRow="1" w:lastRow="0" w:firstColumn="1" w:lastColumn="0" w:noHBand="0" w:noVBand="1"/>
      </w:tblPr>
      <w:tblGrid>
        <w:gridCol w:w="955"/>
        <w:gridCol w:w="1231"/>
        <w:gridCol w:w="1186"/>
      </w:tblGrid>
      <w:tr w:rsidR="0051793E" w14:paraId="045430CD" w14:textId="77777777" w:rsidTr="00B927D3">
        <w:trPr>
          <w:trHeight w:val="250"/>
          <w:jc w:val="center"/>
        </w:trPr>
        <w:tc>
          <w:tcPr>
            <w:tcW w:w="0" w:type="auto"/>
          </w:tcPr>
          <w:p w14:paraId="75B012CB" w14:textId="7291C73C" w:rsidR="0051793E" w:rsidRDefault="00B927D3" w:rsidP="0051793E">
            <w:pPr>
              <w:jc w:val="center"/>
            </w:pPr>
            <w:r>
              <w:lastRenderedPageBreak/>
              <w:t>Variable</w:t>
            </w:r>
          </w:p>
        </w:tc>
        <w:tc>
          <w:tcPr>
            <w:tcW w:w="0" w:type="auto"/>
          </w:tcPr>
          <w:p w14:paraId="7ECDEFA7" w14:textId="18AA4CB1" w:rsidR="0051793E" w:rsidRDefault="0051793E" w:rsidP="0051793E">
            <w:pPr>
              <w:jc w:val="center"/>
            </w:pPr>
            <w:r>
              <w:t>Correlation</w:t>
            </w:r>
          </w:p>
        </w:tc>
        <w:tc>
          <w:tcPr>
            <w:tcW w:w="0" w:type="auto"/>
          </w:tcPr>
          <w:p w14:paraId="3D6FC7E3" w14:textId="27320CE2" w:rsidR="0051793E" w:rsidRDefault="0051793E" w:rsidP="0051793E">
            <w:pPr>
              <w:jc w:val="center"/>
            </w:pPr>
            <w:r>
              <w:t>Coefficient</w:t>
            </w:r>
          </w:p>
        </w:tc>
      </w:tr>
      <w:tr w:rsidR="0051793E" w14:paraId="3D3C8A47" w14:textId="77777777" w:rsidTr="00B927D3">
        <w:trPr>
          <w:trHeight w:val="250"/>
          <w:jc w:val="center"/>
        </w:trPr>
        <w:tc>
          <w:tcPr>
            <w:tcW w:w="0" w:type="auto"/>
          </w:tcPr>
          <w:p w14:paraId="2CE0DA14" w14:textId="7597B952" w:rsidR="0051793E" w:rsidRDefault="0051793E" w:rsidP="00217621">
            <w:r>
              <w:t>STJ</w:t>
            </w:r>
          </w:p>
        </w:tc>
        <w:tc>
          <w:tcPr>
            <w:tcW w:w="0" w:type="auto"/>
          </w:tcPr>
          <w:p w14:paraId="491AEE2F" w14:textId="405B4B48" w:rsidR="0051793E" w:rsidRDefault="00E77442" w:rsidP="0051793E">
            <w:pPr>
              <w:jc w:val="center"/>
            </w:pPr>
            <w:r>
              <w:t>0.6870552</w:t>
            </w:r>
          </w:p>
        </w:tc>
        <w:tc>
          <w:tcPr>
            <w:tcW w:w="0" w:type="auto"/>
          </w:tcPr>
          <w:p w14:paraId="29304E67" w14:textId="266A7AEA" w:rsidR="0051793E" w:rsidRDefault="00E77442" w:rsidP="0051793E">
            <w:pPr>
              <w:jc w:val="center"/>
            </w:pPr>
            <w:r>
              <w:t>52.718</w:t>
            </w:r>
          </w:p>
        </w:tc>
      </w:tr>
      <w:tr w:rsidR="0051793E" w14:paraId="7C3A5242" w14:textId="77777777" w:rsidTr="00B927D3">
        <w:trPr>
          <w:trHeight w:val="261"/>
          <w:jc w:val="center"/>
        </w:trPr>
        <w:tc>
          <w:tcPr>
            <w:tcW w:w="0" w:type="auto"/>
          </w:tcPr>
          <w:p w14:paraId="56919CDC" w14:textId="4AE82149" w:rsidR="0051793E" w:rsidRDefault="0051793E" w:rsidP="00217621">
            <w:r>
              <w:t>CNA</w:t>
            </w:r>
          </w:p>
        </w:tc>
        <w:tc>
          <w:tcPr>
            <w:tcW w:w="0" w:type="auto"/>
          </w:tcPr>
          <w:p w14:paraId="2B3B804F" w14:textId="7BD9EDD6" w:rsidR="0051793E" w:rsidRDefault="00F6740A" w:rsidP="0051793E">
            <w:pPr>
              <w:jc w:val="center"/>
            </w:pPr>
            <w:r>
              <w:t>-0.6591334</w:t>
            </w:r>
          </w:p>
        </w:tc>
        <w:tc>
          <w:tcPr>
            <w:tcW w:w="0" w:type="auto"/>
          </w:tcPr>
          <w:p w14:paraId="24B62F1E" w14:textId="78078C18" w:rsidR="0051793E" w:rsidRDefault="00E77442" w:rsidP="0051793E">
            <w:pPr>
              <w:jc w:val="center"/>
            </w:pPr>
            <w:r>
              <w:t>8.021</w:t>
            </w:r>
          </w:p>
        </w:tc>
      </w:tr>
      <w:tr w:rsidR="0051793E" w14:paraId="2A6E1953" w14:textId="77777777" w:rsidTr="00B927D3">
        <w:trPr>
          <w:trHeight w:val="250"/>
          <w:jc w:val="center"/>
        </w:trPr>
        <w:tc>
          <w:tcPr>
            <w:tcW w:w="0" w:type="auto"/>
          </w:tcPr>
          <w:p w14:paraId="6472AF4D" w14:textId="07EC9649" w:rsidR="0051793E" w:rsidRDefault="0051793E" w:rsidP="00217621">
            <w:r>
              <w:t>EZJ</w:t>
            </w:r>
          </w:p>
        </w:tc>
        <w:tc>
          <w:tcPr>
            <w:tcW w:w="0" w:type="auto"/>
          </w:tcPr>
          <w:p w14:paraId="1EBC0A98" w14:textId="71153D16" w:rsidR="0051793E" w:rsidRDefault="00F6740A" w:rsidP="0051793E">
            <w:pPr>
              <w:jc w:val="center"/>
            </w:pPr>
            <w:r>
              <w:t>-0.6536152</w:t>
            </w:r>
          </w:p>
        </w:tc>
        <w:tc>
          <w:tcPr>
            <w:tcW w:w="0" w:type="auto"/>
          </w:tcPr>
          <w:p w14:paraId="2EEF3918" w14:textId="113F376A" w:rsidR="0051793E" w:rsidRDefault="00F6740A" w:rsidP="0051793E">
            <w:pPr>
              <w:jc w:val="center"/>
            </w:pPr>
            <w:r>
              <w:t>-16.019</w:t>
            </w:r>
          </w:p>
        </w:tc>
      </w:tr>
      <w:tr w:rsidR="0051793E" w14:paraId="4C2D4B7C" w14:textId="77777777" w:rsidTr="00B927D3">
        <w:trPr>
          <w:trHeight w:val="250"/>
          <w:jc w:val="center"/>
        </w:trPr>
        <w:tc>
          <w:tcPr>
            <w:tcW w:w="0" w:type="auto"/>
          </w:tcPr>
          <w:p w14:paraId="5CCE4331" w14:textId="614EEBF9" w:rsidR="0051793E" w:rsidRDefault="0051793E" w:rsidP="00217621">
            <w:r>
              <w:t>RMV</w:t>
            </w:r>
          </w:p>
        </w:tc>
        <w:tc>
          <w:tcPr>
            <w:tcW w:w="0" w:type="auto"/>
          </w:tcPr>
          <w:p w14:paraId="6FF497EC" w14:textId="7FD4C7EF" w:rsidR="0051793E" w:rsidRDefault="00F6740A" w:rsidP="0051793E">
            <w:pPr>
              <w:jc w:val="center"/>
            </w:pPr>
            <w:r>
              <w:t>-0.6454839</w:t>
            </w:r>
          </w:p>
        </w:tc>
        <w:tc>
          <w:tcPr>
            <w:tcW w:w="0" w:type="auto"/>
          </w:tcPr>
          <w:p w14:paraId="157532DF" w14:textId="6C631774" w:rsidR="0051793E" w:rsidRDefault="00F6740A" w:rsidP="0051793E">
            <w:pPr>
              <w:jc w:val="center"/>
            </w:pPr>
            <w:r>
              <w:t>-5.810</w:t>
            </w:r>
          </w:p>
        </w:tc>
      </w:tr>
      <w:tr w:rsidR="0051793E" w14:paraId="18B879FA" w14:textId="77777777" w:rsidTr="00B927D3">
        <w:trPr>
          <w:trHeight w:val="250"/>
          <w:jc w:val="center"/>
        </w:trPr>
        <w:tc>
          <w:tcPr>
            <w:tcW w:w="0" w:type="auto"/>
          </w:tcPr>
          <w:p w14:paraId="00B5AFEA" w14:textId="53B1424D" w:rsidR="0051793E" w:rsidRDefault="0051793E" w:rsidP="00217621">
            <w:r>
              <w:t>VOD</w:t>
            </w:r>
          </w:p>
        </w:tc>
        <w:tc>
          <w:tcPr>
            <w:tcW w:w="0" w:type="auto"/>
          </w:tcPr>
          <w:p w14:paraId="552A4BA5" w14:textId="3D7FD78F" w:rsidR="0051793E" w:rsidRDefault="00F6740A" w:rsidP="0051793E">
            <w:pPr>
              <w:jc w:val="center"/>
            </w:pPr>
            <w:r>
              <w:t xml:space="preserve">-0.6440479  </w:t>
            </w:r>
          </w:p>
        </w:tc>
        <w:tc>
          <w:tcPr>
            <w:tcW w:w="0" w:type="auto"/>
          </w:tcPr>
          <w:p w14:paraId="52A4D627" w14:textId="38C3EAFC" w:rsidR="0051793E" w:rsidRDefault="00F6740A" w:rsidP="0051793E">
            <w:pPr>
              <w:jc w:val="center"/>
            </w:pPr>
            <w:r>
              <w:t>-20.039</w:t>
            </w:r>
          </w:p>
        </w:tc>
      </w:tr>
    </w:tbl>
    <w:p w14:paraId="2E642765" w14:textId="77777777" w:rsidR="00E77851" w:rsidRDefault="00E77851" w:rsidP="00E77851">
      <w:pPr>
        <w:spacing w:after="0" w:line="240" w:lineRule="auto"/>
      </w:pPr>
    </w:p>
    <w:p w14:paraId="5F572B18" w14:textId="5D952DB9" w:rsidR="00336EAD" w:rsidRDefault="007534E8" w:rsidP="007534E8">
      <w:r>
        <w:t xml:space="preserve">In terms of correlations </w:t>
      </w:r>
      <w:r w:rsidR="005D2B0D">
        <w:t>STJ, CNA</w:t>
      </w:r>
      <w:r>
        <w:t>,</w:t>
      </w:r>
      <w:r w:rsidR="005D2B0D">
        <w:t xml:space="preserve"> </w:t>
      </w:r>
      <w:r>
        <w:t>EZJ,</w:t>
      </w:r>
      <w:r w:rsidR="005D2B0D">
        <w:t xml:space="preserve"> </w:t>
      </w:r>
      <w:r>
        <w:t>RMV and VOD all have roughly equal effect on the closing price of BA, either in a positive or negative direction, with the magnitude between the highest and lowest correlation having a difference of only 0.043. However</w:t>
      </w:r>
      <w:r w:rsidR="001449A7">
        <w:t xml:space="preserve"> w</w:t>
      </w:r>
      <w:r>
        <w:t>hen we then compare this to the coefficients, three of the stocks have a much higher effect on the calculated BA closing price</w:t>
      </w:r>
      <w:r w:rsidR="001449A7">
        <w:t xml:space="preserve">, </w:t>
      </w:r>
      <w:r>
        <w:t>with STJ having a whopping coefficient of 52.718, which is over twice the magnitude of the second highest coefficient, -20.039</w:t>
      </w:r>
      <w:r w:rsidR="001449A7">
        <w:t xml:space="preserve"> </w:t>
      </w:r>
      <w:r>
        <w:t>for VOD closing prices. This is also a strange comparison, as VOD had the lowest correlation with BA yet it has the second largest</w:t>
      </w:r>
      <w:r w:rsidR="001449A7">
        <w:t xml:space="preserve"> </w:t>
      </w:r>
      <w:r>
        <w:t>effect on the calculated BA price. These factors, plus the strangely diminished effect the second most correlated value</w:t>
      </w:r>
      <w:r w:rsidR="00E77851">
        <w:t xml:space="preserve"> (CNA)</w:t>
      </w:r>
      <w:r>
        <w:t xml:space="preserve"> has</w:t>
      </w:r>
      <w:r w:rsidR="001449A7">
        <w:t xml:space="preserve"> </w:t>
      </w:r>
      <w:r>
        <w:t xml:space="preserve">on the BA equation suggest that there are other </w:t>
      </w:r>
      <w:r w:rsidR="00E77851">
        <w:t xml:space="preserve">factors or </w:t>
      </w:r>
      <w:r>
        <w:t xml:space="preserve">variables </w:t>
      </w:r>
      <w:r w:rsidR="00E77851">
        <w:t>a</w:t>
      </w:r>
      <w:r>
        <w:t xml:space="preserve">ffecting the data that are not present in the model in </w:t>
      </w:r>
      <w:r w:rsidR="00E77851">
        <w:t>its</w:t>
      </w:r>
      <w:r>
        <w:t xml:space="preserve"> current</w:t>
      </w:r>
      <w:r w:rsidR="00E77851">
        <w:t xml:space="preserve"> </w:t>
      </w:r>
      <w:r>
        <w:t>form</w:t>
      </w:r>
      <w:r w:rsidR="00E77851">
        <w:t>.</w:t>
      </w:r>
    </w:p>
    <w:p w14:paraId="3F0805D2" w14:textId="192C0ADC" w:rsidR="00B927D3" w:rsidRDefault="00B927D3" w:rsidP="00EC6F24">
      <w:pPr>
        <w:pStyle w:val="Heading1"/>
      </w:pPr>
      <w:r>
        <w:t>Fitting a Better Model</w:t>
      </w:r>
    </w:p>
    <w:p w14:paraId="49A957E3" w14:textId="48633F89" w:rsidR="00EC6F24" w:rsidRDefault="00EC6F24" w:rsidP="00EC6F24">
      <w:pPr>
        <w:pStyle w:val="Heading2"/>
      </w:pPr>
      <w:r>
        <w:t>Selecting the Variables</w:t>
      </w:r>
    </w:p>
    <w:p w14:paraId="15D10320" w14:textId="2E34CFE6" w:rsidR="00AF0645" w:rsidRDefault="00392942" w:rsidP="00AF0645">
      <w:r>
        <w:t xml:space="preserve">In order to select the variable for a </w:t>
      </w:r>
      <w:r w:rsidR="00920E48">
        <w:t xml:space="preserve">new and improved model, I decided to employ </w:t>
      </w:r>
      <w:r w:rsidR="00946221">
        <w:t xml:space="preserve">4 different methods to select the variable. </w:t>
      </w:r>
      <w:r w:rsidR="00047EA6">
        <w:t xml:space="preserve">As the number of considered variables is less than </w:t>
      </w:r>
      <w:r w:rsidR="00302B79">
        <w:t>31, I</w:t>
      </w:r>
      <w:bookmarkStart w:id="0" w:name="_GoBack"/>
      <w:bookmarkEnd w:id="0"/>
      <w:r w:rsidR="00047EA6">
        <w:t xml:space="preserve"> </w:t>
      </w:r>
      <w:r w:rsidR="00946221">
        <w:t>b</w:t>
      </w:r>
      <w:r>
        <w:t>eg</w:t>
      </w:r>
      <w:r w:rsidR="00047EA6">
        <w:t>a</w:t>
      </w:r>
      <w:r>
        <w:t xml:space="preserve">n </w:t>
      </w:r>
      <w:r w:rsidR="00047EA6">
        <w:t>by</w:t>
      </w:r>
      <w:r w:rsidR="00946221">
        <w:t xml:space="preserve"> </w:t>
      </w:r>
      <w:r w:rsidR="003A68D1">
        <w:t>r</w:t>
      </w:r>
      <w:r w:rsidR="00047EA6">
        <w:t>u</w:t>
      </w:r>
      <w:r w:rsidR="003A68D1">
        <w:t>n</w:t>
      </w:r>
      <w:r w:rsidR="00047EA6">
        <w:t>ning</w:t>
      </w:r>
      <w:r w:rsidR="003A68D1">
        <w:t xml:space="preserve"> a leaps and bound selection to find the 5 best models for each </w:t>
      </w:r>
      <w:r w:rsidR="00AF0645">
        <w:t xml:space="preserve">amount of variables, from 1 to </w:t>
      </w:r>
      <w:r w:rsidR="00405856">
        <w:t xml:space="preserve">30. </w:t>
      </w:r>
      <w:r w:rsidR="00645F16">
        <w:t>I then plotted the adjusted R</w:t>
      </w:r>
      <w:r w:rsidR="00645F16">
        <w:rPr>
          <w:vertAlign w:val="superscript"/>
        </w:rPr>
        <w:t>2</w:t>
      </w:r>
      <w:r w:rsidR="00645F16">
        <w:t xml:space="preserve"> for each model size against the number of </w:t>
      </w:r>
      <w:r w:rsidR="00452546">
        <w:t>variables</w:t>
      </w:r>
      <w:r w:rsidR="00645F16">
        <w:t xml:space="preserve"> included to </w:t>
      </w:r>
      <w:r w:rsidR="00452546">
        <w:t>determine at what point adding more variables would lead to diminishing returns on model fit.</w:t>
      </w:r>
    </w:p>
    <w:p w14:paraId="68F8CB4F" w14:textId="0BE8E122" w:rsidR="00452546" w:rsidRDefault="00452546" w:rsidP="00E955AB">
      <w:pPr>
        <w:jc w:val="center"/>
      </w:pPr>
      <w:r>
        <w:rPr>
          <w:noProof/>
        </w:rPr>
        <w:drawing>
          <wp:inline distT="0" distB="0" distL="0" distR="0" wp14:anchorId="4A8B3184" wp14:editId="7DE316A6">
            <wp:extent cx="3124200" cy="1518920"/>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146132" cy="1529583"/>
                    </a:xfrm>
                    <a:prstGeom prst="rect">
                      <a:avLst/>
                    </a:prstGeom>
                  </pic:spPr>
                </pic:pic>
              </a:graphicData>
            </a:graphic>
          </wp:inline>
        </w:drawing>
      </w:r>
    </w:p>
    <w:p w14:paraId="00118E87" w14:textId="2877E6B6" w:rsidR="00E955AB" w:rsidRDefault="00344E99" w:rsidP="00E955AB">
      <w:r>
        <w:t>As the graph seemed to level off at roughly 20 variables, I decided to extract the models with the best R</w:t>
      </w:r>
      <w:r>
        <w:rPr>
          <w:vertAlign w:val="superscript"/>
        </w:rPr>
        <w:t>2</w:t>
      </w:r>
      <w:r>
        <w:t xml:space="preserve"> score for 19, 20 and 21 variables to compare</w:t>
      </w:r>
      <w:r w:rsidR="007F0155">
        <w:t xml:space="preserve"> their performance later.</w:t>
      </w:r>
    </w:p>
    <w:p w14:paraId="1ADAA411" w14:textId="26C3E748" w:rsidR="007F0155" w:rsidRDefault="0072326B" w:rsidP="00E955AB">
      <w:r>
        <w:t xml:space="preserve">In addition to using </w:t>
      </w:r>
      <w:r w:rsidR="003751C6">
        <w:t>leaps and bounds, I also carried out forward and backward checks for creating a model, as well  as a stepswise check to create a</w:t>
      </w:r>
      <w:r w:rsidR="00F14F9F">
        <w:t xml:space="preserve"> model automatically </w:t>
      </w:r>
      <w:r w:rsidR="00047EA6">
        <w:t xml:space="preserve">by combing forwards and backwards checks until it reaches the model with the ‘best’ fit. </w:t>
      </w:r>
      <w:r w:rsidR="00AA12B0">
        <w:t>In order to compare these models, I calculated the adjusted R</w:t>
      </w:r>
      <w:r w:rsidR="00AA12B0">
        <w:rPr>
          <w:vertAlign w:val="superscript"/>
        </w:rPr>
        <w:t>2</w:t>
      </w:r>
      <w:r w:rsidR="00AA12B0">
        <w:t>, the Mallow’s C</w:t>
      </w:r>
      <w:r w:rsidR="00AA12B0">
        <w:rPr>
          <w:vertAlign w:val="subscript"/>
        </w:rPr>
        <w:t>p</w:t>
      </w:r>
      <w:r w:rsidR="00AA12B0">
        <w:t xml:space="preserve"> and the PRESS statistic for each one, </w:t>
      </w:r>
      <w:r w:rsidR="004E0E4F">
        <w:t>which would allow me to decide what model to continue working with:</w:t>
      </w:r>
    </w:p>
    <w:tbl>
      <w:tblPr>
        <w:tblStyle w:val="TableGrid"/>
        <w:tblW w:w="0" w:type="auto"/>
        <w:jc w:val="center"/>
        <w:tblLook w:val="04A0" w:firstRow="1" w:lastRow="0" w:firstColumn="1" w:lastColumn="0" w:noHBand="0" w:noVBand="1"/>
      </w:tblPr>
      <w:tblGrid>
        <w:gridCol w:w="1805"/>
        <w:gridCol w:w="1253"/>
        <w:gridCol w:w="1053"/>
        <w:gridCol w:w="1053"/>
      </w:tblGrid>
      <w:tr w:rsidR="004964E3" w14:paraId="699F4AF7" w14:textId="77777777" w:rsidTr="0029548A">
        <w:trPr>
          <w:jc w:val="center"/>
        </w:trPr>
        <w:tc>
          <w:tcPr>
            <w:tcW w:w="0" w:type="auto"/>
          </w:tcPr>
          <w:p w14:paraId="69C10488" w14:textId="377935BE" w:rsidR="004964E3" w:rsidRDefault="004964E3" w:rsidP="00E955AB">
            <w:r>
              <w:t>Name</w:t>
            </w:r>
          </w:p>
        </w:tc>
        <w:tc>
          <w:tcPr>
            <w:tcW w:w="0" w:type="auto"/>
          </w:tcPr>
          <w:p w14:paraId="2CD7D6CF" w14:textId="7DC7E545" w:rsidR="004964E3" w:rsidRPr="004964E3" w:rsidRDefault="004964E3" w:rsidP="00E955AB">
            <w:r>
              <w:t>Adjusted R</w:t>
            </w:r>
            <w:r>
              <w:rPr>
                <w:vertAlign w:val="superscript"/>
              </w:rPr>
              <w:t>2</w:t>
            </w:r>
          </w:p>
        </w:tc>
        <w:tc>
          <w:tcPr>
            <w:tcW w:w="0" w:type="auto"/>
          </w:tcPr>
          <w:p w14:paraId="6F589146" w14:textId="18BC4532" w:rsidR="004964E3" w:rsidRPr="004964E3" w:rsidRDefault="004964E3" w:rsidP="00E955AB">
            <w:pPr>
              <w:rPr>
                <w:vertAlign w:val="subscript"/>
              </w:rPr>
            </w:pPr>
            <w:r>
              <w:t>C</w:t>
            </w:r>
            <w:r>
              <w:rPr>
                <w:vertAlign w:val="subscript"/>
              </w:rPr>
              <w:t>p</w:t>
            </w:r>
          </w:p>
        </w:tc>
        <w:tc>
          <w:tcPr>
            <w:tcW w:w="0" w:type="auto"/>
          </w:tcPr>
          <w:p w14:paraId="33CA0E9C" w14:textId="2D25DB90" w:rsidR="004964E3" w:rsidRPr="004964E3" w:rsidRDefault="004964E3" w:rsidP="00E955AB">
            <w:r>
              <w:t>PRESS</w:t>
            </w:r>
          </w:p>
        </w:tc>
      </w:tr>
      <w:tr w:rsidR="004964E3" w14:paraId="33745B35" w14:textId="77777777" w:rsidTr="0029548A">
        <w:trPr>
          <w:jc w:val="center"/>
        </w:trPr>
        <w:tc>
          <w:tcPr>
            <w:tcW w:w="0" w:type="auto"/>
          </w:tcPr>
          <w:p w14:paraId="1F0BCCD6" w14:textId="1C8ABC46" w:rsidR="004964E3" w:rsidRDefault="00912028" w:rsidP="00E955AB">
            <w:r>
              <w:t>Size 19 Model</w:t>
            </w:r>
          </w:p>
        </w:tc>
        <w:tc>
          <w:tcPr>
            <w:tcW w:w="0" w:type="auto"/>
          </w:tcPr>
          <w:p w14:paraId="22BDDED3" w14:textId="6273F00B" w:rsidR="004964E3" w:rsidRDefault="00C850A0" w:rsidP="00E955AB">
            <w:r w:rsidRPr="00C850A0">
              <w:t>0.9105454</w:t>
            </w:r>
          </w:p>
        </w:tc>
        <w:tc>
          <w:tcPr>
            <w:tcW w:w="0" w:type="auto"/>
          </w:tcPr>
          <w:p w14:paraId="6919F727" w14:textId="0F983D15" w:rsidR="004964E3" w:rsidRDefault="00C850A0" w:rsidP="00E955AB">
            <w:r w:rsidRPr="00C850A0">
              <w:t>85.49485</w:t>
            </w:r>
          </w:p>
        </w:tc>
        <w:tc>
          <w:tcPr>
            <w:tcW w:w="0" w:type="auto"/>
          </w:tcPr>
          <w:p w14:paraId="242B7D58" w14:textId="7BE862C1" w:rsidR="004964E3" w:rsidRDefault="00C850A0" w:rsidP="00E955AB">
            <w:r w:rsidRPr="00C850A0">
              <w:t>373315.1</w:t>
            </w:r>
          </w:p>
        </w:tc>
      </w:tr>
      <w:tr w:rsidR="004964E3" w14:paraId="0657EF1E" w14:textId="77777777" w:rsidTr="0029548A">
        <w:trPr>
          <w:jc w:val="center"/>
        </w:trPr>
        <w:tc>
          <w:tcPr>
            <w:tcW w:w="0" w:type="auto"/>
          </w:tcPr>
          <w:p w14:paraId="11DBC99D" w14:textId="00E1C6D5" w:rsidR="004964E3" w:rsidRDefault="00912028" w:rsidP="00E955AB">
            <w:r>
              <w:t>Size 20 Model</w:t>
            </w:r>
          </w:p>
        </w:tc>
        <w:tc>
          <w:tcPr>
            <w:tcW w:w="0" w:type="auto"/>
          </w:tcPr>
          <w:p w14:paraId="37D238D8" w14:textId="266A085D" w:rsidR="004964E3" w:rsidRDefault="00C850A0" w:rsidP="00E955AB">
            <w:r w:rsidRPr="00C850A0">
              <w:t>0.9117497</w:t>
            </w:r>
          </w:p>
        </w:tc>
        <w:tc>
          <w:tcPr>
            <w:tcW w:w="0" w:type="auto"/>
          </w:tcPr>
          <w:p w14:paraId="16DB81C6" w14:textId="6333D775" w:rsidR="004964E3" w:rsidRDefault="00C850A0" w:rsidP="00E955AB">
            <w:r w:rsidRPr="00C850A0">
              <w:t>72.24615</w:t>
            </w:r>
          </w:p>
        </w:tc>
        <w:tc>
          <w:tcPr>
            <w:tcW w:w="0" w:type="auto"/>
          </w:tcPr>
          <w:p w14:paraId="7E0E5175" w14:textId="638A7524" w:rsidR="004964E3" w:rsidRDefault="008919A6" w:rsidP="00E955AB">
            <w:r w:rsidRPr="008919A6">
              <w:t>368609.8</w:t>
            </w:r>
          </w:p>
        </w:tc>
      </w:tr>
      <w:tr w:rsidR="004964E3" w14:paraId="4B48051B" w14:textId="77777777" w:rsidTr="0029548A">
        <w:trPr>
          <w:jc w:val="center"/>
        </w:trPr>
        <w:tc>
          <w:tcPr>
            <w:tcW w:w="0" w:type="auto"/>
          </w:tcPr>
          <w:p w14:paraId="767CFDE1" w14:textId="49C2C2D8" w:rsidR="004964E3" w:rsidRDefault="00912028" w:rsidP="00E955AB">
            <w:r>
              <w:t>Size 21 Model</w:t>
            </w:r>
          </w:p>
        </w:tc>
        <w:tc>
          <w:tcPr>
            <w:tcW w:w="0" w:type="auto"/>
          </w:tcPr>
          <w:p w14:paraId="3424927B" w14:textId="3342D6B7" w:rsidR="004964E3" w:rsidRDefault="00C850A0" w:rsidP="00E955AB">
            <w:r w:rsidRPr="00C850A0">
              <w:t>0.9125995</w:t>
            </w:r>
          </w:p>
        </w:tc>
        <w:tc>
          <w:tcPr>
            <w:tcW w:w="0" w:type="auto"/>
          </w:tcPr>
          <w:p w14:paraId="7A144854" w14:textId="60D9BBAB" w:rsidR="004964E3" w:rsidRDefault="00C850A0" w:rsidP="00E955AB">
            <w:r w:rsidRPr="00C850A0">
              <w:t>63.19567</w:t>
            </w:r>
          </w:p>
        </w:tc>
        <w:tc>
          <w:tcPr>
            <w:tcW w:w="0" w:type="auto"/>
          </w:tcPr>
          <w:p w14:paraId="7727C1F0" w14:textId="2507692B" w:rsidR="004964E3" w:rsidRDefault="008919A6" w:rsidP="00E955AB">
            <w:r w:rsidRPr="008919A6">
              <w:t>365523.7</w:t>
            </w:r>
          </w:p>
        </w:tc>
      </w:tr>
      <w:tr w:rsidR="004964E3" w14:paraId="132EABE9" w14:textId="77777777" w:rsidTr="0029548A">
        <w:trPr>
          <w:jc w:val="center"/>
        </w:trPr>
        <w:tc>
          <w:tcPr>
            <w:tcW w:w="0" w:type="auto"/>
          </w:tcPr>
          <w:p w14:paraId="24F8AC76" w14:textId="717F0CB5" w:rsidR="004964E3" w:rsidRDefault="00912028" w:rsidP="00E955AB">
            <w:r>
              <w:t>Stepswise Model</w:t>
            </w:r>
          </w:p>
        </w:tc>
        <w:tc>
          <w:tcPr>
            <w:tcW w:w="0" w:type="auto"/>
          </w:tcPr>
          <w:p w14:paraId="72FCE190" w14:textId="3077A64E" w:rsidR="004964E3" w:rsidRDefault="00C850A0" w:rsidP="00E955AB">
            <w:r w:rsidRPr="00C850A0">
              <w:t>0.9159541</w:t>
            </w:r>
          </w:p>
        </w:tc>
        <w:tc>
          <w:tcPr>
            <w:tcW w:w="0" w:type="auto"/>
          </w:tcPr>
          <w:p w14:paraId="6A664214" w14:textId="78751E6C" w:rsidR="004964E3" w:rsidRDefault="00C850A0" w:rsidP="00E955AB">
            <w:r w:rsidRPr="00C850A0">
              <w:t>29.71423</w:t>
            </w:r>
          </w:p>
        </w:tc>
        <w:tc>
          <w:tcPr>
            <w:tcW w:w="0" w:type="auto"/>
          </w:tcPr>
          <w:p w14:paraId="7001E157" w14:textId="64EA274E" w:rsidR="004964E3" w:rsidRDefault="008919A6" w:rsidP="00E955AB">
            <w:r w:rsidRPr="008919A6">
              <w:t>353632.8</w:t>
            </w:r>
          </w:p>
        </w:tc>
      </w:tr>
      <w:tr w:rsidR="004964E3" w14:paraId="23AD6F61" w14:textId="77777777" w:rsidTr="0029548A">
        <w:trPr>
          <w:jc w:val="center"/>
        </w:trPr>
        <w:tc>
          <w:tcPr>
            <w:tcW w:w="0" w:type="auto"/>
          </w:tcPr>
          <w:p w14:paraId="0085D34E" w14:textId="2657EA59" w:rsidR="004964E3" w:rsidRDefault="00912028" w:rsidP="00E955AB">
            <w:r>
              <w:t>Backwards Model</w:t>
            </w:r>
          </w:p>
        </w:tc>
        <w:tc>
          <w:tcPr>
            <w:tcW w:w="0" w:type="auto"/>
          </w:tcPr>
          <w:p w14:paraId="2907F9A8" w14:textId="53353B8B" w:rsidR="004964E3" w:rsidRDefault="00C850A0" w:rsidP="00E955AB">
            <w:r w:rsidRPr="00C850A0">
              <w:t>0.9158588</w:t>
            </w:r>
          </w:p>
        </w:tc>
        <w:tc>
          <w:tcPr>
            <w:tcW w:w="0" w:type="auto"/>
          </w:tcPr>
          <w:p w14:paraId="32015CDA" w14:textId="5E8F17BF" w:rsidR="004964E3" w:rsidRDefault="00C850A0" w:rsidP="00E955AB">
            <w:r w:rsidRPr="00C850A0">
              <w:t>29.83258</w:t>
            </w:r>
          </w:p>
        </w:tc>
        <w:tc>
          <w:tcPr>
            <w:tcW w:w="0" w:type="auto"/>
          </w:tcPr>
          <w:p w14:paraId="7953ECB9" w14:textId="2671F829" w:rsidR="004964E3" w:rsidRDefault="008919A6" w:rsidP="00E955AB">
            <w:r w:rsidRPr="008919A6">
              <w:t>353659.6</w:t>
            </w:r>
          </w:p>
        </w:tc>
      </w:tr>
      <w:tr w:rsidR="004964E3" w14:paraId="0351FC4D" w14:textId="77777777" w:rsidTr="0029548A">
        <w:trPr>
          <w:jc w:val="center"/>
        </w:trPr>
        <w:tc>
          <w:tcPr>
            <w:tcW w:w="0" w:type="auto"/>
          </w:tcPr>
          <w:p w14:paraId="4F96A957" w14:textId="64D38ECB" w:rsidR="004964E3" w:rsidRDefault="00912028" w:rsidP="00E955AB">
            <w:r>
              <w:t>Forwards Model</w:t>
            </w:r>
          </w:p>
        </w:tc>
        <w:tc>
          <w:tcPr>
            <w:tcW w:w="0" w:type="auto"/>
          </w:tcPr>
          <w:p w14:paraId="61EB44EC" w14:textId="5F4D88F1" w:rsidR="004964E3" w:rsidRDefault="00C850A0" w:rsidP="00E955AB">
            <w:r w:rsidRPr="00C850A0">
              <w:t>0.9159541</w:t>
            </w:r>
          </w:p>
        </w:tc>
        <w:tc>
          <w:tcPr>
            <w:tcW w:w="0" w:type="auto"/>
          </w:tcPr>
          <w:p w14:paraId="19BFF52B" w14:textId="032520EE" w:rsidR="004964E3" w:rsidRDefault="00C850A0" w:rsidP="00E955AB">
            <w:r w:rsidRPr="00C850A0">
              <w:t>29.71423</w:t>
            </w:r>
          </w:p>
        </w:tc>
        <w:tc>
          <w:tcPr>
            <w:tcW w:w="0" w:type="auto"/>
          </w:tcPr>
          <w:p w14:paraId="742D2785" w14:textId="18B3AF2F" w:rsidR="004964E3" w:rsidRDefault="008919A6" w:rsidP="00E955AB">
            <w:r w:rsidRPr="008919A6">
              <w:t>353632.8</w:t>
            </w:r>
          </w:p>
        </w:tc>
      </w:tr>
    </w:tbl>
    <w:p w14:paraId="0FB359A9" w14:textId="21E694DD" w:rsidR="00A65770" w:rsidRDefault="00514719" w:rsidP="00E955AB">
      <w:r>
        <w:t>Ultimately,</w:t>
      </w:r>
      <w:r w:rsidR="00A65770">
        <w:t xml:space="preserve"> I decided to con</w:t>
      </w:r>
      <w:r w:rsidR="005E00A8">
        <w:t>tinue with the Stepswise Model as it has a higher adjusted R</w:t>
      </w:r>
      <w:r w:rsidR="005E00A8">
        <w:rPr>
          <w:vertAlign w:val="superscript"/>
        </w:rPr>
        <w:t>2</w:t>
      </w:r>
      <w:r w:rsidR="002023FE">
        <w:t xml:space="preserve"> than most of the other models</w:t>
      </w:r>
      <w:r w:rsidR="002F3D75">
        <w:t>, as well as joint lowest Cp and PRESS statistics with the Forwards Model.</w:t>
      </w:r>
      <w:r w:rsidR="003250D9">
        <w:t xml:space="preserve"> This is because the Forwards and Stepswise methods have </w:t>
      </w:r>
      <w:r>
        <w:t>resulted</w:t>
      </w:r>
      <w:r w:rsidR="003250D9">
        <w:t xml:space="preserve"> in the same final model</w:t>
      </w:r>
      <w:r>
        <w:t>, which is shown below:</w:t>
      </w:r>
    </w:p>
    <w:p w14:paraId="25E9ADD1" w14:textId="1FBC9475" w:rsidR="00514719" w:rsidRPr="00CF51D0" w:rsidRDefault="0025558A" w:rsidP="0025558A">
      <w:pPr>
        <w:jc w:val="center"/>
        <w:rPr>
          <w:sz w:val="20"/>
          <w:szCs w:val="20"/>
        </w:rPr>
      </w:pPr>
      <w:r w:rsidRPr="00CF51D0">
        <w:rPr>
          <w:sz w:val="18"/>
          <w:szCs w:val="18"/>
        </w:rPr>
        <w:lastRenderedPageBreak/>
        <w:t>Model &lt;- lm(BA ~ STJ + DLG + BATS + VOD + RTO + GVC + CPG + SPX + SSE + PRU + AHT + RB + MIN + RMV + Year + EXPN + TSCO + SDR + CCH + NMC + SMT + ANTO + TUI + LLOY + CNA + Month, data = lse)</w:t>
      </w:r>
    </w:p>
    <w:p w14:paraId="20AD2789" w14:textId="36C1D51E" w:rsidR="00B517DE" w:rsidRDefault="0064004B" w:rsidP="0064004B">
      <w:pPr>
        <w:pStyle w:val="Heading2"/>
      </w:pPr>
      <w:r>
        <w:t>Transformations</w:t>
      </w:r>
    </w:p>
    <w:p w14:paraId="4519A6C8" w14:textId="3CAE654E" w:rsidR="0064004B" w:rsidRDefault="00935BEF" w:rsidP="0064004B">
      <w:r>
        <w:t>In order to de</w:t>
      </w:r>
      <w:r w:rsidR="00DD7FA9">
        <w:t xml:space="preserve">termine if any transformations of the model would be necessary for it to meet all the regressions assumptions I began by plotting all of the residuals for each coefficient against the fitted values to see if they had a </w:t>
      </w:r>
      <w:r w:rsidR="002C24B2">
        <w:t>roughly even spread of residuals, as this would indicate</w:t>
      </w:r>
      <w:r w:rsidR="00AE6779">
        <w:t xml:space="preserve"> whether the error variance was constant or not. While some of the plots for individual variables were not evenly spread, a plot of residuals against fitted values for the overall model suggests that these uneven spreads seem to cancel out when </w:t>
      </w:r>
      <w:r w:rsidR="00261E9A">
        <w:t>combined</w:t>
      </w:r>
      <w:r w:rsidR="00F32A46">
        <w:t>:</w:t>
      </w:r>
    </w:p>
    <w:p w14:paraId="0AE48AD6" w14:textId="2073DBAF" w:rsidR="00F32A46" w:rsidRPr="0064004B" w:rsidRDefault="00F32A46" w:rsidP="00F32A46">
      <w:pPr>
        <w:jc w:val="center"/>
      </w:pPr>
      <w:r>
        <w:rPr>
          <w:noProof/>
        </w:rPr>
        <w:drawing>
          <wp:inline distT="0" distB="0" distL="0" distR="0" wp14:anchorId="17BF9634" wp14:editId="1EFB3127">
            <wp:extent cx="2811025" cy="1793240"/>
            <wp:effectExtent l="0" t="0" r="889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46500" cy="1815871"/>
                    </a:xfrm>
                    <a:prstGeom prst="rect">
                      <a:avLst/>
                    </a:prstGeom>
                  </pic:spPr>
                </pic:pic>
              </a:graphicData>
            </a:graphic>
          </wp:inline>
        </w:drawing>
      </w:r>
    </w:p>
    <w:p w14:paraId="26CEE2EE" w14:textId="0F514B01" w:rsidR="00D251CA" w:rsidRDefault="00D251CA" w:rsidP="00D27677">
      <w:r>
        <w:t xml:space="preserve">To test whether the errors were normally distributed I also plotted a Q-Q plot of </w:t>
      </w:r>
      <w:r w:rsidR="0029548A">
        <w:t>standardised residuals against the theoretical quantities:</w:t>
      </w:r>
    </w:p>
    <w:p w14:paraId="7623A1AB" w14:textId="13EB4CB2" w:rsidR="0029548A" w:rsidRDefault="0029548A" w:rsidP="0029548A">
      <w:pPr>
        <w:jc w:val="center"/>
      </w:pPr>
      <w:r>
        <w:rPr>
          <w:noProof/>
        </w:rPr>
        <w:drawing>
          <wp:inline distT="0" distB="0" distL="0" distR="0" wp14:anchorId="70EDF475" wp14:editId="3262D0A6">
            <wp:extent cx="2809875" cy="181005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826962" cy="1821064"/>
                    </a:xfrm>
                    <a:prstGeom prst="rect">
                      <a:avLst/>
                    </a:prstGeom>
                  </pic:spPr>
                </pic:pic>
              </a:graphicData>
            </a:graphic>
          </wp:inline>
        </w:drawing>
      </w:r>
    </w:p>
    <w:p w14:paraId="44E9FAB7" w14:textId="1FB56816" w:rsidR="0029548A" w:rsidRDefault="002A2B23" w:rsidP="002A2B23">
      <w:r>
        <w:t>The QQ plot suggests that the errors are either normally distributed with a few outliers, or that there is a slight left skew present. In order to check this a transformation of the data could be carried out and a new Q-Q plot produced afterwards to see if the issue has been resolved.</w:t>
      </w:r>
    </w:p>
    <w:p w14:paraId="74421746" w14:textId="50F56280" w:rsidR="00D27677" w:rsidRDefault="000D1A7B" w:rsidP="00D27677">
      <w:r>
        <w:t xml:space="preserve">As some of the </w:t>
      </w:r>
      <w:r w:rsidR="00D27677">
        <w:t xml:space="preserve">individual charts had some possibly non-random patterns visible it </w:t>
      </w:r>
      <w:r w:rsidR="00D251CA">
        <w:t>is possible that the errors aren’t completely independent. Hopefully this can be resolved in the same transformation needed to normalise the data.</w:t>
      </w:r>
      <w:r w:rsidR="00D27677">
        <w:t xml:space="preserve"> </w:t>
      </w:r>
    </w:p>
    <w:p w14:paraId="70D0A4F5" w14:textId="60232A04" w:rsidR="00DF2730" w:rsidRDefault="00DF2730" w:rsidP="00D27677">
      <w:r>
        <w:t xml:space="preserve">Due to the difficulty in trying to </w:t>
      </w:r>
      <w:r w:rsidR="00A239E0">
        <w:t>determine trends in the plots of BA against each variable in order to use Tukey’s Ladder of Transformation, I decided to begin by using the box</w:t>
      </w:r>
      <w:r w:rsidR="00AD7A50">
        <w:t>cox command to find the single most likely transformation to better fit the model.</w:t>
      </w:r>
    </w:p>
    <w:p w14:paraId="5C357839" w14:textId="640904B8" w:rsidR="00D27677" w:rsidRDefault="00D92C6E" w:rsidP="00D92C6E">
      <w:pPr>
        <w:jc w:val="center"/>
      </w:pPr>
      <w:r>
        <w:rPr>
          <w:noProof/>
        </w:rPr>
        <w:drawing>
          <wp:inline distT="0" distB="0" distL="0" distR="0" wp14:anchorId="4B7760B4" wp14:editId="246C2660">
            <wp:extent cx="1618837" cy="1296000"/>
            <wp:effectExtent l="0" t="0" r="63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618837" cy="1296000"/>
                    </a:xfrm>
                    <a:prstGeom prst="rect">
                      <a:avLst/>
                    </a:prstGeom>
                  </pic:spPr>
                </pic:pic>
              </a:graphicData>
            </a:graphic>
          </wp:inline>
        </w:drawing>
      </w:r>
    </w:p>
    <w:p w14:paraId="4906EA80" w14:textId="29236817" w:rsidR="00D92C6E" w:rsidRDefault="005C562D" w:rsidP="009A0F7A">
      <w:pPr>
        <w:jc w:val="center"/>
      </w:pPr>
      <w:r>
        <w:lastRenderedPageBreak/>
        <w:t xml:space="preserve">As </w:t>
      </w:r>
      <w:r w:rsidRPr="005C562D">
        <w:t xml:space="preserve">0.5 falls near the centre of the confidence interval </w:t>
      </w:r>
      <w:r>
        <w:t>this suggests a square root of the response will cause the data to fit better</w:t>
      </w:r>
      <w:r w:rsidRPr="005C562D">
        <w:t>.</w:t>
      </w:r>
      <w:r w:rsidR="00983625">
        <w:t xml:space="preserve"> After transforming </w:t>
      </w:r>
      <w:r w:rsidR="00BC478B">
        <w:t>the response (square root of BA) I replotted the QQ-plot to see if there was any difference before and after the transformation:</w:t>
      </w:r>
      <w:r w:rsidR="00BC478B">
        <w:br/>
      </w:r>
      <w:r w:rsidR="006F69E2">
        <w:rPr>
          <w:noProof/>
        </w:rPr>
        <w:drawing>
          <wp:inline distT="0" distB="0" distL="0" distR="0" wp14:anchorId="12F51D1E" wp14:editId="1E868184">
            <wp:extent cx="2808000" cy="1806965"/>
            <wp:effectExtent l="0" t="0" r="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808000" cy="1806965"/>
                    </a:xfrm>
                    <a:prstGeom prst="rect">
                      <a:avLst/>
                    </a:prstGeom>
                  </pic:spPr>
                </pic:pic>
              </a:graphicData>
            </a:graphic>
          </wp:inline>
        </w:drawing>
      </w:r>
    </w:p>
    <w:p w14:paraId="4E5D0A9A" w14:textId="5F9F71FF" w:rsidR="009A0F7A" w:rsidRDefault="009A0F7A" w:rsidP="009A0F7A">
      <w:r>
        <w:t xml:space="preserve">As this transformation seemed to have little to no effect on the QQ-plot tails I decided </w:t>
      </w:r>
      <w:r w:rsidR="00E47454">
        <w:t>to check for any other factors that might be interfering with the regression assumptions.</w:t>
      </w:r>
    </w:p>
    <w:p w14:paraId="02E523A0" w14:textId="450FDD57" w:rsidR="00E47454" w:rsidRDefault="00242A4D" w:rsidP="00242A4D">
      <w:pPr>
        <w:pStyle w:val="Heading2"/>
      </w:pPr>
      <w:r>
        <w:t>Multi</w:t>
      </w:r>
      <w:r w:rsidR="007121AE">
        <w:t>collinearity</w:t>
      </w:r>
    </w:p>
    <w:p w14:paraId="0CAB2003" w14:textId="2FF09736" w:rsidR="007121AE" w:rsidRDefault="002803C2" w:rsidP="007121AE">
      <w:r>
        <w:t xml:space="preserve">As there are a lot of variables still contained in the model </w:t>
      </w:r>
      <w:r w:rsidR="00826462">
        <w:t xml:space="preserve">I decided to check if any of them might be interfering with one another and therefore skewing </w:t>
      </w:r>
      <w:r w:rsidR="00041484">
        <w:t xml:space="preserve">any model outputs. To determine what variables might show </w:t>
      </w:r>
      <w:r w:rsidR="00400936">
        <w:t xml:space="preserve">significant correlation against one another I </w:t>
      </w:r>
      <w:r w:rsidR="00DE4C97">
        <w:t xml:space="preserve">created a correlation matrix for every variable in </w:t>
      </w:r>
      <w:r w:rsidR="00A2203D">
        <w:t xml:space="preserve">the current model and flagging any that had 80% or higher correlation </w:t>
      </w:r>
      <w:r w:rsidR="002C761B">
        <w:t>with another independent variable.</w:t>
      </w:r>
    </w:p>
    <w:p w14:paraId="3BE5CE08" w14:textId="0A78A8E9" w:rsidR="002C761B" w:rsidRDefault="00B04596" w:rsidP="007121AE">
      <w:r>
        <w:t>Unsurprisingly</w:t>
      </w:r>
      <w:r w:rsidR="002C761B">
        <w:t xml:space="preserve"> several variables had a correlation of over 80% with several even having correlation higher than 90%. The variables that showed high </w:t>
      </w:r>
      <w:r w:rsidR="00D02503">
        <w:t xml:space="preserve">correlation </w:t>
      </w:r>
      <w:r w:rsidR="00750650">
        <w:t>are;</w:t>
      </w:r>
      <w:r w:rsidR="00D02503">
        <w:t xml:space="preserve"> </w:t>
      </w:r>
      <w:r w:rsidR="00750650" w:rsidRPr="00750650">
        <w:t>VOD, GVC, SSE, AHT, MIN, CCH, NMC, SMT</w:t>
      </w:r>
      <w:r w:rsidR="00750650">
        <w:t>, EXPN, SSX and SDR.</w:t>
      </w:r>
      <w:r>
        <w:t xml:space="preserve"> While I initially tried to just remove the </w:t>
      </w:r>
      <w:r w:rsidR="00DC6AF9">
        <w:t xml:space="preserve">variables with the lowest correlation with BA, this had a minimal effect on the model and so I opted to </w:t>
      </w:r>
      <w:r w:rsidR="006231F3">
        <w:t xml:space="preserve">remove all the variables and </w:t>
      </w:r>
      <w:r w:rsidR="00E30B96">
        <w:t>then replot</w:t>
      </w:r>
      <w:r w:rsidR="00530D6E">
        <w:t xml:space="preserve"> the Residuals against Fitted  and Q-Q plots to see if there was any change:</w:t>
      </w:r>
    </w:p>
    <w:p w14:paraId="51F4B5B4" w14:textId="30EB24E2" w:rsidR="00530D6E" w:rsidRDefault="00702201" w:rsidP="00702201">
      <w:pPr>
        <w:jc w:val="center"/>
      </w:pPr>
      <w:r>
        <w:rPr>
          <w:noProof/>
        </w:rPr>
        <w:drawing>
          <wp:inline distT="0" distB="0" distL="0" distR="0" wp14:anchorId="0ADDFC53" wp14:editId="7A67BF1C">
            <wp:extent cx="2674620" cy="179959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675236" cy="1800004"/>
                    </a:xfrm>
                    <a:prstGeom prst="rect">
                      <a:avLst/>
                    </a:prstGeom>
                  </pic:spPr>
                </pic:pic>
              </a:graphicData>
            </a:graphic>
          </wp:inline>
        </w:drawing>
      </w:r>
      <w:r w:rsidR="00927EEB">
        <w:rPr>
          <w:noProof/>
        </w:rPr>
        <w:drawing>
          <wp:inline distT="0" distB="0" distL="0" distR="0" wp14:anchorId="5447394D" wp14:editId="5B350519">
            <wp:extent cx="2674620" cy="179959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675242" cy="1800009"/>
                    </a:xfrm>
                    <a:prstGeom prst="rect">
                      <a:avLst/>
                    </a:prstGeom>
                  </pic:spPr>
                </pic:pic>
              </a:graphicData>
            </a:graphic>
          </wp:inline>
        </w:drawing>
      </w:r>
    </w:p>
    <w:p w14:paraId="47F2C619" w14:textId="1D078A2C" w:rsidR="00702201" w:rsidRDefault="00702201" w:rsidP="00702201">
      <w:r>
        <w:t xml:space="preserve">As you can see, even before taking an additional transformation into account the Q-Q plot has produced an almost perfectly straight line, </w:t>
      </w:r>
      <w:r w:rsidR="00726453">
        <w:t xml:space="preserve">highlighting the dramatic effect the multicollinear variables had on the model. </w:t>
      </w:r>
      <w:r w:rsidR="007046A2">
        <w:t xml:space="preserve">To see if the model could be improved further </w:t>
      </w:r>
      <w:r w:rsidR="00E166EF">
        <w:t>still,</w:t>
      </w:r>
      <w:r w:rsidR="007046A2">
        <w:t xml:space="preserve"> I </w:t>
      </w:r>
      <w:r w:rsidR="006B6DC0">
        <w:t>created another boxcox chart:</w:t>
      </w:r>
    </w:p>
    <w:p w14:paraId="69E09A44" w14:textId="454C722E" w:rsidR="006B6DC0" w:rsidRDefault="006B6DC0" w:rsidP="00E166EF">
      <w:pPr>
        <w:jc w:val="center"/>
      </w:pPr>
      <w:r>
        <w:rPr>
          <w:noProof/>
        </w:rPr>
        <w:drawing>
          <wp:inline distT="0" distB="0" distL="0" distR="0" wp14:anchorId="451D0C5F" wp14:editId="68432C17">
            <wp:extent cx="1592580" cy="1295400"/>
            <wp:effectExtent l="0" t="0" r="762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593319" cy="1296001"/>
                    </a:xfrm>
                    <a:prstGeom prst="rect">
                      <a:avLst/>
                    </a:prstGeom>
                  </pic:spPr>
                </pic:pic>
              </a:graphicData>
            </a:graphic>
          </wp:inline>
        </w:drawing>
      </w:r>
    </w:p>
    <w:p w14:paraId="20C53165" w14:textId="3D4FD89F" w:rsidR="00E166EF" w:rsidRDefault="00D52596" w:rsidP="00E166EF">
      <w:r>
        <w:t>The chart has shifted now to suggest that a log transformation</w:t>
      </w:r>
      <w:r w:rsidR="00D458F8">
        <w:t xml:space="preserve"> of the response would produce a better model.</w:t>
      </w:r>
    </w:p>
    <w:p w14:paraId="659F8DD8" w14:textId="59073A23" w:rsidR="00750650" w:rsidRDefault="000322AC" w:rsidP="001641DF">
      <w:pPr>
        <w:jc w:val="center"/>
      </w:pPr>
      <w:r>
        <w:rPr>
          <w:noProof/>
        </w:rPr>
        <w:lastRenderedPageBreak/>
        <w:drawing>
          <wp:inline distT="0" distB="0" distL="0" distR="0" wp14:anchorId="58484019" wp14:editId="0604CF75">
            <wp:extent cx="2667000" cy="179959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667613" cy="1800004"/>
                    </a:xfrm>
                    <a:prstGeom prst="rect">
                      <a:avLst/>
                    </a:prstGeom>
                  </pic:spPr>
                </pic:pic>
              </a:graphicData>
            </a:graphic>
          </wp:inline>
        </w:drawing>
      </w:r>
    </w:p>
    <w:p w14:paraId="054E387F" w14:textId="4F03A838" w:rsidR="001641DF" w:rsidRDefault="001641DF" w:rsidP="001641DF">
      <w:r>
        <w:t xml:space="preserve">Producing the log model also changed the significance value of several of the variables to decrease, allowing for a </w:t>
      </w:r>
      <w:r w:rsidR="002C56BB">
        <w:t>‘</w:t>
      </w:r>
      <w:r>
        <w:t>final</w:t>
      </w:r>
      <w:r w:rsidR="002C56BB">
        <w:t>’</w:t>
      </w:r>
      <w:r>
        <w:t xml:space="preserve"> simplified model</w:t>
      </w:r>
      <w:r w:rsidR="00027DBB">
        <w:t>:</w:t>
      </w:r>
    </w:p>
    <w:p w14:paraId="6C8F14F8" w14:textId="30399793" w:rsidR="00027DBB" w:rsidRPr="00F73819" w:rsidRDefault="00DE2372" w:rsidP="00DE2372">
      <w:pPr>
        <w:jc w:val="center"/>
        <w:rPr>
          <w:sz w:val="20"/>
          <w:szCs w:val="20"/>
        </w:rPr>
      </w:pPr>
      <w:r w:rsidRPr="00F73819">
        <w:rPr>
          <w:sz w:val="18"/>
          <w:szCs w:val="18"/>
        </w:rPr>
        <w:t>log.mod &lt;- lm(log(BA) ~ STJ + DLG + BATS + RTO + CPG + PRU + RMV + TSCO + LLOY + CNA + Month, data = lse)</w:t>
      </w:r>
    </w:p>
    <w:p w14:paraId="5D9F45AB" w14:textId="4E8AAEB7" w:rsidR="00E73078" w:rsidRDefault="006B0032" w:rsidP="006B0032">
      <w:pPr>
        <w:pStyle w:val="Heading1"/>
      </w:pPr>
      <w:r>
        <w:t xml:space="preserve">Predictions and </w:t>
      </w:r>
      <w:r w:rsidR="00B12632">
        <w:t>Improvements</w:t>
      </w:r>
    </w:p>
    <w:p w14:paraId="20938A77" w14:textId="5D949ED8" w:rsidR="006B0032" w:rsidRDefault="006B0032" w:rsidP="006B0032">
      <w:r>
        <w:t xml:space="preserve">While I initially attempted to predict the closing prices using the model which </w:t>
      </w:r>
      <w:r w:rsidR="00F663C5">
        <w:t xml:space="preserve">still contained the multicollinearity </w:t>
      </w:r>
      <w:r w:rsidR="00B12632">
        <w:t xml:space="preserve">variables, this was only able to achieve a prediction with a </w:t>
      </w:r>
      <w:r w:rsidR="008D4CC5">
        <w:t>root mean square prediction error (RMSPE</w:t>
      </w:r>
      <w:r w:rsidR="00BE0D24">
        <w:t xml:space="preserve">) of </w:t>
      </w:r>
      <w:r w:rsidR="00BE0D24" w:rsidRPr="00BE0D24">
        <w:t>67.14</w:t>
      </w:r>
      <w:r w:rsidR="00BE0D24">
        <w:t xml:space="preserve">. </w:t>
      </w:r>
    </w:p>
    <w:p w14:paraId="299EA2CE" w14:textId="08FE07A5" w:rsidR="00BE0D24" w:rsidRDefault="00BE0D24" w:rsidP="006B0032">
      <w:r>
        <w:t xml:space="preserve">By removing the multicollinear models </w:t>
      </w:r>
      <w:r w:rsidR="002C56BB">
        <w:t xml:space="preserve">and taking the log transformation of the response, the </w:t>
      </w:r>
      <w:r w:rsidR="00761BE6">
        <w:t>‘</w:t>
      </w:r>
      <w:r w:rsidR="002C56BB">
        <w:t>final</w:t>
      </w:r>
      <w:r w:rsidR="00761BE6">
        <w:t>’</w:t>
      </w:r>
      <w:r w:rsidR="002C56BB">
        <w:t xml:space="preserve"> model was able to lower</w:t>
      </w:r>
      <w:r w:rsidR="008719B8">
        <w:t xml:space="preserve"> this value down to </w:t>
      </w:r>
      <w:r w:rsidR="000D69C7">
        <w:t xml:space="preserve">56.49. I was able to improve this further still by </w:t>
      </w:r>
      <w:r w:rsidR="00426A28">
        <w:t xml:space="preserve">taking plots of BA vs </w:t>
      </w:r>
      <w:r w:rsidR="008E46F2">
        <w:t xml:space="preserve">the independent variables to see if any of them would lend themselves to Tukey’s Ladder of Transformation. </w:t>
      </w:r>
      <w:r w:rsidR="00C42037">
        <w:t>Two values produced plots that suggested a transformation would be possible (</w:t>
      </w:r>
      <w:r w:rsidR="00306C03">
        <w:t>DLG and CPG) while a plot with Month revealed that there was no real trend between BA and Month:</w:t>
      </w:r>
    </w:p>
    <w:p w14:paraId="1477FB1E" w14:textId="2DF340E8" w:rsidR="00306C03" w:rsidRDefault="00306C03" w:rsidP="00306C03">
      <w:pPr>
        <w:jc w:val="center"/>
      </w:pPr>
      <w:r>
        <w:rPr>
          <w:noProof/>
        </w:rPr>
        <w:drawing>
          <wp:inline distT="0" distB="0" distL="0" distR="0" wp14:anchorId="465B9870" wp14:editId="41E5F4F5">
            <wp:extent cx="2248517" cy="18000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248517" cy="1800000"/>
                    </a:xfrm>
                    <a:prstGeom prst="rect">
                      <a:avLst/>
                    </a:prstGeom>
                  </pic:spPr>
                </pic:pic>
              </a:graphicData>
            </a:graphic>
          </wp:inline>
        </w:drawing>
      </w:r>
    </w:p>
    <w:p w14:paraId="680DDF51" w14:textId="359C145D" w:rsidR="00306C03" w:rsidRDefault="00306C03" w:rsidP="00306C03">
      <w:r>
        <w:t>In light of this I removed Month from the log model</w:t>
      </w:r>
      <w:r w:rsidR="00BB56DF">
        <w:t xml:space="preserve"> and carried out predictions using this model. This further reduced the RMSPE down to </w:t>
      </w:r>
      <w:r w:rsidR="00483F36" w:rsidRPr="00483F36">
        <w:t>52.08</w:t>
      </w:r>
      <w:r w:rsidR="00465B29">
        <w:t>, a significant improvement over the initial RMSPE.</w:t>
      </w:r>
      <w:r w:rsidR="00514688">
        <w:t xml:space="preserve"> Ultimately the transformations of DLG and CPG </w:t>
      </w:r>
      <w:r w:rsidR="001B6B1B">
        <w:t>actually resulted in a decreased model performance and so I neglected to remove them from the final model, shown below:</w:t>
      </w:r>
    </w:p>
    <w:p w14:paraId="3FC5F798" w14:textId="5E12E020" w:rsidR="001B6B1B" w:rsidRPr="00F73819" w:rsidRDefault="005750BA" w:rsidP="005750BA">
      <w:pPr>
        <w:jc w:val="center"/>
        <w:rPr>
          <w:sz w:val="20"/>
          <w:szCs w:val="20"/>
        </w:rPr>
      </w:pPr>
      <w:r w:rsidRPr="00F73819">
        <w:rPr>
          <w:sz w:val="18"/>
          <w:szCs w:val="18"/>
        </w:rPr>
        <w:t>final.mod &lt;- lm(log(BA) ~ STJ + DLG + BATS + RTO + CPG + PRU + RMV + TSCO + LLOY + CNA, data = lse)</w:t>
      </w:r>
    </w:p>
    <w:p w14:paraId="52FD5E21" w14:textId="7E28E049" w:rsidR="009E3872" w:rsidRDefault="000C59EA" w:rsidP="000C59EA">
      <w:pPr>
        <w:pStyle w:val="Heading2"/>
      </w:pPr>
      <w:r>
        <w:t>Further Improvements</w:t>
      </w:r>
    </w:p>
    <w:p w14:paraId="01313E5E" w14:textId="36945918" w:rsidR="000C59EA" w:rsidRDefault="000C59EA" w:rsidP="000C59EA">
      <w:r>
        <w:t xml:space="preserve">There were a few methods of potentially improving the model’s predictive power that I noticed while working on this project but neglected to implement due to either the amount of time required to add them or a lack of how to implement them. </w:t>
      </w:r>
      <w:r w:rsidR="006E1BAD">
        <w:t xml:space="preserve">If I were doing this project </w:t>
      </w:r>
      <w:r w:rsidR="00682C62">
        <w:t>again,</w:t>
      </w:r>
      <w:r w:rsidR="006E1BAD">
        <w:t xml:space="preserve"> I would attempt to factor the date into the model, either as a numerical factor or with a more complicated method as I believe this would have some </w:t>
      </w:r>
      <w:r w:rsidR="00164BD6">
        <w:t xml:space="preserve">impact on the closing prices. </w:t>
      </w:r>
      <w:r w:rsidR="00682C62">
        <w:t>Similarly,</w:t>
      </w:r>
      <w:r w:rsidR="00164BD6">
        <w:t xml:space="preserve"> I would’ve like to include the weekda</w:t>
      </w:r>
      <w:r w:rsidR="00573407">
        <w:t xml:space="preserve">ys as a </w:t>
      </w:r>
      <w:r w:rsidR="00562539">
        <w:t>dummy variable so I could see if the</w:t>
      </w:r>
      <w:r w:rsidR="00F73819">
        <w:t>re</w:t>
      </w:r>
      <w:r w:rsidR="00562539">
        <w:t xml:space="preserve"> was a relationship between the closing prices and specific days of the </w:t>
      </w:r>
      <w:r w:rsidR="00BA6AF8">
        <w:t>week.</w:t>
      </w:r>
    </w:p>
    <w:p w14:paraId="00754B5E" w14:textId="6646D0A3" w:rsidR="00087938" w:rsidRPr="000C59EA" w:rsidRDefault="00F73819" w:rsidP="000C59EA">
      <w:r>
        <w:t>Ultimately,</w:t>
      </w:r>
      <w:r w:rsidR="00FD5962">
        <w:t xml:space="preserve"> I think the choice of a linear regression </w:t>
      </w:r>
      <w:r w:rsidR="00A02FE0">
        <w:t>model is not the best</w:t>
      </w:r>
      <w:r w:rsidR="005C288C">
        <w:t xml:space="preserve"> method for predicting future stock prices, as all stocks in a market show some level of correlation with one another</w:t>
      </w:r>
      <w:r w:rsidR="0088664F">
        <w:t xml:space="preserve"> and they do not account for autocorrelation that </w:t>
      </w:r>
      <w:r w:rsidR="003C353B">
        <w:t>the BA closing prices show with the past BA closing prices.</w:t>
      </w:r>
    </w:p>
    <w:sectPr w:rsidR="00087938" w:rsidRPr="000C59EA" w:rsidSect="00E73078">
      <w:footerReference w:type="default" r:id="rId23"/>
      <w:footerReference w:type="first" r:id="rId24"/>
      <w:pgSz w:w="11906" w:h="16838"/>
      <w:pgMar w:top="720" w:right="720" w:bottom="720" w:left="72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ED7A60" w14:textId="77777777" w:rsidR="003A2A0E" w:rsidRDefault="003A2A0E" w:rsidP="00B3067D">
      <w:pPr>
        <w:spacing w:after="0" w:line="240" w:lineRule="auto"/>
      </w:pPr>
      <w:r>
        <w:separator/>
      </w:r>
    </w:p>
  </w:endnote>
  <w:endnote w:type="continuationSeparator" w:id="0">
    <w:p w14:paraId="652CB3DA" w14:textId="77777777" w:rsidR="003A2A0E" w:rsidRDefault="003A2A0E" w:rsidP="00B306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11976873"/>
      <w:docPartObj>
        <w:docPartGallery w:val="Page Numbers (Bottom of Page)"/>
        <w:docPartUnique/>
      </w:docPartObj>
    </w:sdtPr>
    <w:sdtEndPr>
      <w:rPr>
        <w:noProof/>
      </w:rPr>
    </w:sdtEndPr>
    <w:sdtContent>
      <w:p w14:paraId="5BA56CA0" w14:textId="18CD050B" w:rsidR="00E73078" w:rsidRDefault="00E7307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4DFCD0B" w14:textId="77777777" w:rsidR="00B3067D" w:rsidRDefault="00B3067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2477957"/>
      <w:docPartObj>
        <w:docPartGallery w:val="Page Numbers (Bottom of Page)"/>
        <w:docPartUnique/>
      </w:docPartObj>
    </w:sdtPr>
    <w:sdtEndPr>
      <w:rPr>
        <w:noProof/>
      </w:rPr>
    </w:sdtEndPr>
    <w:sdtContent>
      <w:p w14:paraId="532F2CF5" w14:textId="4EB81047" w:rsidR="00B3067D" w:rsidRDefault="00B3067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F4207B9" w14:textId="77777777" w:rsidR="00B3067D" w:rsidRDefault="00B3067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107EF2" w14:textId="77777777" w:rsidR="003A2A0E" w:rsidRDefault="003A2A0E" w:rsidP="00B3067D">
      <w:pPr>
        <w:spacing w:after="0" w:line="240" w:lineRule="auto"/>
      </w:pPr>
      <w:r>
        <w:separator/>
      </w:r>
    </w:p>
  </w:footnote>
  <w:footnote w:type="continuationSeparator" w:id="0">
    <w:p w14:paraId="0FD870DA" w14:textId="77777777" w:rsidR="003A2A0E" w:rsidRDefault="003A2A0E" w:rsidP="00B3067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4FDC"/>
    <w:rsid w:val="00027DBB"/>
    <w:rsid w:val="000322AC"/>
    <w:rsid w:val="00041484"/>
    <w:rsid w:val="00047EA6"/>
    <w:rsid w:val="000618E9"/>
    <w:rsid w:val="00083EBC"/>
    <w:rsid w:val="00087938"/>
    <w:rsid w:val="000A127A"/>
    <w:rsid w:val="000C59EA"/>
    <w:rsid w:val="000D1A7B"/>
    <w:rsid w:val="000D5166"/>
    <w:rsid w:val="000D69C7"/>
    <w:rsid w:val="000D69F8"/>
    <w:rsid w:val="001449A7"/>
    <w:rsid w:val="001641DF"/>
    <w:rsid w:val="00164BD6"/>
    <w:rsid w:val="00190F14"/>
    <w:rsid w:val="001924B1"/>
    <w:rsid w:val="001B6B1B"/>
    <w:rsid w:val="002023FE"/>
    <w:rsid w:val="00217621"/>
    <w:rsid w:val="00231B55"/>
    <w:rsid w:val="00242A4D"/>
    <w:rsid w:val="0025558A"/>
    <w:rsid w:val="00261E9A"/>
    <w:rsid w:val="002803C2"/>
    <w:rsid w:val="00285EBF"/>
    <w:rsid w:val="0029548A"/>
    <w:rsid w:val="002A2B23"/>
    <w:rsid w:val="002C0A37"/>
    <w:rsid w:val="002C24B2"/>
    <w:rsid w:val="002C56BB"/>
    <w:rsid w:val="002C761B"/>
    <w:rsid w:val="002F3D75"/>
    <w:rsid w:val="00302B79"/>
    <w:rsid w:val="00306C03"/>
    <w:rsid w:val="00322179"/>
    <w:rsid w:val="003250D9"/>
    <w:rsid w:val="00336EAD"/>
    <w:rsid w:val="0034145B"/>
    <w:rsid w:val="00344E99"/>
    <w:rsid w:val="003638FC"/>
    <w:rsid w:val="003751C6"/>
    <w:rsid w:val="00392942"/>
    <w:rsid w:val="00393DF7"/>
    <w:rsid w:val="003959D5"/>
    <w:rsid w:val="003A2A0E"/>
    <w:rsid w:val="003A68D1"/>
    <w:rsid w:val="003C353B"/>
    <w:rsid w:val="00400936"/>
    <w:rsid w:val="00400947"/>
    <w:rsid w:val="00405856"/>
    <w:rsid w:val="00415D35"/>
    <w:rsid w:val="00426A28"/>
    <w:rsid w:val="00452546"/>
    <w:rsid w:val="00457449"/>
    <w:rsid w:val="00465B29"/>
    <w:rsid w:val="00483F36"/>
    <w:rsid w:val="004919BA"/>
    <w:rsid w:val="00491BD5"/>
    <w:rsid w:val="004964E3"/>
    <w:rsid w:val="004C1544"/>
    <w:rsid w:val="004C43DE"/>
    <w:rsid w:val="004E0E4F"/>
    <w:rsid w:val="004F1422"/>
    <w:rsid w:val="00514688"/>
    <w:rsid w:val="00514719"/>
    <w:rsid w:val="0051793E"/>
    <w:rsid w:val="00530D6E"/>
    <w:rsid w:val="00562409"/>
    <w:rsid w:val="00562539"/>
    <w:rsid w:val="00573407"/>
    <w:rsid w:val="005750BA"/>
    <w:rsid w:val="005B2352"/>
    <w:rsid w:val="005B2B96"/>
    <w:rsid w:val="005C288C"/>
    <w:rsid w:val="005C562D"/>
    <w:rsid w:val="005D090E"/>
    <w:rsid w:val="005D2B0D"/>
    <w:rsid w:val="005E00A8"/>
    <w:rsid w:val="006231F3"/>
    <w:rsid w:val="0064004B"/>
    <w:rsid w:val="00643A87"/>
    <w:rsid w:val="00645F16"/>
    <w:rsid w:val="00663FFE"/>
    <w:rsid w:val="00682C62"/>
    <w:rsid w:val="006B0032"/>
    <w:rsid w:val="006B462D"/>
    <w:rsid w:val="006B6DC0"/>
    <w:rsid w:val="006C29A6"/>
    <w:rsid w:val="006E1BAD"/>
    <w:rsid w:val="006F69E2"/>
    <w:rsid w:val="00702201"/>
    <w:rsid w:val="007046A2"/>
    <w:rsid w:val="007121AE"/>
    <w:rsid w:val="00717CE0"/>
    <w:rsid w:val="0072326B"/>
    <w:rsid w:val="00726453"/>
    <w:rsid w:val="00750650"/>
    <w:rsid w:val="007534E8"/>
    <w:rsid w:val="00761BE6"/>
    <w:rsid w:val="007F0155"/>
    <w:rsid w:val="008067E0"/>
    <w:rsid w:val="00826462"/>
    <w:rsid w:val="00842814"/>
    <w:rsid w:val="0085238A"/>
    <w:rsid w:val="008719B8"/>
    <w:rsid w:val="0088664F"/>
    <w:rsid w:val="0089076D"/>
    <w:rsid w:val="008919A6"/>
    <w:rsid w:val="008D4CC5"/>
    <w:rsid w:val="008E46F2"/>
    <w:rsid w:val="00912028"/>
    <w:rsid w:val="00920E48"/>
    <w:rsid w:val="00927EEB"/>
    <w:rsid w:val="0093358B"/>
    <w:rsid w:val="00935BEF"/>
    <w:rsid w:val="0094512D"/>
    <w:rsid w:val="00946221"/>
    <w:rsid w:val="00983625"/>
    <w:rsid w:val="009915B9"/>
    <w:rsid w:val="009977BD"/>
    <w:rsid w:val="009A0F7A"/>
    <w:rsid w:val="009E3872"/>
    <w:rsid w:val="009F724C"/>
    <w:rsid w:val="00A02253"/>
    <w:rsid w:val="00A02FE0"/>
    <w:rsid w:val="00A2203D"/>
    <w:rsid w:val="00A239E0"/>
    <w:rsid w:val="00A42230"/>
    <w:rsid w:val="00A51EBF"/>
    <w:rsid w:val="00A65770"/>
    <w:rsid w:val="00AA12B0"/>
    <w:rsid w:val="00AD7A50"/>
    <w:rsid w:val="00AE6779"/>
    <w:rsid w:val="00AF0645"/>
    <w:rsid w:val="00B04596"/>
    <w:rsid w:val="00B12632"/>
    <w:rsid w:val="00B3067D"/>
    <w:rsid w:val="00B33CFA"/>
    <w:rsid w:val="00B517DE"/>
    <w:rsid w:val="00B63A06"/>
    <w:rsid w:val="00B90443"/>
    <w:rsid w:val="00B927D3"/>
    <w:rsid w:val="00BA6A11"/>
    <w:rsid w:val="00BA6AF8"/>
    <w:rsid w:val="00BB56DF"/>
    <w:rsid w:val="00BC478B"/>
    <w:rsid w:val="00BE0D24"/>
    <w:rsid w:val="00BE1C90"/>
    <w:rsid w:val="00BF163A"/>
    <w:rsid w:val="00C00CA5"/>
    <w:rsid w:val="00C42037"/>
    <w:rsid w:val="00C549BE"/>
    <w:rsid w:val="00C56503"/>
    <w:rsid w:val="00C850A0"/>
    <w:rsid w:val="00C95732"/>
    <w:rsid w:val="00CA45A7"/>
    <w:rsid w:val="00CF3391"/>
    <w:rsid w:val="00CF51D0"/>
    <w:rsid w:val="00D02503"/>
    <w:rsid w:val="00D251CA"/>
    <w:rsid w:val="00D27677"/>
    <w:rsid w:val="00D458F8"/>
    <w:rsid w:val="00D52596"/>
    <w:rsid w:val="00D92C6E"/>
    <w:rsid w:val="00DC4B69"/>
    <w:rsid w:val="00DC6AF9"/>
    <w:rsid w:val="00DD7FA9"/>
    <w:rsid w:val="00DE2372"/>
    <w:rsid w:val="00DE4C97"/>
    <w:rsid w:val="00DE7276"/>
    <w:rsid w:val="00DF2730"/>
    <w:rsid w:val="00DF4264"/>
    <w:rsid w:val="00E15389"/>
    <w:rsid w:val="00E166EF"/>
    <w:rsid w:val="00E30B96"/>
    <w:rsid w:val="00E312B6"/>
    <w:rsid w:val="00E47454"/>
    <w:rsid w:val="00E73078"/>
    <w:rsid w:val="00E77442"/>
    <w:rsid w:val="00E77851"/>
    <w:rsid w:val="00E833AF"/>
    <w:rsid w:val="00E92EA0"/>
    <w:rsid w:val="00E955AB"/>
    <w:rsid w:val="00EA6709"/>
    <w:rsid w:val="00EC6F24"/>
    <w:rsid w:val="00EF2011"/>
    <w:rsid w:val="00F14F9F"/>
    <w:rsid w:val="00F2014D"/>
    <w:rsid w:val="00F32A46"/>
    <w:rsid w:val="00F41A0F"/>
    <w:rsid w:val="00F663C5"/>
    <w:rsid w:val="00F6740A"/>
    <w:rsid w:val="00F72368"/>
    <w:rsid w:val="00F73819"/>
    <w:rsid w:val="00FA4FDC"/>
    <w:rsid w:val="00FD5962"/>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AECCE8"/>
  <w15:chartTrackingRefBased/>
  <w15:docId w15:val="{94A2E590-CF14-4CFB-9662-3BFB2D6DCB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A4FD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A6A1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41A0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A4FDC"/>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FA4FDC"/>
    <w:rPr>
      <w:rFonts w:eastAsiaTheme="minorEastAsia"/>
      <w:lang w:val="en-US"/>
    </w:rPr>
  </w:style>
  <w:style w:type="character" w:customStyle="1" w:styleId="Heading1Char">
    <w:name w:val="Heading 1 Char"/>
    <w:basedOn w:val="DefaultParagraphFont"/>
    <w:link w:val="Heading1"/>
    <w:uiPriority w:val="9"/>
    <w:rsid w:val="00FA4FDC"/>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083E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BA6A11"/>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B3067D"/>
    <w:pPr>
      <w:tabs>
        <w:tab w:val="center" w:pos="4513"/>
        <w:tab w:val="right" w:pos="9026"/>
      </w:tabs>
      <w:spacing w:after="0" w:line="240" w:lineRule="auto"/>
    </w:pPr>
  </w:style>
  <w:style w:type="character" w:customStyle="1" w:styleId="HeaderChar">
    <w:name w:val="Header Char"/>
    <w:basedOn w:val="DefaultParagraphFont"/>
    <w:link w:val="Header"/>
    <w:uiPriority w:val="99"/>
    <w:rsid w:val="00B3067D"/>
  </w:style>
  <w:style w:type="paragraph" w:styleId="Footer">
    <w:name w:val="footer"/>
    <w:basedOn w:val="Normal"/>
    <w:link w:val="FooterChar"/>
    <w:uiPriority w:val="99"/>
    <w:unhideWhenUsed/>
    <w:rsid w:val="00B3067D"/>
    <w:pPr>
      <w:tabs>
        <w:tab w:val="center" w:pos="4513"/>
        <w:tab w:val="right" w:pos="9026"/>
      </w:tabs>
      <w:spacing w:after="0" w:line="240" w:lineRule="auto"/>
    </w:pPr>
  </w:style>
  <w:style w:type="character" w:customStyle="1" w:styleId="FooterChar">
    <w:name w:val="Footer Char"/>
    <w:basedOn w:val="DefaultParagraphFont"/>
    <w:link w:val="Footer"/>
    <w:uiPriority w:val="99"/>
    <w:rsid w:val="00B3067D"/>
  </w:style>
  <w:style w:type="character" w:styleId="PlaceholderText">
    <w:name w:val="Placeholder Text"/>
    <w:basedOn w:val="DefaultParagraphFont"/>
    <w:uiPriority w:val="99"/>
    <w:semiHidden/>
    <w:rsid w:val="00336EAD"/>
    <w:rPr>
      <w:color w:val="808080"/>
    </w:rPr>
  </w:style>
  <w:style w:type="character" w:customStyle="1" w:styleId="Heading3Char">
    <w:name w:val="Heading 3 Char"/>
    <w:basedOn w:val="DefaultParagraphFont"/>
    <w:link w:val="Heading3"/>
    <w:uiPriority w:val="9"/>
    <w:rsid w:val="00F41A0F"/>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4019081">
      <w:bodyDiv w:val="1"/>
      <w:marLeft w:val="0"/>
      <w:marRight w:val="0"/>
      <w:marTop w:val="0"/>
      <w:marBottom w:val="0"/>
      <w:divBdr>
        <w:top w:val="none" w:sz="0" w:space="0" w:color="auto"/>
        <w:left w:val="none" w:sz="0" w:space="0" w:color="auto"/>
        <w:bottom w:val="none" w:sz="0" w:space="0" w:color="auto"/>
        <w:right w:val="none" w:sz="0" w:space="0" w:color="auto"/>
      </w:divBdr>
      <w:divsChild>
        <w:div w:id="2033608365">
          <w:marLeft w:val="0"/>
          <w:marRight w:val="0"/>
          <w:marTop w:val="0"/>
          <w:marBottom w:val="0"/>
          <w:divBdr>
            <w:top w:val="none" w:sz="0" w:space="0" w:color="auto"/>
            <w:left w:val="none" w:sz="0" w:space="0" w:color="auto"/>
            <w:bottom w:val="none" w:sz="0" w:space="0" w:color="auto"/>
            <w:right w:val="none" w:sz="0" w:space="0" w:color="auto"/>
          </w:divBdr>
          <w:divsChild>
            <w:div w:id="166528874">
              <w:marLeft w:val="0"/>
              <w:marRight w:val="0"/>
              <w:marTop w:val="0"/>
              <w:marBottom w:val="0"/>
              <w:divBdr>
                <w:top w:val="none" w:sz="0" w:space="0" w:color="auto"/>
                <w:left w:val="none" w:sz="0" w:space="0" w:color="auto"/>
                <w:bottom w:val="none" w:sz="0" w:space="0" w:color="auto"/>
                <w:right w:val="none" w:sz="0" w:space="0" w:color="auto"/>
              </w:divBdr>
              <w:divsChild>
                <w:div w:id="70809080">
                  <w:marLeft w:val="0"/>
                  <w:marRight w:val="150"/>
                  <w:marTop w:val="0"/>
                  <w:marBottom w:val="0"/>
                  <w:divBdr>
                    <w:top w:val="none" w:sz="0" w:space="0" w:color="auto"/>
                    <w:left w:val="none" w:sz="0" w:space="0" w:color="auto"/>
                    <w:bottom w:val="none" w:sz="0" w:space="0" w:color="auto"/>
                    <w:right w:val="none" w:sz="0" w:space="0" w:color="auto"/>
                  </w:divBdr>
                  <w:divsChild>
                    <w:div w:id="225071343">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2665954">
      <w:bodyDiv w:val="1"/>
      <w:marLeft w:val="0"/>
      <w:marRight w:val="0"/>
      <w:marTop w:val="0"/>
      <w:marBottom w:val="0"/>
      <w:divBdr>
        <w:top w:val="none" w:sz="0" w:space="0" w:color="auto"/>
        <w:left w:val="none" w:sz="0" w:space="0" w:color="auto"/>
        <w:bottom w:val="none" w:sz="0" w:space="0" w:color="auto"/>
        <w:right w:val="none" w:sz="0" w:space="0" w:color="auto"/>
      </w:divBdr>
    </w:div>
    <w:div w:id="1537548225">
      <w:bodyDiv w:val="1"/>
      <w:marLeft w:val="0"/>
      <w:marRight w:val="0"/>
      <w:marTop w:val="0"/>
      <w:marBottom w:val="0"/>
      <w:divBdr>
        <w:top w:val="none" w:sz="0" w:space="0" w:color="auto"/>
        <w:left w:val="none" w:sz="0" w:space="0" w:color="auto"/>
        <w:bottom w:val="none" w:sz="0" w:space="0" w:color="auto"/>
        <w:right w:val="none" w:sz="0" w:space="0" w:color="auto"/>
      </w:divBdr>
      <w:divsChild>
        <w:div w:id="1193346951">
          <w:marLeft w:val="0"/>
          <w:marRight w:val="0"/>
          <w:marTop w:val="0"/>
          <w:marBottom w:val="0"/>
          <w:divBdr>
            <w:top w:val="none" w:sz="0" w:space="0" w:color="auto"/>
            <w:left w:val="none" w:sz="0" w:space="0" w:color="auto"/>
            <w:bottom w:val="none" w:sz="0" w:space="0" w:color="auto"/>
            <w:right w:val="none" w:sz="0" w:space="0" w:color="auto"/>
          </w:divBdr>
          <w:divsChild>
            <w:div w:id="1842550360">
              <w:marLeft w:val="0"/>
              <w:marRight w:val="0"/>
              <w:marTop w:val="0"/>
              <w:marBottom w:val="0"/>
              <w:divBdr>
                <w:top w:val="none" w:sz="0" w:space="0" w:color="auto"/>
                <w:left w:val="none" w:sz="0" w:space="0" w:color="auto"/>
                <w:bottom w:val="none" w:sz="0" w:space="0" w:color="auto"/>
                <w:right w:val="none" w:sz="0" w:space="0" w:color="auto"/>
              </w:divBdr>
              <w:divsChild>
                <w:div w:id="571164675">
                  <w:marLeft w:val="0"/>
                  <w:marRight w:val="150"/>
                  <w:marTop w:val="0"/>
                  <w:marBottom w:val="0"/>
                  <w:divBdr>
                    <w:top w:val="none" w:sz="0" w:space="0" w:color="auto"/>
                    <w:left w:val="none" w:sz="0" w:space="0" w:color="auto"/>
                    <w:bottom w:val="none" w:sz="0" w:space="0" w:color="auto"/>
                    <w:right w:val="none" w:sz="0" w:space="0" w:color="auto"/>
                  </w:divBdr>
                  <w:divsChild>
                    <w:div w:id="1437598377">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8070412">
      <w:bodyDiv w:val="1"/>
      <w:marLeft w:val="0"/>
      <w:marRight w:val="0"/>
      <w:marTop w:val="0"/>
      <w:marBottom w:val="0"/>
      <w:divBdr>
        <w:top w:val="none" w:sz="0" w:space="0" w:color="auto"/>
        <w:left w:val="none" w:sz="0" w:space="0" w:color="auto"/>
        <w:bottom w:val="none" w:sz="0" w:space="0" w:color="auto"/>
        <w:right w:val="none" w:sz="0" w:space="0" w:color="auto"/>
      </w:divBdr>
      <w:divsChild>
        <w:div w:id="1778014240">
          <w:marLeft w:val="0"/>
          <w:marRight w:val="0"/>
          <w:marTop w:val="0"/>
          <w:marBottom w:val="0"/>
          <w:divBdr>
            <w:top w:val="none" w:sz="0" w:space="0" w:color="auto"/>
            <w:left w:val="none" w:sz="0" w:space="0" w:color="auto"/>
            <w:bottom w:val="none" w:sz="0" w:space="0" w:color="auto"/>
            <w:right w:val="none" w:sz="0" w:space="0" w:color="auto"/>
          </w:divBdr>
          <w:divsChild>
            <w:div w:id="1636636686">
              <w:marLeft w:val="0"/>
              <w:marRight w:val="0"/>
              <w:marTop w:val="0"/>
              <w:marBottom w:val="0"/>
              <w:divBdr>
                <w:top w:val="none" w:sz="0" w:space="0" w:color="auto"/>
                <w:left w:val="none" w:sz="0" w:space="0" w:color="auto"/>
                <w:bottom w:val="none" w:sz="0" w:space="0" w:color="auto"/>
                <w:right w:val="none" w:sz="0" w:space="0" w:color="auto"/>
              </w:divBdr>
              <w:divsChild>
                <w:div w:id="465783502">
                  <w:marLeft w:val="0"/>
                  <w:marRight w:val="150"/>
                  <w:marTop w:val="0"/>
                  <w:marBottom w:val="0"/>
                  <w:divBdr>
                    <w:top w:val="none" w:sz="0" w:space="0" w:color="auto"/>
                    <w:left w:val="none" w:sz="0" w:space="0" w:color="auto"/>
                    <w:bottom w:val="none" w:sz="0" w:space="0" w:color="auto"/>
                    <w:right w:val="none" w:sz="0" w:space="0" w:color="auto"/>
                  </w:divBdr>
                  <w:divsChild>
                    <w:div w:id="617685842">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64355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CF591C7BBE6364388D56F3509BE9E9B" ma:contentTypeVersion="11" ma:contentTypeDescription="Create a new document." ma:contentTypeScope="" ma:versionID="7bf6faa93d099d38e562807a04e2de67">
  <xsd:schema xmlns:xsd="http://www.w3.org/2001/XMLSchema" xmlns:xs="http://www.w3.org/2001/XMLSchema" xmlns:p="http://schemas.microsoft.com/office/2006/metadata/properties" xmlns:ns3="6b2746c7-83b5-48bb-b4fe-7e7dfd6c66ba" xmlns:ns4="79ab5c89-4b5d-4fd3-b2ab-71c8e521f05c" targetNamespace="http://schemas.microsoft.com/office/2006/metadata/properties" ma:root="true" ma:fieldsID="973487166e84c9c344ad851b7777812e" ns3:_="" ns4:_="">
    <xsd:import namespace="6b2746c7-83b5-48bb-b4fe-7e7dfd6c66ba"/>
    <xsd:import namespace="79ab5c89-4b5d-4fd3-b2ab-71c8e521f05c"/>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AutoTags" minOccurs="0"/>
                <xsd:element ref="ns3:MediaServiceGenerationTime" minOccurs="0"/>
                <xsd:element ref="ns3:MediaServiceEventHashCode"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b2746c7-83b5-48bb-b4fe-7e7dfd6c66b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79ab5c89-4b5d-4fd3-b2ab-71c8e521f05c"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7FB01D3-C2C9-4415-AB11-DDFAF93595A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b2746c7-83b5-48bb-b4fe-7e7dfd6c66ba"/>
    <ds:schemaRef ds:uri="79ab5c89-4b5d-4fd3-b2ab-71c8e521f05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6067D2A-48FF-4D2B-BF61-3FAFCF8D7A59}">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000C89B6-54FD-4FA7-B436-E35D8ADBB07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7</Pages>
  <Words>2048</Words>
  <Characters>11680</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Modelling BAE Systems Stock Prices based on the London Stock Exchange</vt:lpstr>
    </vt:vector>
  </TitlesOfParts>
  <Company/>
  <LinksUpToDate>false</LinksUpToDate>
  <CharactersWithSpaces>13701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Modelling BAE Systems Stock Prices based on Data from the London Stock Exchange</dc:title>
  <dc:subject>MM916 Regression Modelling Project</dc:subject>
  <dc:creator>Elijah Reid</dc:creator>
  <cp:keywords/>
  <dc:description/>
  <cp:lastModifiedBy>Elijah Reid</cp:lastModifiedBy>
  <cp:revision>3</cp:revision>
  <dcterms:created xsi:type="dcterms:W3CDTF">2020-12-02T22:46:00Z</dcterms:created>
  <dcterms:modified xsi:type="dcterms:W3CDTF">2020-12-02T22:48:00Z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0x0101007CF591C7BBE6364388D56F3509BE9E9B</vt:lpwstr>
  </property>
</Properties>
</file>