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5B48" w14:textId="77777777" w:rsidR="007C73C9" w:rsidRDefault="00CB70C1" w:rsidP="00D82D8D">
      <w:pPr>
        <w:spacing w:line="360" w:lineRule="auto"/>
        <w:jc w:val="center"/>
        <w:rPr>
          <w:rFonts w:ascii="Times New Roman" w:hAnsi="Times New Roman" w:cs="Times New Roman"/>
          <w:i/>
          <w:iCs/>
          <w:sz w:val="22"/>
          <w:szCs w:val="22"/>
          <w:lang w:val="es-MX"/>
        </w:rPr>
      </w:pPr>
      <w:r w:rsidRPr="00220586">
        <w:rPr>
          <w:rFonts w:ascii="Times New Roman" w:hAnsi="Times New Roman" w:cs="Times New Roman"/>
          <w:b/>
          <w:bCs/>
          <w:sz w:val="28"/>
          <w:szCs w:val="28"/>
          <w:lang w:val="es-MX"/>
        </w:rPr>
        <w:t>Agencia oscura en entornos de baja institucionalidad: innovación intraemprendedora y transgresión normativa en organizaciones de servicios</w:t>
      </w:r>
      <w:r w:rsidRPr="00220586">
        <w:rPr>
          <w:rFonts w:ascii="Times New Roman" w:hAnsi="Times New Roman" w:cs="Times New Roman"/>
          <w:sz w:val="22"/>
          <w:szCs w:val="22"/>
          <w:lang w:val="es-MX"/>
        </w:rPr>
        <w:br/>
      </w:r>
      <w:r w:rsidRPr="00220586">
        <w:rPr>
          <w:rFonts w:ascii="Times New Roman" w:hAnsi="Times New Roman" w:cs="Times New Roman"/>
          <w:i/>
          <w:iCs/>
          <w:sz w:val="28"/>
          <w:szCs w:val="28"/>
          <w:lang w:val="es-MX"/>
        </w:rPr>
        <w:t>Dark Agency in Institutional Voids: Intrapreneurial Innovation and Bureaucratic Rule-Breaking in Service Organizations</w:t>
      </w:r>
    </w:p>
    <w:p w14:paraId="5671FD7F" w14:textId="3BDFBD09" w:rsidR="00CB70C1" w:rsidRPr="00220586" w:rsidRDefault="00CB70C1" w:rsidP="00D82D8D">
      <w:pPr>
        <w:spacing w:line="360" w:lineRule="auto"/>
        <w:jc w:val="center"/>
        <w:rPr>
          <w:rFonts w:ascii="Times New Roman" w:hAnsi="Times New Roman" w:cs="Times New Roman"/>
          <w:i/>
          <w:iCs/>
          <w:sz w:val="22"/>
          <w:szCs w:val="22"/>
          <w:lang w:val="es-MX"/>
        </w:rPr>
      </w:pPr>
      <w:r w:rsidRPr="00220586">
        <w:rPr>
          <w:rFonts w:ascii="Times New Roman" w:hAnsi="Times New Roman" w:cs="Times New Roman"/>
          <w:i/>
          <w:iCs/>
          <w:sz w:val="22"/>
          <w:szCs w:val="22"/>
          <w:lang w:val="es-MX"/>
        </w:rPr>
        <w:t>Jame</w:t>
      </w:r>
      <w:r w:rsidR="004F4216" w:rsidRPr="00220586">
        <w:rPr>
          <w:rFonts w:ascii="Times New Roman" w:hAnsi="Times New Roman" w:cs="Times New Roman"/>
          <w:i/>
          <w:iCs/>
          <w:sz w:val="22"/>
          <w:szCs w:val="22"/>
          <w:lang w:val="es-MX"/>
        </w:rPr>
        <w:t>s</w:t>
      </w:r>
      <w:r w:rsidR="00D82D8D" w:rsidRPr="00220586">
        <w:rPr>
          <w:rStyle w:val="Refdenotaalpie"/>
          <w:rFonts w:ascii="Times New Roman" w:hAnsi="Times New Roman" w:cs="Times New Roman"/>
          <w:i/>
          <w:iCs/>
          <w:sz w:val="22"/>
          <w:szCs w:val="22"/>
          <w:lang w:val="es-MX"/>
        </w:rPr>
        <w:footnoteReference w:id="1"/>
      </w:r>
    </w:p>
    <w:p w14:paraId="6E16D6E3" w14:textId="77777777" w:rsidR="00CB70C1" w:rsidRPr="00220586" w:rsidRDefault="00CB70C1" w:rsidP="00D82D8D">
      <w:pPr>
        <w:spacing w:line="360" w:lineRule="auto"/>
        <w:jc w:val="center"/>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Resumen</w:t>
      </w:r>
    </w:p>
    <w:p w14:paraId="03FF630C" w14:textId="60AD6B32" w:rsidR="00CD4EB2" w:rsidRPr="00220586" w:rsidRDefault="00CD4EB2" w:rsidP="00277456">
      <w:pPr>
        <w:spacing w:line="360" w:lineRule="auto"/>
        <w:ind w:left="340" w:right="340"/>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Propósito:</w:t>
      </w:r>
      <w:r w:rsidRPr="00220586">
        <w:rPr>
          <w:rFonts w:ascii="Times New Roman" w:hAnsi="Times New Roman" w:cs="Times New Roman"/>
          <w:sz w:val="22"/>
          <w:szCs w:val="22"/>
          <w:lang w:val="es-MX"/>
        </w:rPr>
        <w:t xml:space="preserve"> La literatura sobre el “lado oscuro” del emprendimiento tiende a confundir la malevolencia con la ambición estratégica. Este estudio examina si el componente residual de agencia oscura, una vez separado del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dentro de la Tétrada Oscura, se asocia con el comportamiento intraemprendedor (EIB) y la transgresión normativa instrumental en un contexto de vacíos institucionales.</w:t>
      </w:r>
    </w:p>
    <w:p w14:paraId="77877B67" w14:textId="518147B4" w:rsidR="00CD4EB2" w:rsidRPr="00220586" w:rsidRDefault="00CD4EB2" w:rsidP="00277456">
      <w:pPr>
        <w:spacing w:line="360" w:lineRule="auto"/>
        <w:ind w:left="340" w:right="340"/>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Diseño/metodología:</w:t>
      </w:r>
      <w:r w:rsidRPr="00220586">
        <w:rPr>
          <w:rFonts w:ascii="Times New Roman" w:hAnsi="Times New Roman" w:cs="Times New Roman"/>
          <w:sz w:val="22"/>
          <w:szCs w:val="22"/>
          <w:lang w:val="es-MX"/>
        </w:rPr>
        <w:t xml:space="preserve"> Se emplea un diseño transversal con una muestra proyectada de </w:t>
      </w:r>
      <m:oMath>
        <m:r>
          <w:rPr>
            <w:rFonts w:ascii="Cambria Math" w:hAnsi="Cambria Math" w:cs="Times New Roman"/>
            <w:sz w:val="22"/>
            <w:szCs w:val="22"/>
            <w:lang w:val="es-MX"/>
          </w:rPr>
          <m:t>N≥500</m:t>
        </m:r>
      </m:oMath>
      <w:r w:rsidRPr="00220586">
        <w:rPr>
          <w:rFonts w:ascii="Times New Roman" w:hAnsi="Times New Roman" w:cs="Times New Roman"/>
          <w:sz w:val="22"/>
          <w:szCs w:val="22"/>
          <w:lang w:val="es-MX"/>
        </w:rPr>
        <w:t xml:space="preserve"> trabajadores del sector servicios en Perú. Se estima un modelo de medida Bifactor S-1 sobre la escala SD4 para aislar la varianza atribuible a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al factor específico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Posteriormente, se analizará un modelo de mediación moderada, interpretado como configuración disposicional concurrente, en el que la vigilancia estratégica del entorno actúa como mecanismo explicativo, condicionado por la percepción de política organizacional (POPS) y el capital psicológico (PsyCap).</w:t>
      </w:r>
    </w:p>
    <w:p w14:paraId="23961987" w14:textId="3F26EAD1" w:rsidR="00CD4EB2" w:rsidRPr="00220586" w:rsidRDefault="00CD4EB2" w:rsidP="00277456">
      <w:pPr>
        <w:spacing w:line="360" w:lineRule="auto"/>
        <w:ind w:left="340" w:right="340"/>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Hallazgos esperados:</w:t>
      </w:r>
      <w:r w:rsidRPr="00220586">
        <w:rPr>
          <w:rFonts w:ascii="Times New Roman" w:hAnsi="Times New Roman" w:cs="Times New Roman"/>
          <w:sz w:val="22"/>
          <w:szCs w:val="22"/>
          <w:lang w:val="es-MX"/>
        </w:rPr>
        <w:t xml:space="preserve"> Se prevé que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muestre una asociación incremental positiva con el comportamiento intraemprendedor y con las conductas contraproducentes organizacionales de tipo burocrático (CWB-O), mientras que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se asociará principalmente con conductas contraproducentes interpersonales (CWB-I) y con menores niveles de intraemprendimiento (Paulhus &amp; Williams, 2002; Moshagen et al., 2018; Pletzer, 2021). Asimismo, se anticipa que la vigilancia estratégica del entorno medie estas asociaciones, en términos de configuración disposicional concurrente, y que la POPS y el PsyCap faciliten, bajo ciertas condiciones, la expresión funcional de la agencia oscura (Hochwarter et al., 2003; Tang, 2020; Berisha et al., 2025; Gojny-Zbierowska, 2024).</w:t>
      </w:r>
    </w:p>
    <w:p w14:paraId="0D7DE1C9" w14:textId="080E1FB2" w:rsidR="00CB70C1" w:rsidRPr="00220586" w:rsidRDefault="00CD4EB2" w:rsidP="00277456">
      <w:pPr>
        <w:spacing w:line="360" w:lineRule="auto"/>
        <w:ind w:left="340" w:right="340"/>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lastRenderedPageBreak/>
        <w:t>Originalidad/valor:</w:t>
      </w:r>
      <w:r w:rsidRPr="00220586">
        <w:rPr>
          <w:rFonts w:ascii="Times New Roman" w:hAnsi="Times New Roman" w:cs="Times New Roman"/>
          <w:sz w:val="22"/>
          <w:szCs w:val="22"/>
          <w:lang w:val="es-MX"/>
        </w:rPr>
        <w:t xml:space="preserve"> El estudio aborda explícitamente el problema de “contaminación de varianza” en la investigación de rasgos oscuros (Moshagen et al., 2018; Zettler et al., 2021) y propone el perfil de “desviación constructiva orientada al logro”, sugiriendo que determinados rasgos aversivos, depurados de su núcleo abiertamente antagónico, pueden ser funcionales para la innovación en entornos informales y burocráticos, aunque sigan siendo ambivalentes en términos normativos (Malisetty &amp; Kumari, 2018; Jordan et al., 2021).</w:t>
      </w:r>
    </w:p>
    <w:p w14:paraId="2422A7F3" w14:textId="77777777" w:rsidR="00CD4EB2" w:rsidRPr="00220586" w:rsidRDefault="00CD4EB2" w:rsidP="00277456">
      <w:pPr>
        <w:spacing w:line="360" w:lineRule="auto"/>
        <w:ind w:left="340" w:right="340"/>
        <w:jc w:val="center"/>
        <w:rPr>
          <w:rFonts w:ascii="Times New Roman" w:hAnsi="Times New Roman" w:cs="Times New Roman"/>
          <w:sz w:val="22"/>
          <w:szCs w:val="22"/>
          <w:lang w:val="en-GB"/>
        </w:rPr>
      </w:pPr>
      <w:r w:rsidRPr="00220586">
        <w:rPr>
          <w:rFonts w:ascii="Times New Roman" w:hAnsi="Times New Roman" w:cs="Times New Roman"/>
          <w:b/>
          <w:bCs/>
          <w:sz w:val="22"/>
          <w:szCs w:val="22"/>
          <w:lang w:val="en-GB"/>
        </w:rPr>
        <w:t>Abstract</w:t>
      </w:r>
    </w:p>
    <w:p w14:paraId="6091EA8B" w14:textId="351B2622" w:rsidR="00CD4EB2" w:rsidRPr="00220586" w:rsidRDefault="00CD4EB2" w:rsidP="00277456">
      <w:pPr>
        <w:spacing w:line="360" w:lineRule="auto"/>
        <w:ind w:left="340" w:right="340"/>
        <w:jc w:val="both"/>
        <w:rPr>
          <w:rFonts w:ascii="Times New Roman" w:hAnsi="Times New Roman" w:cs="Times New Roman"/>
          <w:sz w:val="22"/>
          <w:szCs w:val="22"/>
          <w:lang w:val="en-GB"/>
        </w:rPr>
      </w:pPr>
      <w:r w:rsidRPr="00220586">
        <w:rPr>
          <w:rFonts w:ascii="Times New Roman" w:hAnsi="Times New Roman" w:cs="Times New Roman"/>
          <w:b/>
          <w:bCs/>
          <w:sz w:val="22"/>
          <w:szCs w:val="22"/>
          <w:lang w:val="en-GB"/>
        </w:rPr>
        <w:t>Purpose:</w:t>
      </w:r>
      <w:r w:rsidRPr="00220586">
        <w:rPr>
          <w:rFonts w:ascii="Times New Roman" w:hAnsi="Times New Roman" w:cs="Times New Roman"/>
          <w:sz w:val="22"/>
          <w:szCs w:val="22"/>
          <w:lang w:val="en-GB"/>
        </w:rPr>
        <w:t xml:space="preserve"> Research on the “dark side” of entrepreneurship often conflates malevolence with strategic ambition. This study examines whether the residual Dark Agency component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Agency</m:t>
            </m:r>
          </m:sub>
        </m:sSub>
      </m:oMath>
      <w:r w:rsidRPr="00220586">
        <w:rPr>
          <w:rFonts w:ascii="Times New Roman" w:hAnsi="Times New Roman" w:cs="Times New Roman"/>
          <w:sz w:val="22"/>
          <w:szCs w:val="22"/>
          <w:lang w:val="en-GB"/>
        </w:rPr>
        <w:t>), once separated from the General Antagonistic Factor (</w:t>
      </w:r>
      <m:oMath>
        <m:r>
          <w:rPr>
            <w:rFonts w:ascii="Cambria Math" w:hAnsi="Cambria Math" w:cs="Times New Roman"/>
            <w:sz w:val="22"/>
            <w:szCs w:val="22"/>
            <w:lang w:val="en-GB"/>
          </w:rPr>
          <m:t>G</m:t>
        </m:r>
      </m:oMath>
      <w:r w:rsidRPr="00220586">
        <w:rPr>
          <w:rFonts w:ascii="Times New Roman" w:hAnsi="Times New Roman" w:cs="Times New Roman"/>
          <w:sz w:val="22"/>
          <w:szCs w:val="22"/>
          <w:lang w:val="en-GB"/>
        </w:rPr>
        <w:t>) within the Dark Tetrad, is associated with employee intrapreneurial behavior (EIB) and instrumental norm-breaking in a context of institutional voids (Baumol, 1990; Webb et al., 2013).</w:t>
      </w:r>
    </w:p>
    <w:p w14:paraId="58DFCB75" w14:textId="3B33E9BD" w:rsidR="00CD4EB2" w:rsidRPr="00220586" w:rsidRDefault="00CD4EB2" w:rsidP="00277456">
      <w:pPr>
        <w:spacing w:line="360" w:lineRule="auto"/>
        <w:ind w:left="340" w:right="340"/>
        <w:jc w:val="both"/>
        <w:rPr>
          <w:rFonts w:ascii="Times New Roman" w:hAnsi="Times New Roman" w:cs="Times New Roman"/>
          <w:sz w:val="22"/>
          <w:szCs w:val="22"/>
          <w:lang w:val="en-GB"/>
        </w:rPr>
      </w:pPr>
      <w:r w:rsidRPr="00220586">
        <w:rPr>
          <w:rFonts w:ascii="Times New Roman" w:hAnsi="Times New Roman" w:cs="Times New Roman"/>
          <w:b/>
          <w:bCs/>
          <w:sz w:val="22"/>
          <w:szCs w:val="22"/>
          <w:lang w:val="en-GB"/>
        </w:rPr>
        <w:t>Design/Methodology:</w:t>
      </w:r>
      <w:r w:rsidRPr="00220586">
        <w:rPr>
          <w:rFonts w:ascii="Times New Roman" w:hAnsi="Times New Roman" w:cs="Times New Roman"/>
          <w:sz w:val="22"/>
          <w:szCs w:val="22"/>
          <w:lang w:val="en-GB"/>
        </w:rPr>
        <w:t xml:space="preserve"> A cross-sectional design will be employed with </w:t>
      </w:r>
      <m:oMath>
        <m:r>
          <w:rPr>
            <w:rFonts w:ascii="Cambria Math" w:hAnsi="Cambria Math" w:cs="Times New Roman"/>
            <w:sz w:val="22"/>
            <w:szCs w:val="22"/>
            <w:lang w:val="en-GB"/>
          </w:rPr>
          <m:t>N≥500</m:t>
        </m:r>
      </m:oMath>
      <w:r w:rsidRPr="00220586">
        <w:rPr>
          <w:rFonts w:ascii="Times New Roman" w:hAnsi="Times New Roman" w:cs="Times New Roman"/>
          <w:sz w:val="22"/>
          <w:szCs w:val="22"/>
          <w:lang w:val="en-GB"/>
        </w:rPr>
        <w:t xml:space="preserve"> service-sector employees in Peru. A Bifactor S-1 measurement model will be estimated on the SD4 scale to isolate the variance of </w:t>
      </w:r>
      <m:oMath>
        <m:r>
          <w:rPr>
            <w:rFonts w:ascii="Cambria Math" w:hAnsi="Cambria Math" w:cs="Times New Roman"/>
            <w:sz w:val="22"/>
            <w:szCs w:val="22"/>
            <w:lang w:val="en-GB"/>
          </w:rPr>
          <m:t>G</m:t>
        </m:r>
      </m:oMath>
      <w:r w:rsidRPr="00220586">
        <w:rPr>
          <w:rFonts w:ascii="Times New Roman" w:hAnsi="Times New Roman" w:cs="Times New Roman"/>
          <w:sz w:val="22"/>
          <w:szCs w:val="22"/>
          <w:lang w:val="en-GB"/>
        </w:rPr>
        <w:t xml:space="preserve"> and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Agency</m:t>
            </m:r>
          </m:sub>
        </m:sSub>
      </m:oMath>
      <w:r w:rsidRPr="00220586">
        <w:rPr>
          <w:rFonts w:ascii="Times New Roman" w:hAnsi="Times New Roman" w:cs="Times New Roman"/>
          <w:sz w:val="22"/>
          <w:szCs w:val="22"/>
          <w:lang w:val="en-GB"/>
        </w:rPr>
        <w:t xml:space="preserve"> (Eid et al., 2017; Paulhus et al., 2021). A moderated mediation model, interpreted as a dispositional concurrent configuration, will be tested in which Strategic Environmental Scanning functions as the explanatory mechanism, conditioned by Perceived Organizational Politics and Psychological Capital (Ashford &amp; Black, 1996; Tang et al., 2012; Hochwarter et al., 2003; Luthans et al., 2007).</w:t>
      </w:r>
    </w:p>
    <w:p w14:paraId="1C8D361A" w14:textId="4DB6B150" w:rsidR="00CD4EB2" w:rsidRPr="00220586" w:rsidRDefault="00CD4EB2" w:rsidP="00277456">
      <w:pPr>
        <w:spacing w:line="360" w:lineRule="auto"/>
        <w:ind w:left="340" w:right="340"/>
        <w:jc w:val="both"/>
        <w:rPr>
          <w:rFonts w:ascii="Times New Roman" w:hAnsi="Times New Roman" w:cs="Times New Roman"/>
          <w:sz w:val="22"/>
          <w:szCs w:val="22"/>
          <w:lang w:val="en-GB"/>
        </w:rPr>
      </w:pPr>
      <w:r w:rsidRPr="00220586">
        <w:rPr>
          <w:rFonts w:ascii="Times New Roman" w:hAnsi="Times New Roman" w:cs="Times New Roman"/>
          <w:b/>
          <w:bCs/>
          <w:sz w:val="22"/>
          <w:szCs w:val="22"/>
          <w:lang w:val="en-GB"/>
        </w:rPr>
        <w:t>Expected Findings:</w:t>
      </w:r>
      <w:r w:rsidRPr="00220586">
        <w:rPr>
          <w:rFonts w:ascii="Times New Roman" w:hAnsi="Times New Roman" w:cs="Times New Roman"/>
          <w:sz w:val="22"/>
          <w:szCs w:val="22"/>
          <w:lang w:val="en-GB"/>
        </w:rPr>
        <w:t xml:space="preserv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Agency</m:t>
            </m:r>
          </m:sub>
        </m:sSub>
      </m:oMath>
      <w:r w:rsidRPr="00220586">
        <w:rPr>
          <w:rFonts w:ascii="Times New Roman" w:hAnsi="Times New Roman" w:cs="Times New Roman"/>
          <w:sz w:val="22"/>
          <w:szCs w:val="22"/>
          <w:lang w:val="en-GB"/>
        </w:rPr>
        <w:t xml:space="preserve"> is expected to show a positive incremental association with EIB and organizational counterproductive work behaviors (CWB-O), whereas G will predominantly relate to interpersonal counterproductive work behaviours (CWB-I) and lower levels of EIB (Moshagen et al., 2018; Zettler et al., 2021; Pletzer, 2021). Strategic environmental scanning is also expected to mediate this pattern, being activated by the perception of a politicized environment, while POPS and PsyCap may help channel dark agency toward achievement-oriented constructive deviance rather than purely destructive outcomes (Dang-Van et al., 2022; Tang, 2020; Berisha et al., 2025).</w:t>
      </w:r>
    </w:p>
    <w:p w14:paraId="1D68B413" w14:textId="3B30EEAB" w:rsidR="00CB70C1" w:rsidRPr="00220586" w:rsidRDefault="00CD4EB2" w:rsidP="00277456">
      <w:pPr>
        <w:spacing w:line="360" w:lineRule="auto"/>
        <w:ind w:left="340" w:right="340"/>
        <w:jc w:val="both"/>
        <w:rPr>
          <w:rFonts w:ascii="Times New Roman" w:hAnsi="Times New Roman" w:cs="Times New Roman"/>
          <w:sz w:val="22"/>
          <w:szCs w:val="22"/>
          <w:lang w:val="en-GB"/>
        </w:rPr>
      </w:pPr>
      <w:r w:rsidRPr="00220586">
        <w:rPr>
          <w:rFonts w:ascii="Times New Roman" w:hAnsi="Times New Roman" w:cs="Times New Roman"/>
          <w:b/>
          <w:bCs/>
          <w:sz w:val="22"/>
          <w:szCs w:val="22"/>
          <w:lang w:val="en-GB"/>
        </w:rPr>
        <w:t>Originality/Value:</w:t>
      </w:r>
      <w:r w:rsidRPr="00220586">
        <w:rPr>
          <w:rFonts w:ascii="Times New Roman" w:hAnsi="Times New Roman" w:cs="Times New Roman"/>
          <w:sz w:val="22"/>
          <w:szCs w:val="22"/>
          <w:lang w:val="en-GB"/>
        </w:rPr>
        <w:t xml:space="preserve"> The study addresses “variance contamination” issues in dark trait research (Moshagen et al., 2018) and advances the profile of achievement-oriented constructive deviance, suggesting that certain aversive traits, once their general antagonistic core is partialled out, may be functionally adaptive for innovation in informal and bureaucratic settings (Malisetty &amp; Kumari, 2018; Jordan et al., 2021).</w:t>
      </w:r>
    </w:p>
    <w:p w14:paraId="54D10B34" w14:textId="77777777" w:rsidR="00CB70C1" w:rsidRPr="00220586" w:rsidRDefault="00CB70C1"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lastRenderedPageBreak/>
        <w:t>CAPÍTULO 1. PLANTEAMIENTO DEL PROBLEMA</w:t>
      </w:r>
    </w:p>
    <w:p w14:paraId="72A79C9C" w14:textId="77777777" w:rsidR="00CB70C1" w:rsidRPr="00220586" w:rsidRDefault="00CB70C1"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1.1. Vacíos institucionales, informalidad y naturaleza discrecional de la innovación</w:t>
      </w:r>
    </w:p>
    <w:p w14:paraId="26273981"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teoría clásica de la asignación del emprendimiento sostiene que el talento emprendedor no es intrínsecamente “bueno” o “malo”, sino que su orientación productiva, improductiva o abiertamente destructiva depende de la estructura de incentivos que proveen las instituciones de una economía (Baumol, 1990). En contextos con instituciones formales relativamente sólidas, los marcos regulatorios, los sistemas judiciales y los mecanismos de protección de derechos de propiedad tienden a alinear la actividad innovadora con resultados productivos y socialmente deseables, porque reducen la rentabilidad esperada de estrategias depredadoras y de captura de rentas puramente especulativas.</w:t>
      </w:r>
    </w:p>
    <w:p w14:paraId="49D5D3E4"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contraste, en economías emergentes caracterizadas por vacíos institucionales —regulación inefectiva, burocracia opaca, altos niveles de informalidad y cumplimiento selectivo de las normas— la relación entre emprendimiento e innovación es menos lineal (Webb et al., 2013; Welter &amp; Smallbone, 2011). La literatura latinoamericana de economía política ha insistido en que estas configuraciones no son anomalías coyunturales, sino expresiones persistentes de heterogeneidad estructural: coexistencia de segmentos modernos, altamente integrados a mercados globales, con amplias franjas de empleo precario, baja productividad y débil protección institucional (Pinto, 1970; Jiménez, 2010). En el caso peruano, la estructura productiva se ha descrito como una economía “dual y fragmentada”, donde una parte del aparato moderno convive con un vasto “mundo del trabajo marginal” en el que predominan relaciones laborales informales, ingresos inestables y escasa cobertura de derechos (Cavero, 2017; Jiménez, 2010).</w:t>
      </w:r>
    </w:p>
    <w:p w14:paraId="2B2EBD5A"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estos entornos, la existencia de “zonas grises” normativas facilita la emergencia de estrategias empresariales que combinan creación de valor con prácticas que eluden, reinterpretan o tensan los marcos formales, especialmente en segmentos intensivos en servicios donde la supervisión es más ambigua y la presión por resultados es inmediata (Webb et al., 2013). Como señalan los análisis de heterogeneidad productiva aplicados al Perú, la informalidad no es simplemente una “falla” a corregir, sino un modo de funcionamiento estable que articula mercados de trabajo, estructuras empresariales y políticas públicas de manera desigual, generando circuitos donde la frontera entre lo formal y lo informal es porosa y negociada (Cavero, 2017; Jiménez, 2010).</w:t>
      </w:r>
    </w:p>
    <w:p w14:paraId="3B22F246"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 literatura sobre informalidad muestra que, cuando los marcos formales son costosos, poco confiables o percibidos como injustos, los actores recurren a arreglos informales para reducir incertidumbre y capturar oportunidades (Webb et al., 2009; Webb et al., 2013; Welter &amp; Smallbone, 2011). Desde una perspectiva más reciente, estos entornos se entienden menos como “vacíos” y más </w:t>
      </w:r>
      <w:r w:rsidRPr="00220586">
        <w:rPr>
          <w:rFonts w:ascii="Times New Roman" w:hAnsi="Times New Roman" w:cs="Times New Roman"/>
          <w:sz w:val="22"/>
          <w:szCs w:val="22"/>
          <w:lang w:val="es-MX"/>
        </w:rPr>
        <w:lastRenderedPageBreak/>
        <w:t>como contextos de alta complejidad institucional, donde coexisten demandas normativas conflictivas y opacas (Luo, 2022). En el caso peruano, esta complejidad se expresa en la superposición de reglas formales, prácticas administrativas discrecionales y normas informales localmente arraigadas, en un contexto de elevada desigualdad y persistente exclusión social (Jiménez, 2010; Cavero, 2017).</w:t>
      </w:r>
    </w:p>
    <w:p w14:paraId="46B53355"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Psicológicamente, esta complejidad se experimenta como presión cotidiana para navegar la ambigüedad mediante redes de influencia y astucia política, de modo que los vacíos institucionales actúan como catalizadores de estrategias adaptativas que, aunque desviadas en términos formales, resultan funcionales para reducir la incertidumbre y capturar oportunidades (Luo, 2022). Desde los lentes de la economía política, esto equivale a decir que las mismas fallas estructurales que sostienen la informalidad también generan un campo de juego donde la capacidad de moverse en esas zonas grises —leyendo reglas implícitas, negociando con autoridades, acomodando normas según la coyuntura— se convierte en un recurso diferencial de poder y de agencia.</w:t>
      </w:r>
    </w:p>
    <w:p w14:paraId="307F1DCB"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ese sentido, la Percepción de Política Organizacional (POPS) se concibe como un correlato psicológico coherente con, y probablemente más frecuente en, contextos de baja institucionalidad percibida: cuando las reglas del juego macro son difusas o se aplican de forma desigual, los individuos tienden a interpretar el entorno organizacional como altamente politizado, donde las decisiones dependen menos de criterios meritocráticos y más de coaliciones, lealtades y negociación informal (Hochwarter et al., 2003; Webb et al., 2013). En este estudio, la baja institucionalidad se asume como marco contextual interpretativo y su dimensión subjetiva proximal se operacionaliza empíricamente mediante la POPS.</w:t>
      </w:r>
    </w:p>
    <w:p w14:paraId="17A6CD64"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Más allá de la argumentación clásica sobre vacíos institucionales, la evidencia reciente en contextos latinoamericanos sugiere que la combinación entre baja institucionalidad y reglas ambiguas no solo afecta la tasa de emprendimiento, sino también el tipo de perfiles psicológicos que encuentran tracción en ese entorno. Estudios con muestras latinas han mostrado que los rasgos de la Tríada/Tétrada Oscura se vinculan con la intención de emprender y con formas específicas de emprendimiento naciente, indicando que el “lado oscuro” puede traducirse en estrategias de aprovechamiento de asimetrías institucionales y redes informales más que en destrucción abierta del orden económico (Afshar Jahanshahi et al., 2025).</w:t>
      </w:r>
    </w:p>
    <w:p w14:paraId="7522243B" w14:textId="7A006870"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otras palabras, los mismos vacíos institucionales que generan riesgo y precariedad también amplifican el valor instrumental de la frialdad estratégica, la tolerancia al conflicto y la disposición a reinterpretar creativamente las normas, rasgos que —en este estudio— se conceptualizan como expresión de Agencia Oscura en organizaciones de servicios peruanas</w:t>
      </w:r>
      <w:r w:rsidR="00220586" w:rsidRPr="00220586">
        <w:rPr>
          <w:rFonts w:ascii="Times New Roman" w:hAnsi="Times New Roman" w:cs="Times New Roman"/>
          <w:sz w:val="22"/>
          <w:szCs w:val="22"/>
          <w:lang w:val="es-MX"/>
        </w:rPr>
        <w:t xml:space="preserve">. En esta tesis, el “vacío </w:t>
      </w:r>
      <w:r w:rsidR="00220586" w:rsidRPr="00220586">
        <w:rPr>
          <w:rFonts w:ascii="Times New Roman" w:hAnsi="Times New Roman" w:cs="Times New Roman"/>
          <w:sz w:val="22"/>
          <w:szCs w:val="22"/>
          <w:lang w:val="es-MX"/>
        </w:rPr>
        <w:lastRenderedPageBreak/>
        <w:t>institucional” peruano no se entiende, por tanto, como un simple desorden difuso, sino como un ecosistema social particular donde la retención estratégica de información y la venganza diferida funcionan como mecanismos ordinarios de coordinación y castigo. La evidencia de análisis de redes en muestras peruanas sugiere que los contenidos vinculados con guardar información para usarla más adelante y esperar el momento adecuado para vengarse ocupan posiciones centrales en la arquitectura de la Tétrada Oscura, indicando que el control del tiempo, del acceso a datos sensibles y de las represalias simbólicas constituye un recurso clave de poder. En un entorno así, la Agencia Oscura no opera solo como “maldad” idiosincrática, sino como repertorio adaptativo para navegar instituciones fragmentadas, donde leer correctamente qué regla es letra muerta, qué norma sí se sanciona y qué alianzas ofrecen protección política se vuelve una condición de posibilidad para innovar y sostener proyectos intraemprendedores.</w:t>
      </w:r>
    </w:p>
    <w:p w14:paraId="39D4E066"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este escenario, la innovación corporativa deja de ser un resultado predecible de procesos organizacionales estandarizados y pasa a depender en mayor medida de la agencia individual discrecional. Mantener comportamientos intraemprendedores (Employee Intrapreneurship Behavior, EIB) —es decir, comportamiento de exploración, generación e implementación de ideas nuevas dentro de la organización (Gawke et al., 2019)— exige perfiles psicológicos capaces de tolerar ambigüedad, gestionar conflictos y operar estratégicamente en entornos de reglas inestables.</w:t>
      </w:r>
    </w:p>
    <w:p w14:paraId="36B1715D"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literatura tradicional de comportamiento organizacional ha tendido a privilegiar rasgos “luminosos” (e.g., consciencia, apertura, proactividad) como predictores de innovación y desempeño (Rauch &amp; Frese, 2007). Sin embargo, el auge de la investigación sobre la Tétrada Oscura (narcisismo, maquiavelismo, psicopatía y sadismo) sugiere que ciertos rasgos con connotaciones aversivas podrían, bajo condiciones específicas, asociarse también con resultados funcionales, aunque potencialmente acompañados de costos sociales o normativos (Moshagen et al., 2018; Paulhus &amp; Williams, 2002; Zettler et al., 2021). En contextos de baja institucionalidad, este “lado oscuro” podría no ser solo un problema, sino también una fuente de tracción para sostener innovación de alto riesgo y alta exposición.</w:t>
      </w:r>
    </w:p>
    <w:p w14:paraId="5056BB20" w14:textId="77777777" w:rsidR="00F83F5C"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Esta problemática se ha vuelto más evidente en el contexto postpandemia, donde la inseguridad laboral, la angustia psicológica y la presión por resultados han incrementado tanto la necesidad de innovar como el riesgo de conductas desviadas (Dang-Van et al., 2022). La evidencia reciente sugiere que, en entornos de crisis y recursos restringidos, la sostenibilidad del esfuerzo intraemprendedor depende en buena medida de la capacidad de los trabajadores para movilizar recursos psicológicos positivos, como el PsyCap, que amortigüen el impacto de la incertidumbre y permitan reconfigurar oportunidades (Tang, 2020; Milosevic et al., 2017). En este sentido, analizar cómo la Agencia Oscura </w:t>
      </w:r>
      <w:r w:rsidRPr="00220586">
        <w:rPr>
          <w:rFonts w:ascii="Times New Roman" w:hAnsi="Times New Roman" w:cs="Times New Roman"/>
          <w:sz w:val="22"/>
          <w:szCs w:val="22"/>
          <w:lang w:val="es-MX"/>
        </w:rPr>
        <w:lastRenderedPageBreak/>
        <w:t>interactúa con el PsyCap para inclinar la balanza hacia la desviación constructiva más que hacia la destrucción normativa ofrece un aporte sustantivo a la comprensión de la adaptación organizacional en entornos hostiles (Berisha et al., 2025; Gojny-Zbierowska, 2024).</w:t>
      </w:r>
    </w:p>
    <w:p w14:paraId="0FECCB07" w14:textId="6720C014" w:rsidR="00220586" w:rsidRPr="00220586" w:rsidRDefault="00220586"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Esta lectura no pretende romantizar la transgresión ni normalizar la corrupción, sino explicitar el tipo de riesgo epistémico que se asume al estudiar el lado oscuro en contextos periféricos. Tratar toda forma de desviación como patología moral supone el peligro de producir falsos negativos sistemáticos: pasar por alto configuraciones de rasgos aversivos que, en entornos de baja institucionalidad, cumplen funciones organizacionales de supervivencia. Separar empíricamente la malevolencia general del componente agéntico residual implica, en cambio, aceptar un riesgo controlado de falsos positivos —atribuir funcionalidad a perfiles potencialmente problemáticos— a cambio de mapear con mayor precisión cómo se sostienen la innovación y la adaptación en estructuras institucionales incompletas. La tesis adopta deliberadamente este posicionamiento: describe mecanismos funcionales posibles sin prescribir normativamente que deban ser promovidos.</w:t>
      </w:r>
    </w:p>
    <w:p w14:paraId="63DDC073"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1.2. Problema de investigación: contaminación de varianza y sesgo de resultado único</w:t>
      </w:r>
    </w:p>
    <w:p w14:paraId="4D2CD59E"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investigación sobre la Tétrada Oscura ha conceptualizado tradicionalmente estos rasgos como predictores homogéneamente negativos asociados con agresión, explotación y daño interpersonal (Paulhus &amp; Williams, 2002; Moshagen et al., 2018). No obstante, varios metaanálisis y trabajos recientes indican que:</w:t>
      </w:r>
    </w:p>
    <w:p w14:paraId="4C0BE012" w14:textId="4B593C75" w:rsidR="00733157" w:rsidRPr="00220586" w:rsidRDefault="00733157" w:rsidP="00B979A7">
      <w:pPr>
        <w:spacing w:line="360" w:lineRule="auto"/>
        <w:ind w:left="708"/>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Existe un núcleo común oscuro o Factor General Antagónico (G), conceptualizado como la tendencia a maximizar la propia utilidad aceptando o incluso provocando </w:t>
      </w:r>
      <w:r w:rsidR="00F83F5C" w:rsidRPr="00220586">
        <w:rPr>
          <w:rFonts w:ascii="Times New Roman" w:hAnsi="Times New Roman" w:cs="Times New Roman"/>
          <w:sz w:val="22"/>
          <w:szCs w:val="22"/>
          <w:lang w:val="es-MX"/>
        </w:rPr>
        <w:t>perjuicio</w:t>
      </w:r>
      <w:r w:rsidRPr="00220586">
        <w:rPr>
          <w:rFonts w:ascii="Times New Roman" w:hAnsi="Times New Roman" w:cs="Times New Roman"/>
          <w:sz w:val="22"/>
          <w:szCs w:val="22"/>
          <w:lang w:val="es-MX"/>
        </w:rPr>
        <w:t xml:space="preserve"> para otros, apoyada en creencias justificadoras (Moshagen et al., 2018; Zettler et al., 2021). Evidencia reciente a gran escala sugiere que este núcleo puede descomponerse en un conjunto restringido de temas funcionales —insensibilidad, engaño, derecho narcisista, sadismo y venganza— que capturan la esencia compartida de los distintos rasgos oscuros (Bader et al., 2021). Asimismo, se ha mostrado que este componente central compite con los rasgos específicos por la varianza explicada y suele emerger como el predictor más robusto de conductas socialmente aversivas, lo que indica que muchos efectos atribuidos a rasgos particulares podrían ser, en realidad, manifestaciones de este antagonismo general (Vize et al., 2020; Hilbig et al., 2021).</w:t>
      </w:r>
    </w:p>
    <w:p w14:paraId="7E9FEBED"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Sobre este núcleo común se superponen componentes específicos de cada rasgo (e.g., grandiosidad narcisista, cálculo maquiavélico), con posibles implicancias diferenciales para el desempeño y la innovación (Miller, 2015; Brownell et al., 2021).</w:t>
      </w:r>
    </w:p>
    <w:p w14:paraId="582AD7AF"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Dos limitaciones metodológicas han impedido clarificar el rol funcional de esta agencia oscura en contextos organizacionales complejos:</w:t>
      </w:r>
    </w:p>
    <w:p w14:paraId="7EA146B0" w14:textId="2B76C437" w:rsidR="00733157"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Contaminación de varianza:</w:t>
      </w:r>
      <w:r w:rsidRPr="00220586">
        <w:rPr>
          <w:rFonts w:ascii="Times New Roman" w:hAnsi="Times New Roman" w:cs="Times New Roman"/>
          <w:sz w:val="22"/>
          <w:szCs w:val="22"/>
          <w:lang w:val="es-MX"/>
        </w:rPr>
        <w:t xml:space="preserve"> la mayoría de estudios utiliza sumas o promedios de escalas de Tétrada/Tríada, sin separar 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de los componentes agénticos más instrumentales. Dada la alta colinealidad entre los rasgos, es probable que la varianza asociada al núcleo malévolo enmascare cualquier contribución positiva de rasgos más estratégicos (Moshagen et al., 2018; Schreiber &amp; Marcus, 2020).</w:t>
      </w:r>
    </w:p>
    <w:p w14:paraId="3F836B59" w14:textId="44BE8BC6" w:rsidR="00220586" w:rsidRPr="00220586" w:rsidRDefault="00220586"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Por ello, cuando en esta investigación se habla de “Agencia Oscura” residual no se está rebautizando como “oscura” una combinación de rasgos luminosos (e.g., extraversión, consciencia) ni una motivación de logro convencional. El constructo se define como una forma de instrumentalidad amoral: una disposición relativamente estable a tratar normas y personas como medios estratégicos, suspendiendo las consideraciones morales en la medida en que interfieran con metas de estatus, control o acceso privilegiado a recursos. A diferencia del núcleo antagónico general, que implica una orientación explícita al daño o la explotación, la Agencia Oscura describe la frialdad calculadora que permite decidir qué reglas se pueden doblar, a quién conviene apoyar y cuándo conviene retirarse, sin experimentar necesariamente hostilidad abierta. El modelo Bifactor S-1 se emplea precisamente para aislar estadísticamente esta capacidad de cálculo del componente de resentimiento, sadismo o venganza indiscriminada.</w:t>
      </w:r>
    </w:p>
    <w:p w14:paraId="0C21C048"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Sesgo de resultado único:</w:t>
      </w:r>
      <w:r w:rsidRPr="00220586">
        <w:rPr>
          <w:rFonts w:ascii="Times New Roman" w:hAnsi="Times New Roman" w:cs="Times New Roman"/>
          <w:sz w:val="22"/>
          <w:szCs w:val="22"/>
          <w:lang w:val="es-MX"/>
        </w:rPr>
        <w:t xml:space="preserve"> buena parte de la literatura se centra en resultados exclusivamente negativos (CWB) o exclusivamente positivos (desempeño), lo que impide detectar perfiles “mixtos”. Un individuo con alta agencia oscura puede innovar internamente y, a la vez, incurrir en conductas que vulneran reglas burocráticas (CWB-O) (Pletzer, 2021).</w:t>
      </w:r>
    </w:p>
    <w:p w14:paraId="05DA44D4"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Investigaciones recientes han cuestionado la estructura estándar de la SD4 y han propuesto soluciones alternativas a los problemas de colinealidad y solapamiento conceptual. Por un lado, modelos como el “Dark Five” fragmentan y reetiquetan los rasgos oscuros, añadiendo dimensiones adicionales para capturar matices específicos (Crawford et al., 2025; Dulović et al., 2026). Por otro lado, la propuesta Hateful Eight (H8) descompone la SD4 en ocho facetas jerárquicamente organizadas bajo los cuatro rasgos y un factor global, mostrando que el mismo conjunto de 28 ítems puede puntuarse de forma más eficiente y facetada (Webster &amp; Wongsomboon, 2020; Webster et al., 2025). Estos desarrollos aportan evidencia sólida sobre la complejidad estructural de la Tétrada Oscura, pero lo hacen principalmente dentro del mismo espacio malévolo general, ya sea incrementando la dimensionalidad </w:t>
      </w:r>
      <w:r w:rsidRPr="00220586">
        <w:rPr>
          <w:rFonts w:ascii="Times New Roman" w:hAnsi="Times New Roman" w:cs="Times New Roman"/>
          <w:sz w:val="22"/>
          <w:szCs w:val="22"/>
          <w:lang w:val="es-MX"/>
        </w:rPr>
        <w:lastRenderedPageBreak/>
        <w:t>(Dark Five) o reorganizando facetas (H8), sin separar conceptualmente la ambición estratégica de la malevolencia básica.</w:t>
      </w:r>
    </w:p>
    <w:p w14:paraId="218F351C" w14:textId="5E973520"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Frente a estas soluciones basadas en la proliferación de factores o facetas, este estudio aborda los mismos problemas estructurales mediante una reespecificación explícita basada en un modelo Bifactor S-1 que separa 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de un componente agéntico residual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preservando la parsimonia conceptual y la utilidad aplicada en contextos organizacionales (Eid et al., 2017; Bornovalova et al., 2020; Rodriguez et al., 2016). En lugar de adoptar estos esquemas alternativos, el presente estudio opta por una solución parsimoniosa centrada en la distinción entre un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y un componente agéntico residual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dentro de la SD4, que resulta más directamente aplicable al análisis de innovación y desviación en contextos organizacionales.</w:t>
      </w:r>
    </w:p>
    <w:p w14:paraId="0DF54094"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este marco, la tesis asume tres niveles de contribución teórica:</w:t>
      </w:r>
    </w:p>
    <w:p w14:paraId="14BB133C" w14:textId="66EA1D6B"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Contribución principal (núcleo):</w:t>
      </w:r>
      <w:r w:rsidRPr="00220586">
        <w:rPr>
          <w:rFonts w:ascii="Times New Roman" w:hAnsi="Times New Roman" w:cs="Times New Roman"/>
          <w:sz w:val="22"/>
          <w:szCs w:val="22"/>
          <w:lang w:val="es-MX"/>
        </w:rPr>
        <w:t xml:space="preserve"> clarificar cómo se relacionan G (núcleo antagónico general) y un componente agéntico residual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con EIB, CWB-O y CWB-I en un contexto de baja institucionalidad y alta politización percibida.</w:t>
      </w:r>
    </w:p>
    <w:p w14:paraId="67DD9161" w14:textId="7571CA7A"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Contribución secundaria:</w:t>
      </w:r>
      <w:r w:rsidRPr="00220586">
        <w:rPr>
          <w:rFonts w:ascii="Times New Roman" w:hAnsi="Times New Roman" w:cs="Times New Roman"/>
          <w:sz w:val="22"/>
          <w:szCs w:val="22"/>
          <w:lang w:val="es-MX"/>
        </w:rPr>
        <w:t xml:space="preserve"> explorar si una forma específica de Vigilancia Estratégica del Entorno (VEE) funciona como vía disposicional concurrente que conecta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con el EIB.</w:t>
      </w:r>
    </w:p>
    <w:p w14:paraId="5E86EB17" w14:textId="7EFC64EE"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Contribución terciaria, explícitamente exploratoria:</w:t>
      </w:r>
      <w:r w:rsidRPr="00220586">
        <w:rPr>
          <w:rFonts w:ascii="Times New Roman" w:hAnsi="Times New Roman" w:cs="Times New Roman"/>
          <w:sz w:val="22"/>
          <w:szCs w:val="22"/>
          <w:lang w:val="es-MX"/>
        </w:rPr>
        <w:t xml:space="preserve"> identificar, mediante Análisis de Perfiles Latentes, patrones de perfil que sugieran configuraciones cercanas a la “desviación constructiva orientada al logro”.</w:t>
      </w:r>
    </w:p>
    <w:p w14:paraId="377C0A87" w14:textId="2165EECD" w:rsidR="00CB70C1" w:rsidRPr="00220586" w:rsidRDefault="00CB70C1"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1.3. Preguntas de investigación</w:t>
      </w:r>
    </w:p>
    <w:p w14:paraId="2CACA68D" w14:textId="77777777" w:rsidR="00CB70C1" w:rsidRPr="00220586" w:rsidRDefault="00CB70C1"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Desde este planteamiento, las preguntas de investigación se organizan en tres ejes:</w:t>
      </w:r>
    </w:p>
    <w:p w14:paraId="767E29F7" w14:textId="016F6C27" w:rsidR="00CB70C1"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Eje1: v</w:t>
      </w:r>
      <w:r w:rsidR="00CB70C1" w:rsidRPr="00220586">
        <w:rPr>
          <w:rFonts w:ascii="Times New Roman" w:hAnsi="Times New Roman" w:cs="Times New Roman"/>
          <w:b/>
          <w:bCs/>
          <w:sz w:val="22"/>
          <w:szCs w:val="22"/>
          <w:lang w:val="es-MX"/>
        </w:rPr>
        <w:t>alidez incremental y diferencial</w:t>
      </w:r>
    </w:p>
    <w:p w14:paraId="611CD227" w14:textId="6BBB1A5C" w:rsidR="00CB70C1" w:rsidRPr="00220586" w:rsidRDefault="00CB70C1" w:rsidP="00D82D8D">
      <w:pPr>
        <w:numPr>
          <w:ilvl w:val="0"/>
          <w:numId w:val="4"/>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factor residual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—definido como la varianza compartida por narcisismo y maquiavelismo una vez controlado 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muestra validez predictiva incremental sobre el EIB y las Conductas Contraproducentes Organizacionales (CWB-O), más allá del efecto de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de las variables de control?</w:t>
      </w:r>
    </w:p>
    <w:p w14:paraId="29B711E3" w14:textId="4A296B68" w:rsidR="00CB70C1" w:rsidRPr="00220586" w:rsidRDefault="00CB70C1" w:rsidP="00D82D8D">
      <w:pPr>
        <w:numPr>
          <w:ilvl w:val="0"/>
          <w:numId w:val="4"/>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¿Cómo se diferencian los patrones de asociación de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y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con las dimensiones Organizacional (CWB-O) e Interpersonal (CWB-I) de la conducta contraproducente?</w:t>
      </w:r>
    </w:p>
    <w:p w14:paraId="6F3604A2" w14:textId="2507E1B1" w:rsidR="00CB70C1"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lastRenderedPageBreak/>
        <w:t>Eje 2: m</w:t>
      </w:r>
      <w:r w:rsidR="00CB70C1" w:rsidRPr="00220586">
        <w:rPr>
          <w:rFonts w:ascii="Times New Roman" w:hAnsi="Times New Roman" w:cs="Times New Roman"/>
          <w:b/>
          <w:bCs/>
          <w:sz w:val="22"/>
          <w:szCs w:val="22"/>
          <w:lang w:val="es-MX"/>
        </w:rPr>
        <w:t>ecanismo explicativo</w:t>
      </w:r>
    </w:p>
    <w:p w14:paraId="065CAC86" w14:textId="76357AD5" w:rsidR="00CB70C1" w:rsidRPr="00220586" w:rsidRDefault="00CB70C1" w:rsidP="00D82D8D">
      <w:pPr>
        <w:numPr>
          <w:ilvl w:val="0"/>
          <w:numId w:val="5"/>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¿Se asocia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con el EIB a través de una forma específica de Vigilancia Estratégica del Entorno (VEE), conceptualmente cercana a Strategic Environmental Scanning, entendida como escaneo activo de asimetrías de poder e información política (Ashford &amp; Black, 1996; Tang et al., 2012)?</w:t>
      </w:r>
    </w:p>
    <w:p w14:paraId="2C5332EC" w14:textId="4056DB39" w:rsidR="00CB70C1"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Eje 3: c</w:t>
      </w:r>
      <w:r w:rsidR="00CB70C1" w:rsidRPr="00220586">
        <w:rPr>
          <w:rFonts w:ascii="Times New Roman" w:hAnsi="Times New Roman" w:cs="Times New Roman"/>
          <w:b/>
          <w:bCs/>
          <w:sz w:val="22"/>
          <w:szCs w:val="22"/>
          <w:lang w:val="es-MX"/>
        </w:rPr>
        <w:t>ondiciones límite</w:t>
      </w:r>
    </w:p>
    <w:p w14:paraId="0ED561F4" w14:textId="77777777" w:rsidR="00CB70C1" w:rsidRPr="00220586" w:rsidRDefault="00CB70C1" w:rsidP="00D82D8D">
      <w:pPr>
        <w:numPr>
          <w:ilvl w:val="0"/>
          <w:numId w:val="6"/>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¿Cómo interactúan la Percepción de Política Organizacional (POPS) y el Capital Psicológico (PsyCap) para modular la expresión de esta agencia oscura, favoreciendo la desviación constructiva orientada al logro frente a formas más claramente destructivas de conducta desviada?</w:t>
      </w:r>
    </w:p>
    <w:p w14:paraId="7DC230E9"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1.4. Objetivo general y objetivos específicos</w:t>
      </w:r>
    </w:p>
    <w:p w14:paraId="1DDB53CE"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Objetivo general</w:t>
      </w:r>
    </w:p>
    <w:p w14:paraId="022AD4BD" w14:textId="0793F2D8"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Evaluar el papel de la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—residual a un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en la predicción conjunta del comportamiento intraemprendedor (EIB) y de las Conductas Contraproducentes Organizacionales (CWB-O), considerando la VEE como mediador disposicional concurrente y la POPS y el PsyCap como moderadores en trabajadores del sector servicios en Lima, Perú (Gawke et al., 2019; Bennett &amp; Robinson, 2000; Hochwarter et al., 2003; Luthans et al., 2007).</w:t>
      </w:r>
    </w:p>
    <w:p w14:paraId="40301467" w14:textId="77777777" w:rsidR="00733157" w:rsidRPr="00220586" w:rsidRDefault="0073315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Objetivos específicos</w:t>
      </w:r>
    </w:p>
    <w:p w14:paraId="0F8B80AD" w14:textId="4C9D0455" w:rsidR="00733157" w:rsidRPr="00220586" w:rsidRDefault="00733157" w:rsidP="00D82D8D">
      <w:pPr>
        <w:numPr>
          <w:ilvl w:val="0"/>
          <w:numId w:val="8"/>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Estimar un modelo Bifactor S-1 sobre la Short Dark Tetrad (SD4) que permita diferenciar empíricamente 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y el factor específico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(Eid et al., 2017; Paulhus et al., 2021).</w:t>
      </w:r>
    </w:p>
    <w:p w14:paraId="75D41B60" w14:textId="42165A98" w:rsidR="00733157" w:rsidRPr="00220586" w:rsidRDefault="00733157" w:rsidP="00D82D8D">
      <w:pPr>
        <w:numPr>
          <w:ilvl w:val="0"/>
          <w:numId w:val="8"/>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Analizar la asociación diferencial de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y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con el EIB y con las dimensiones Organizacional (CWB-O) e Interpersonal (CWB-I) de la conducta contraproducente (Bennett &amp; Robinson, 2000; Pletzer, 2021).</w:t>
      </w:r>
    </w:p>
    <w:p w14:paraId="652B2A5C" w14:textId="32F25E8D" w:rsidR="00733157" w:rsidRPr="00220586" w:rsidRDefault="00733157" w:rsidP="00D82D8D">
      <w:pPr>
        <w:numPr>
          <w:ilvl w:val="0"/>
          <w:numId w:val="8"/>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Examinar si la VEE media, en términos de configuración disposicional concurrente, la relación entre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y el EIB (Ashford &amp; Black, 1996; Tang et al., 2012).</w:t>
      </w:r>
    </w:p>
    <w:p w14:paraId="4404E842" w14:textId="78989BA0" w:rsidR="00733157" w:rsidRPr="00220586" w:rsidRDefault="00733157" w:rsidP="00D82D8D">
      <w:pPr>
        <w:numPr>
          <w:ilvl w:val="0"/>
          <w:numId w:val="8"/>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Evaluar los efectos moderadores de la POPS y, de forma complementaria, del PsyCap sobre los vínculos entre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VEE y EIB, enmarcando las interacciones de PsyCap como </w:t>
      </w:r>
      <w:r w:rsidRPr="00220586">
        <w:rPr>
          <w:rFonts w:ascii="Times New Roman" w:hAnsi="Times New Roman" w:cs="Times New Roman"/>
          <w:sz w:val="22"/>
          <w:szCs w:val="22"/>
          <w:lang w:val="es-MX"/>
        </w:rPr>
        <w:lastRenderedPageBreak/>
        <w:t>análisis adicionales y no como eje central único del modelo (Hochwarter et al., 2003; Luthans et al., 2007; Berisha et al., 2025).</w:t>
      </w:r>
    </w:p>
    <w:p w14:paraId="0B4F07D8" w14:textId="31056157" w:rsidR="00733157" w:rsidRPr="00220586" w:rsidRDefault="00733157" w:rsidP="00D82D8D">
      <w:pPr>
        <w:numPr>
          <w:ilvl w:val="0"/>
          <w:numId w:val="8"/>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Explorar, mediante Análisis de Perfiles Latentes (LPA), la posible existencia de un perfil de “desviación constructiva orientada al logro”, caracterizado por alto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moderado, EIB elevado, CWB-O moderada y CWB-I baja, reconociendo el carácter estrictamente exploratorio de este análisis (Nylund et al., 2007; Malisetty &amp; Kumari, 2018).</w:t>
      </w:r>
    </w:p>
    <w:p w14:paraId="55B644B9" w14:textId="6F5782A3" w:rsidR="0031641A" w:rsidRPr="00220586" w:rsidRDefault="000E5FBB" w:rsidP="0031641A">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CAPÍTULO 2. MARCO TEÓRICO E HIPÓTESIS</w:t>
      </w:r>
    </w:p>
    <w:p w14:paraId="4C775F19" w14:textId="77777777" w:rsidR="0031641A" w:rsidRPr="00220586" w:rsidRDefault="0031641A" w:rsidP="0031641A">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2.1. Vacíos institucionales, informalidad y contextos politizados</w:t>
      </w:r>
    </w:p>
    <w:p w14:paraId="51632570"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literatura sobre emprendimiento en economías emergentes ha mostrado de manera consistente que los llamados vacíos institucionales no equivalen a una ausencia de reglas, sino a la coexistencia tensa de marcos formales débiles con normas informales, arreglos relacionales y regímenes regulatorios fragmentados que estructuran el comportamiento económico de forma desigual (Webb et al., 2009, 2013; Welter &amp; Smallbone, 2011). En estos contextos, las instituciones formales —sistemas judiciales, marcos regulatorios, agencias supervisoras— proporcionan señales ambiguas, intermitentes o selectivas, mientras que las instituciones informales —redes, favores, reputación, lealtades— adquieren un peso desproporcionado en la asignación de oportunidades y en la gestión de riesgos.</w:t>
      </w:r>
    </w:p>
    <w:p w14:paraId="63A01506" w14:textId="0131AFEA"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Desde la perspectiva clásica de la asignación del emprendimiento, el talento emprendedor se distribuye de manera relativamente constante en la población, pero la dirección productiva, improductiva o abiertamente destructiva de su uso depende de la estructura de incentivos y restricciones generada por las instituciones (Baumol, 1990). La tradición estructuralista latinoamericana ya había anticipado este punto al subrayar que las economías periféricas se organizan alrededor de una heterogeneidad estructural persistente, donde segmentos modernos de alta productividad coexisten con amplios bolsillos de baja productividad e informalidad, que operan bajo reglas de juego muy diferentes (Pinto, 1970; Pinto &amp; Di Filippo, 1979). En este marco, la informalidad no es un mero residuo transitorio, sino un componente funcional del patrón de acumulación: un amortiguador de costos laborales y un espacio de resolución “a la peruana” de tensiones distributivas (Jiménez, 2010).</w:t>
      </w:r>
    </w:p>
    <w:p w14:paraId="0F537122"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caso peruano ilustra bien esta configuración. Por un lado, la evidencia macro indica que el país ha experimentado fases de crecimiento significativo con escasa transformación productiva profunda, reproduciendo una estructura dual en la que una fracción de firmas y trabajadores se integra al circuito moderno, mientras amplias capas permanecen en actividades de baja productividad, alta precariedad </w:t>
      </w:r>
      <w:r w:rsidRPr="00220586">
        <w:rPr>
          <w:rFonts w:ascii="Times New Roman" w:hAnsi="Times New Roman" w:cs="Times New Roman"/>
          <w:sz w:val="22"/>
          <w:szCs w:val="22"/>
          <w:lang w:val="es-MX"/>
        </w:rPr>
        <w:lastRenderedPageBreak/>
        <w:t>y escasa protección institucional (Jiménez, 2010). Por otro lado, estudios socioeconómicos sobre el trabajo en el Perú han mostrado que amplios segmentos de la fuerza laboral operan en una “economía heterogénea y marginal”, caracterizada por ingresos inestables, arreglos contractuales débiles y fuerte dependencia de redes familiares y comunitarias para gestionar el riesgo (Cavero, 2017). En este entorno, la frontera entre empleo formal e informal, cumplimiento y evasión, innovación y pura supervivencia se vuelve borrosa.</w:t>
      </w:r>
    </w:p>
    <w:p w14:paraId="0F27D2B0"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términos institucionales, esto se traduce en un régimen de cumplimiento selectivo de las normas: las regulaciones existen, pero su aplicación es desigual, negociada y vulnerable a la captura. Informes recientes sobre la economía peruana han enfatizado que esta selectividad no solo es jurídica, sino política: la capacidad de hacer valer o eludir normas depende de la posición de los actores en redes de poder, de su acceso a información privilegiada y de su habilidad para operar en zonas grises (Jiménez, 2010; Francke, 2022). En paralelo, los indicadores internacionales de calidad institucional ubican al Perú en posiciones rezagadas en materia de corrupción percibida y estado de derecho, reforzando la idea de un entorno donde las reglas formales conviven con amplios espacios de arbitrariedad (Transparency International, 2024; World Justice Project, 2024).</w:t>
      </w:r>
    </w:p>
    <w:p w14:paraId="05CA594C" w14:textId="77777777" w:rsidR="00F83F5C"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años recientes, la noción de vacíos institucionales ha sido matizada por propuestas que enfatizan la complejidad más que el vacío. Luo (2022) propone entender muchos entornos emergentes como sistemas de alta complejidad institucional, en los que coexisten y se solapan múltiples órdenes normativos —ley formal, prácticas administrativas, normas informales, expectativas socioculturales— que envían señales en parte contradictorias. En lugar de un “vacío” uniforme, los actores enfrentan un mosaico de reglas parciales, zonas grises y espacios de ambigüedad donde el cumplimiento es selectivo y negociado. Psicológicamente, esta complejidad se experimenta como presión cotidiana para navegar la ambigüedad mediante astucia política, lectura fina del contexto y construcción activa de coaliciones.</w:t>
      </w:r>
    </w:p>
    <w:p w14:paraId="64BF9A24" w14:textId="04F8D87B" w:rsidR="00220586" w:rsidRPr="00220586" w:rsidRDefault="00220586"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Esta complejidad institucional tiene una traducción directa en la experiencia psicológica cotidiana de los trabajadores. Las reglas formales ya no funcionan como un marco único de previsibilidad, sino como un repertorio parcial que coexiste con “regímenes de excepción” informalmente negociados. La Percepción de Política Organizacional (POPS) deja entonces de ser un simple indicador de clima tóxico para convertirse en la forma subjetiva que adopta esa arquitectura de poder: percibir que el avance depende de alianzas, favores y acceso a información privilegiada equivale a reconocer cuál es la constitución real de la organización, más allá de sus manuales. En esta tesis, la POPS se interpreta como el correlato micro de esa complejidad institucional: un índice de cuán densas y decisivas se </w:t>
      </w:r>
      <w:r w:rsidRPr="00220586">
        <w:rPr>
          <w:rFonts w:ascii="Times New Roman" w:hAnsi="Times New Roman" w:cs="Times New Roman"/>
          <w:sz w:val="22"/>
          <w:szCs w:val="22"/>
          <w:lang w:val="es-MX"/>
        </w:rPr>
        <w:lastRenderedPageBreak/>
        <w:t>perciben las redes políticas internas para sobrevivir, innovar y capturar oportunidades en un entorno donde el cumplimiento normativo rara vez es suficiente.</w:t>
      </w:r>
    </w:p>
    <w:p w14:paraId="3ED0644B"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el nivel meso-organizacional, esta estructura institucional se traduce en climas percibidos de alta política y baja previsibilidad. Cuando los empleados observan que las decisiones clave —promociones, asignaciones de recursos, sanciones— dependen menos de criterios técnicos y más de vínculos personales, favoritismos o juegos de poder, tienden a interpretar el entorno como un campo político donde la neutralidad es ilusoria (Hochwarter et al., 2003; Vigoda-Gadot, 2007). La Percepción de Política Organizacional (POPS) captura precisamente esta lectura subjetiva de las “reglas del juego” internas: refleja la sensación de que el avance y la supervivencia dependen de comprender y gestionar las dinámicas políticas, más que de un desempeño objetivamente evaluado (Atinc et al., 2010; Kacmar &amp; Carlson, 1997).</w:t>
      </w:r>
    </w:p>
    <w:p w14:paraId="5BA4671D"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contextos como el sector de servicios en el Perú —marcado por relaciones intensamente relacionales, presencia de intermediación, presión por resultados a corto plazo y marcos regulatorios fragmentados (Williams &amp; Martinez, 2014; INEI, 2024)— resulta razonable asumir que la POPS constituye la manifestación psicológica proximal de un entorno institucional distal caracterizado por informalidad y debilidad normativa. Es decir, los vacíos y la complejidad institucional no operan como abstracciones macro, sino como experiencias cotidianas de arbitrariedad, necesidad de “moverse con cuidado” y dependencia de redes informales.</w:t>
      </w:r>
    </w:p>
    <w:p w14:paraId="4D14A385"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Desde la </w:t>
      </w:r>
      <w:r w:rsidRPr="00220586">
        <w:rPr>
          <w:rFonts w:ascii="Times New Roman" w:hAnsi="Times New Roman" w:cs="Times New Roman"/>
          <w:i/>
          <w:iCs/>
          <w:sz w:val="22"/>
          <w:szCs w:val="22"/>
          <w:lang w:val="es-MX"/>
        </w:rPr>
        <w:t>Trait Activation Theory</w:t>
      </w:r>
      <w:r w:rsidRPr="00220586">
        <w:rPr>
          <w:rFonts w:ascii="Times New Roman" w:hAnsi="Times New Roman" w:cs="Times New Roman"/>
          <w:sz w:val="22"/>
          <w:szCs w:val="22"/>
          <w:lang w:val="es-MX"/>
        </w:rPr>
        <w:t>, estas condiciones contextuales funcionan como señales situacionales que activan determinados rasgos disposicionales (Tett &amp; Burnett, 2003; Judge &amp; Zapata, 2015). Un entorno altamente politizado puede operar como contexto “débil” en algunos sentidos —porque las reglas formales son ambiguas— pero también como contexto “fuerte” para ciertos rasgos, en la medida en que envía señales claras sobre qué tipo de conductas son necesarias para sobrevivir y prosperar. Para individuos con alta orientación a la justicia y cooperación, un clima de política intensa puede vivirse como amenaza moral y fuente de cinismo; para perfiles con elevada Agencia Oscura, el mismo clima puede ser interpretado como una oportunidad estratégica para explotar asimetrías de información, construir capital político y avanzar proyectos propios.</w:t>
      </w:r>
    </w:p>
    <w:p w14:paraId="2BD1F2F2"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este escenario, la innovación corporativa deja de ser un resultado casi mecánico de procesos organizacionales estandarizados y pasa a depender en mayor medida de la agencia individual discrecional. Mantener comportamientos intraemprendedores (Employee Intrapreneurship Behavior, EIB) —explorar, proponer e implementar ideas nuevas dentro de la organización (Gawke et al., 2019)— exige navegar simultáneamente restricciones formales, expectativas informales y juegos de </w:t>
      </w:r>
      <w:r w:rsidRPr="00220586">
        <w:rPr>
          <w:rFonts w:ascii="Times New Roman" w:hAnsi="Times New Roman" w:cs="Times New Roman"/>
          <w:sz w:val="22"/>
          <w:szCs w:val="22"/>
          <w:lang w:val="es-MX"/>
        </w:rPr>
        <w:lastRenderedPageBreak/>
        <w:t>poder. La informalidad y la politización no solo introducen riesgos para quienes innovan, sino que también abren espacios de maniobra para quienes están dispuestos a tensar o reinterpretar reglas, siempre que logren construir protección política suficiente.</w:t>
      </w:r>
    </w:p>
    <w:p w14:paraId="3061E849" w14:textId="77777777" w:rsidR="00F83F5C" w:rsidRPr="00220586" w:rsidRDefault="00F83F5C" w:rsidP="00F83F5C">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suma, la combinación de vacíos institucionales, informalidad persistente y contextos organizacionales percibidos como altamente politizados configura un entorno donde la transgresión normativa no es un evento marginal, sino un componente estructural del funcionamiento cotidiano. Este trabajo asume que, bajo estas condiciones, ciertos perfiles de personalidad —particularmente aquellos asociados a la Agencia Oscura— pueden encontrar un nicho funcional: su disposición a detectar y explotar asimetrías de poder, a operar en zonas grises y a sostener estrategias de riesgo elevado puede traducirse tanto en innovación intraemprendedora como en conductas contraproducentes. Aclarar cómo se articula esta agencia oscura con la estructura institucional descrita constituye el punto de partida para el desarrollo de las secciones siguientes sobre personalidad oscura, vigilancia estratégica del entorno y desviación constructiva en organizaciones de servicios peruanas.</w:t>
      </w:r>
    </w:p>
    <w:p w14:paraId="34B2530A" w14:textId="3ABD34AC"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 xml:space="preserve">2.2. Personalidad oscura, Factor </w:t>
      </w:r>
      <m:oMath>
        <m:r>
          <w:rPr>
            <w:rFonts w:ascii="Cambria Math" w:hAnsi="Cambria Math" w:cs="Times New Roman"/>
            <w:sz w:val="22"/>
            <w:szCs w:val="22"/>
            <w:lang w:val="es-MX"/>
          </w:rPr>
          <m:t>D</m:t>
        </m:r>
      </m:oMath>
      <w:r w:rsidRPr="00220586">
        <w:rPr>
          <w:rFonts w:ascii="Times New Roman" w:hAnsi="Times New Roman" w:cs="Times New Roman"/>
          <w:b/>
          <w:bCs/>
          <w:sz w:val="22"/>
          <w:szCs w:val="22"/>
          <w:lang w:val="es-MX"/>
        </w:rPr>
        <w:t xml:space="preserve"> y Agencia Oscura</w:t>
      </w:r>
    </w:p>
    <w:p w14:paraId="38286CFE" w14:textId="2C170074"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concepto de Tríada Oscura —narcisismo, maquiavelismo y psicopatía— fue introducido para describir un estilo interpersonal frío y manipulador, asociado con autopromoción, baja empatía y conductas socialmente aversivas (Paulhus &amp; Williams, 2002). Investigaciones posteriores ampliaron este conjunto hacia una Tétrada Oscura, incorporando el sadismo como rasgo adicional (Buckels et al., 2013).</w:t>
      </w:r>
    </w:p>
    <w:p w14:paraId="01EA1542" w14:textId="36B3C44C"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Metaanálisis recientes indican que estos rasgos comparten un núcleo común —el Dark Factor of Personality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xml:space="preserve">)— definido como la tendencia a maximizar la propia utilidad aceptando o provocando </w:t>
      </w:r>
      <w:r w:rsidR="00F83F5C" w:rsidRPr="00220586">
        <w:rPr>
          <w:rFonts w:ascii="Times New Roman" w:hAnsi="Times New Roman" w:cs="Times New Roman"/>
          <w:sz w:val="22"/>
          <w:szCs w:val="22"/>
          <w:lang w:val="es-MX"/>
        </w:rPr>
        <w:t>daño hacia los demás</w:t>
      </w:r>
      <w:r w:rsidRPr="00220586">
        <w:rPr>
          <w:rFonts w:ascii="Times New Roman" w:hAnsi="Times New Roman" w:cs="Times New Roman"/>
          <w:sz w:val="22"/>
          <w:szCs w:val="22"/>
          <w:lang w:val="es-MX"/>
        </w:rPr>
        <w:t xml:space="preserve">, apoyada en creencias justificadoras (Moshagen et al., 2018; Zettler et al., 2021). Este núcleo se asocia consistentemente con agresión, explotación, baja honestidad-humildad y otros resultados disfuncionales en el trabajo y la sociedad (Moshagen et al., 2018; Jonason &amp; Webster, 2010). Clarificaciones meta-analíticas recientes muestran que la varianza compartida entre los rasgos oscuros es tan sustancial que, en muchos contextos, el Factor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xml:space="preserve"> explica mejor las conductas socialmente aversivas que los rasgos por separado. Schreiber y Marcus (2020) advierten que los modelos que ignoran este núcleo común corren el riesgo de atribuir indebidamente al maquiavelismo, al narcisismo o a la psicopatía efectos que, en realidad, son expresión de una comorbilidad antagónica general.</w:t>
      </w:r>
    </w:p>
    <w:p w14:paraId="6424AFAF" w14:textId="570CBD5F"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En este proyecto, dicho núcleo se conceptualiza de manera amplia como Dark Factor of Personality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y se operacionaliza, específicamente dentro de la SD4, como un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que captura esta varianza común de antagonismo. Es decir, G funciona como representación latente del componente oscuro general en el espacio medido por la SD4, mientras que los factores específicos o residuales permiten examinar qué queda de los rasgos oscuros una vez aislado este núcleo compartido (Moshagen et al., 2018; Zettler et al., 2021).</w:t>
      </w:r>
    </w:p>
    <w:p w14:paraId="0C3E354F"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estudios longitudinales recientes se ha demostrado que este núcleo oscuro posee validez predictiva incremental significativa sobre formas de psicopatología socialmente aversiva, más allá de los rasgos individuales específicos (Hilbig et al., 2021). Esto refuerza la premisa central de este proyecto: sin aislar la varianza de este núcleo general, cualquier intento de estimar la contribución relativamente “funcional” o agéntica de la Tétrada Oscura corre el riesgo de estar contaminado por la toxicidad antagónica basal.</w:t>
      </w:r>
    </w:p>
    <w:p w14:paraId="498FD13F"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Sin embargo, más allá de este núcleo general, subsisten facetas específicas con posibles implicancias funcionales diferenciadas. Por ejemplo, el narcisismo grandioso se ha vinculado con carisma, ambición y liderazgo en contextos de alta visibilidad, aunque también con sobreconfianza y riesgo excesivo (Chatterjee &amp; Hambrick, 2007; Miller, 2015). El maquiavelismo se caracteriza por cálculo frío, orientación al largo plazo y habilidad para manipular información y relaciones, rasgos que pueden ser adaptativos en entornos políticamente complejos, dependiendo de sus objetivos y restricciones (Jones &amp; Paulhus, 2009).</w:t>
      </w:r>
    </w:p>
    <w:p w14:paraId="65286B08" w14:textId="77777777" w:rsidR="00C202D7"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el plano de la estructura interna, estudios recientes han mostrado que la Tétrada Oscura presenta una organización claramente jerárquica y multifacética. La propuesta Hateful Eight (H8; Webster &amp; Wongsomboon, 2020, 2025) ilustra este enfoque al derivar ocho facetas a partir de la SD4 —por ejemplo, </w:t>
      </w:r>
      <w:r w:rsidRPr="00220586">
        <w:rPr>
          <w:rFonts w:ascii="Times New Roman" w:hAnsi="Times New Roman" w:cs="Times New Roman"/>
          <w:i/>
          <w:iCs/>
          <w:sz w:val="22"/>
          <w:szCs w:val="22"/>
          <w:lang w:val="es-MX"/>
        </w:rPr>
        <w:t>deviousness</w:t>
      </w:r>
      <w:r w:rsidRPr="00220586">
        <w:rPr>
          <w:rFonts w:ascii="Times New Roman" w:hAnsi="Times New Roman" w:cs="Times New Roman"/>
          <w:sz w:val="22"/>
          <w:szCs w:val="22"/>
          <w:lang w:val="es-MX"/>
        </w:rPr>
        <w:t xml:space="preserve"> y </w:t>
      </w:r>
      <w:r w:rsidRPr="00220586">
        <w:rPr>
          <w:rFonts w:ascii="Times New Roman" w:hAnsi="Times New Roman" w:cs="Times New Roman"/>
          <w:i/>
          <w:iCs/>
          <w:sz w:val="22"/>
          <w:szCs w:val="22"/>
          <w:lang w:val="es-MX"/>
        </w:rPr>
        <w:t>scheming</w:t>
      </w:r>
      <w:r w:rsidRPr="00220586">
        <w:rPr>
          <w:rFonts w:ascii="Times New Roman" w:hAnsi="Times New Roman" w:cs="Times New Roman"/>
          <w:sz w:val="22"/>
          <w:szCs w:val="22"/>
          <w:lang w:val="es-MX"/>
        </w:rPr>
        <w:t xml:space="preserve"> para el maquiavelismo, </w:t>
      </w:r>
      <w:r w:rsidRPr="00220586">
        <w:rPr>
          <w:rFonts w:ascii="Times New Roman" w:hAnsi="Times New Roman" w:cs="Times New Roman"/>
          <w:i/>
          <w:iCs/>
          <w:sz w:val="22"/>
          <w:szCs w:val="22"/>
          <w:lang w:val="es-MX"/>
        </w:rPr>
        <w:t>leadership</w:t>
      </w:r>
      <w:r w:rsidRPr="00220586">
        <w:rPr>
          <w:rFonts w:ascii="Times New Roman" w:hAnsi="Times New Roman" w:cs="Times New Roman"/>
          <w:sz w:val="22"/>
          <w:szCs w:val="22"/>
          <w:lang w:val="es-MX"/>
        </w:rPr>
        <w:t xml:space="preserve"> y </w:t>
      </w:r>
      <w:r w:rsidRPr="00220586">
        <w:rPr>
          <w:rFonts w:ascii="Times New Roman" w:hAnsi="Times New Roman" w:cs="Times New Roman"/>
          <w:i/>
          <w:iCs/>
          <w:sz w:val="22"/>
          <w:szCs w:val="22"/>
          <w:lang w:val="es-MX"/>
        </w:rPr>
        <w:t>exceptionalism</w:t>
      </w:r>
      <w:r w:rsidRPr="00220586">
        <w:rPr>
          <w:rFonts w:ascii="Times New Roman" w:hAnsi="Times New Roman" w:cs="Times New Roman"/>
          <w:sz w:val="22"/>
          <w:szCs w:val="22"/>
          <w:lang w:val="es-MX"/>
        </w:rPr>
        <w:t xml:space="preserve"> para el narcisismo, </w:t>
      </w:r>
      <w:r w:rsidRPr="00220586">
        <w:rPr>
          <w:rFonts w:ascii="Times New Roman" w:hAnsi="Times New Roman" w:cs="Times New Roman"/>
          <w:i/>
          <w:iCs/>
          <w:sz w:val="22"/>
          <w:szCs w:val="22"/>
          <w:lang w:val="es-MX"/>
        </w:rPr>
        <w:t>defiance</w:t>
      </w:r>
      <w:r w:rsidRPr="00220586">
        <w:rPr>
          <w:rFonts w:ascii="Times New Roman" w:hAnsi="Times New Roman" w:cs="Times New Roman"/>
          <w:sz w:val="22"/>
          <w:szCs w:val="22"/>
          <w:lang w:val="es-MX"/>
        </w:rPr>
        <w:t xml:space="preserve"> y </w:t>
      </w:r>
      <w:r w:rsidRPr="00220586">
        <w:rPr>
          <w:rFonts w:ascii="Times New Roman" w:hAnsi="Times New Roman" w:cs="Times New Roman"/>
          <w:i/>
          <w:iCs/>
          <w:sz w:val="22"/>
          <w:szCs w:val="22"/>
          <w:lang w:val="es-MX"/>
        </w:rPr>
        <w:t>recklessness</w:t>
      </w:r>
      <w:r w:rsidRPr="00220586">
        <w:rPr>
          <w:rFonts w:ascii="Times New Roman" w:hAnsi="Times New Roman" w:cs="Times New Roman"/>
          <w:sz w:val="22"/>
          <w:szCs w:val="22"/>
          <w:lang w:val="es-MX"/>
        </w:rPr>
        <w:t xml:space="preserve"> para la psicopatía, y </w:t>
      </w:r>
      <w:r w:rsidRPr="00220586">
        <w:rPr>
          <w:rFonts w:ascii="Times New Roman" w:hAnsi="Times New Roman" w:cs="Times New Roman"/>
          <w:i/>
          <w:iCs/>
          <w:sz w:val="22"/>
          <w:szCs w:val="22"/>
          <w:lang w:val="es-MX"/>
        </w:rPr>
        <w:t>violent voyeurism</w:t>
      </w:r>
      <w:r w:rsidRPr="00220586">
        <w:rPr>
          <w:rFonts w:ascii="Times New Roman" w:hAnsi="Times New Roman" w:cs="Times New Roman"/>
          <w:sz w:val="22"/>
          <w:szCs w:val="22"/>
          <w:lang w:val="es-MX"/>
        </w:rPr>
        <w:t xml:space="preserve"> y </w:t>
      </w:r>
      <w:r w:rsidRPr="00220586">
        <w:rPr>
          <w:rFonts w:ascii="Times New Roman" w:hAnsi="Times New Roman" w:cs="Times New Roman"/>
          <w:i/>
          <w:iCs/>
          <w:sz w:val="22"/>
          <w:szCs w:val="22"/>
          <w:lang w:val="es-MX"/>
        </w:rPr>
        <w:t>verbal abuse</w:t>
      </w:r>
      <w:r w:rsidRPr="00220586">
        <w:rPr>
          <w:rFonts w:ascii="Times New Roman" w:hAnsi="Times New Roman" w:cs="Times New Roman"/>
          <w:sz w:val="22"/>
          <w:szCs w:val="22"/>
          <w:lang w:val="es-MX"/>
        </w:rPr>
        <w:t xml:space="preserve"> para el sadismo— que se agrupan bajo los cuatro rasgos oscuros y, a su vez, bajo un factor global. La versión actualizada del H8, basada en múltiples estudios, refuerza la idea de que los puntajes de la SD4 capturan un entramado jerárquico de facetas específicas, rasgos de orden superior y un núcleo oscuro general. Este tipo de evidencia respalda que los rasgos oscuros no son bloques unitarios, sino configuraciones complejas donde coexisten componentes más abiertamente antagónicos con otros de carácter agéntico o instrumental.</w:t>
      </w:r>
      <w:r w:rsidR="00C202D7" w:rsidRPr="00220586">
        <w:rPr>
          <w:rFonts w:ascii="Times New Roman" w:hAnsi="Times New Roman" w:cs="Times New Roman"/>
          <w:sz w:val="22"/>
          <w:szCs w:val="22"/>
          <w:lang w:val="es-MX"/>
        </w:rPr>
        <w:t xml:space="preserve"> </w:t>
      </w:r>
    </w:p>
    <w:p w14:paraId="0DFBAAEA" w14:textId="18CD23A5" w:rsidR="00C202D7" w:rsidRPr="00220586" w:rsidRDefault="00C202D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En el contexto peruano, la Short Dark Tetrad</w:t>
      </w:r>
      <w:r w:rsidR="00925634" w:rsidRPr="00220586">
        <w:rPr>
          <w:rFonts w:ascii="Times New Roman" w:hAnsi="Times New Roman" w:cs="Times New Roman"/>
          <w:sz w:val="22"/>
          <w:szCs w:val="22"/>
        </w:rPr>
        <w:t xml:space="preserve"> (SD4)</w:t>
      </w:r>
      <w:r w:rsidRPr="00220586">
        <w:rPr>
          <w:rFonts w:ascii="Times New Roman" w:hAnsi="Times New Roman" w:cs="Times New Roman"/>
          <w:sz w:val="22"/>
          <w:szCs w:val="22"/>
        </w:rPr>
        <w:t xml:space="preserve"> ya cuenta con evidencia psicométrica específica. Zegarra-López y colegas (2024) adaptaron la SD4 a una muestra de adultos peruanos, mostrando un </w:t>
      </w:r>
      <w:r w:rsidRPr="00220586">
        <w:rPr>
          <w:rFonts w:ascii="Times New Roman" w:hAnsi="Times New Roman" w:cs="Times New Roman"/>
          <w:sz w:val="22"/>
          <w:szCs w:val="22"/>
        </w:rPr>
        <w:lastRenderedPageBreak/>
        <w:t>ajuste adecuado de modelos jerárquicos e índices de fiabilidad adecuados para los cuatro rasgos, así como indicadores de invarianza por sexo y edad. Los autores concluyen que la estructura de la Tétrada Oscura en Perú reproduce un núcleo oscuro común con componentes diferenciados, lo que respalda conceptualmente la decisión de este estudio de modelar un Factor General Antagónico (</w:t>
      </w:r>
      <m:oMath>
        <m:r>
          <w:rPr>
            <w:rFonts w:ascii="Cambria Math" w:hAnsi="Cambria Math" w:cs="Times New Roman"/>
            <w:sz w:val="22"/>
            <w:szCs w:val="22"/>
          </w:rPr>
          <m:t>G</m:t>
        </m:r>
      </m:oMath>
      <w:r w:rsidRPr="00220586">
        <w:rPr>
          <w:rFonts w:ascii="Times New Roman" w:hAnsi="Times New Roman" w:cs="Times New Roman"/>
          <w:sz w:val="22"/>
          <w:szCs w:val="22"/>
        </w:rPr>
        <w:t xml:space="preserve">) junto con un componente agéntico específico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De forma complementaria, estudios recientes de redes con muestras peruanas (Ramos-Vera et al., 2023, 2024) han mostrado que los ítems vinculados con dureza emocional, manipulación estratégica y derecho narcisista tienden a ocupar posiciones centrales y de puente dentro del sistema de rasgos oscuros, lo que sugiere que estos contenidos constituyen focos dinámicos de integración del “lado oscuro” de la personalidad en contextos latinoamericanos. Esta evidencia local refuerza la pertinencia de diferenciar empíricamente entre un núcleo antagónico general y un componente de agencia oscura residual al analizar innovaciones y transgresiones normativas en organizaciones peruanas.</w:t>
      </w:r>
    </w:p>
    <w:p w14:paraId="123A86F9" w14:textId="4E411A62" w:rsidR="00C32FCF" w:rsidRDefault="00C32FCF"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De forma convergente, un análisis de redes reciente sobre la Tríada Oscura y la inteligencia emocional en adultos peruanos muestra que los contenidos vinculados con dureza emocional, manipulación estratégica y falta de empatía ocupan posiciones centrales y de puente en el sistema de rasgos, conectando los nodos oscuros con déficits en competencias socioemocionales (Ramos-Vera et al., 2023). Este patrón sugiere que, en el contexto peruano, la integración dinámica del “lado oscuro” no se reduce a una simple falta de amabilidad, sino, más bien, que se fragua una arquitectura de frialdad instrumental que puede resultar funcional para navegar entornos politizados, pero al precio potencial de deteriorar la calidad relacional y la contención emocional en el trabajo. Esta evidencia respalda la decisión de este estudio de aislar un componente de Agencia Oscura residual a G, precisamente porque dicho componente parece concentrar los contenidos estratégicos y fríos que se sitúan en el “nudo” de la red de rasgos.</w:t>
      </w:r>
    </w:p>
    <w:p w14:paraId="5B114B06" w14:textId="4D4916BE" w:rsidR="00220586" w:rsidRPr="00220586" w:rsidRDefault="00220586"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Ahora bien, los hallazgos de redes en muestras peruanas sugieren que esta arquitectura no se organiza solo alrededor de la dureza emocional en abstracto, sino de contenidos muy concretos vinculados con gestionar información sensible y con postergar retaliaciones. Los ítems que aluden a guardar datos para utilizarlos en el momento oportuno o a esperar pacientemente la ocasión adecuada para vengarse tienden a ocupar posiciones privilegiadas en la red, lo que sugiere que el eje estructurante del “lado oscuro” local es una lógica de control del tiempo y del acceso a información. Bajo esta lectura, la Agencia Oscura residual deja de confundirse con una ambición “neutral” y se entiende como la capacidad de leer y explotar un sistema donde callar, filtrar selectivamente y dosificar castigos simbólicos son recursos centrales de influencia. Esta forma de instrumentalidad amoral es la que, en </w:t>
      </w:r>
      <w:r w:rsidRPr="00220586">
        <w:rPr>
          <w:rFonts w:ascii="Times New Roman" w:hAnsi="Times New Roman" w:cs="Times New Roman"/>
          <w:sz w:val="22"/>
          <w:szCs w:val="22"/>
          <w:lang w:val="es-MX"/>
        </w:rPr>
        <w:lastRenderedPageBreak/>
        <w:t>contextos de vacíos institucionales, podría conectarse con innovaciones intraemprendedoras de alto riesgo, pero también con patrones específicos de transgresión burocrática.</w:t>
      </w:r>
    </w:p>
    <w:p w14:paraId="66F749FF" w14:textId="68A145B2"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Modelos teóricos recientes —incluido el denominado modelo Gray Nine, que propone una taxonomía de nueve rasgos “grises” intermedios entre lo adaptativo y lo claramente maladaptativo— cuestionan la distinción binaria entre rasgos “adaptativos” y “maladaptativos” y plantean que determinados rasgos oscuros pueden mostrar patrones funcionales en configuraciones específicas de contexto y de rasgos (Boman, 2024). En línea con esta perspectiva, el presente proyecto se centra en un componente de Agencia Oscura depurado de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evalúa empíricamente si dicho componente residual puede asociarse con resultados adaptativos en entornos organizacionales de baja institucionalidad, especialmente en términos de innovación intraemprendedora, aun cuando su perfil siga siendo ambivalente en términos normativos.</w:t>
      </w:r>
    </w:p>
    <w:p w14:paraId="513CAAD7" w14:textId="2D092531"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proyecto, por tanto, se inserta en la línea general que reconoce la naturaleza multifacética y jerárquica de la Tétrada Oscura, pero se distancia de las estrategias puramente facetarias (</w:t>
      </w:r>
      <w:r w:rsidR="008C64C7" w:rsidRPr="00220586">
        <w:rPr>
          <w:rFonts w:ascii="Times New Roman" w:hAnsi="Times New Roman" w:cs="Times New Roman"/>
          <w:sz w:val="22"/>
          <w:szCs w:val="22"/>
          <w:lang w:val="es-MX"/>
        </w:rPr>
        <w:t>e.g.</w:t>
      </w:r>
      <w:r w:rsidRPr="00220586">
        <w:rPr>
          <w:rFonts w:ascii="Times New Roman" w:hAnsi="Times New Roman" w:cs="Times New Roman"/>
          <w:sz w:val="22"/>
          <w:szCs w:val="22"/>
          <w:lang w:val="es-MX"/>
        </w:rPr>
        <w:t>, incrementar el número de factores) al focalizarse específicamente en aislar, dentro de dicho espacio oscuro, un componente de Agencia Oscura residual al núcleo antagónico general, con potencial funcional para la innovación intraorganizacional.</w:t>
      </w:r>
    </w:p>
    <w:p w14:paraId="594500A1" w14:textId="73CE4C99" w:rsidR="00D31E4B" w:rsidRPr="00220586" w:rsidRDefault="00D31E4B" w:rsidP="00D31E4B">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este sentido, la tesis se sitúa deliberadamente dentro del giro reciente de la psicología de la personalidad que aboga por modelos integrados y jerárquicos, más que por taxonomías rivales y fragmentadas. Las revisiones panorámicas del campo han subrayado que la proliferación de etiquetas (Tríada, Tétrada, Dark Five,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etc.) ha generado más ruido que claridad si no se explicita qué nivel de abstracción se está modelando y con qué fin aplicado (Rauthmann, 2021; Roberts et al., 2024). Lejos de proponer una “nueva marca” de rasgos, este proyecto adopta una postura conservadora: asume la existencia de un núcleo oscuro amplio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bien documentado, reconoce la evidencia de estructuras jerárquicas complejas y se concentra en una pregunta mucho más modesta y acotada: qué queda de la agencia oscura cuando el antagonismo general se controla explícitamente en un contexto organizacional concreto.</w:t>
      </w:r>
    </w:p>
    <w:p w14:paraId="4735FA54" w14:textId="0B48E9C6" w:rsidR="00D31E4B" w:rsidRPr="00220586" w:rsidRDefault="00D31E4B" w:rsidP="00D31E4B">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Trabajos recientes ilustran la necesidad de este tipo de precisiones. Rose y colegas han mostrado que, en modelos comparativos, buena parte de la supuesta “novedad” de algunos constructos oscuros se evapora cuando se les enfrenta a medidas bien especificadas de antagonismo y honestidad-humildad: al descomponer la varianza, muchas escalas terminan midiendo variaciones sobre un mismo eje central de dureza interpersonal (Rose et al., 2021). De forma complementaria, Horsten et al. han enfatizado que la utilidad de los modelos oscuros depende menos de agregar etiquetas (Tríada vs. </w:t>
      </w:r>
      <w:r w:rsidRPr="00220586">
        <w:rPr>
          <w:rFonts w:ascii="Times New Roman" w:hAnsi="Times New Roman" w:cs="Times New Roman"/>
          <w:sz w:val="22"/>
          <w:szCs w:val="22"/>
          <w:lang w:val="es-MX"/>
        </w:rPr>
        <w:lastRenderedPageBreak/>
        <w:t xml:space="preserve">Tétrada vs.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xml:space="preserve">) que de aclarar qué parte de la varianza compartida y específica se pone a trabajar en predicciones concretas de conducta (Horsten et al., 2023). Esta tesis recoge esa advertencia: no pretende competir con el Factor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sino operar “dentro de él”, separando el antagonismo general de un componente agéntico residual y preguntando en qué condiciones contextuales este último puede asociarse simultáneamente a innovación intraemprendedora y transgresión burocrática.</w:t>
      </w:r>
    </w:p>
    <w:p w14:paraId="22A89A06" w14:textId="30D6AC64" w:rsidR="00D31E4B" w:rsidRPr="00220586" w:rsidRDefault="00D31E4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esa línea, el modelo defendido aquí se apoya explícitamente en la cartografía conceptual y metodológica trazada por estas contribuciones de alto nivel. Las discusiones sobre el “</w:t>
      </w:r>
      <w:r w:rsidRPr="00220586">
        <w:rPr>
          <w:rFonts w:ascii="Times New Roman" w:hAnsi="Times New Roman" w:cs="Times New Roman"/>
          <w:i/>
          <w:iCs/>
          <w:sz w:val="22"/>
          <w:szCs w:val="22"/>
          <w:lang w:val="es-MX"/>
        </w:rPr>
        <w:t>Landscape</w:t>
      </w:r>
      <w:r w:rsidRPr="00220586">
        <w:rPr>
          <w:rFonts w:ascii="Times New Roman" w:hAnsi="Times New Roman" w:cs="Times New Roman"/>
          <w:sz w:val="22"/>
          <w:szCs w:val="22"/>
          <w:lang w:val="es-MX"/>
        </w:rPr>
        <w:t>” de la psicología de la personalidad han insistido en la necesidad de vincular los debates estructurales con preguntas sustantivas sobre qué hacen los rasgos en contextos sociales específicos (Beck &amp; Jackson, 2022). El presente trabajo asume esa agenda: combina la claridad estructural de los modelos de núcleo oscuro (Moshagen et al., 2018; Zettler et al., 2021) con la sensibilidad contextual de la investigación sobre emprendimiento en vacíos institucionales y maverickismo organizacional (Webb et al., 2013; Jordan et al., 2021, 2023, 2025). En lugar de reivindicar originalidad nominal, la tesis declara sus deudas: se apoya en estos “hombros de gigantes” para responder una pregunta aplicada precisa sobre innovación, desviación y agencia oscura en organizaciones de servicios peruanas.</w:t>
      </w:r>
    </w:p>
    <w:p w14:paraId="1F72D260" w14:textId="7AE7E2EC"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 xml:space="preserve">2.3. Reespecificación bifactorial del SD4: </w:t>
      </w:r>
      <m:oMath>
        <m:r>
          <w:rPr>
            <w:rFonts w:ascii="Cambria Math" w:hAnsi="Cambria Math" w:cs="Times New Roman"/>
            <w:sz w:val="22"/>
            <w:szCs w:val="22"/>
            <w:lang w:val="es-MX"/>
          </w:rPr>
          <m:t>G</m:t>
        </m:r>
      </m:oMath>
      <w:r w:rsidRPr="00220586">
        <w:rPr>
          <w:rFonts w:ascii="Times New Roman" w:hAnsi="Times New Roman" w:cs="Times New Roman"/>
          <w:b/>
          <w:bCs/>
          <w:sz w:val="22"/>
          <w:szCs w:val="22"/>
          <w:lang w:val="es-MX"/>
        </w:rPr>
        <w:t xml:space="preserve"> y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p>
    <w:p w14:paraId="12FD5F4E"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Para operacionalizar la distinción entre antagonismo general y agencia oscura, se adopta un modelo Bifactor S-1 (Eid et al., 2017). En este enfoque:</w:t>
      </w:r>
    </w:p>
    <w:p w14:paraId="1D3DF02E" w14:textId="191355B8" w:rsidR="000E5FBB" w:rsidRPr="00220586" w:rsidRDefault="000E5FBB" w:rsidP="00D82D8D">
      <w:pPr>
        <w:numPr>
          <w:ilvl w:val="0"/>
          <w:numId w:val="9"/>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Un </w:t>
      </w:r>
      <w:r w:rsidRPr="00220586">
        <w:rPr>
          <w:rFonts w:ascii="Times New Roman" w:hAnsi="Times New Roman" w:cs="Times New Roman"/>
          <w:i/>
          <w:iCs/>
          <w:sz w:val="22"/>
          <w:szCs w:val="22"/>
          <w:lang w:val="es-MX"/>
        </w:rPr>
        <w:t>Factor General Antagónico</w:t>
      </w:r>
      <w:r w:rsidRPr="00220586">
        <w:rPr>
          <w:rFonts w:ascii="Times New Roman" w:hAnsi="Times New Roman" w:cs="Times New Roman"/>
          <w:b/>
          <w:bCs/>
          <w:sz w:val="22"/>
          <w:szCs w:val="22"/>
          <w:lang w:val="es-MX"/>
        </w:rPr>
        <w:t xml:space="preserve"> (</w:t>
      </w:r>
      <m:oMath>
        <m:r>
          <w:rPr>
            <w:rFonts w:ascii="Cambria Math" w:hAnsi="Cambria Math" w:cs="Times New Roman"/>
            <w:sz w:val="22"/>
            <w:szCs w:val="22"/>
            <w:lang w:val="es-MX"/>
          </w:rPr>
          <m:t>G</m:t>
        </m:r>
      </m:oMath>
      <w:r w:rsidRPr="00220586">
        <w:rPr>
          <w:rFonts w:ascii="Times New Roman" w:hAnsi="Times New Roman" w:cs="Times New Roman"/>
          <w:b/>
          <w:bCs/>
          <w:sz w:val="22"/>
          <w:szCs w:val="22"/>
          <w:lang w:val="es-MX"/>
        </w:rPr>
        <w:t>)</w:t>
      </w:r>
      <w:r w:rsidRPr="00220586">
        <w:rPr>
          <w:rFonts w:ascii="Times New Roman" w:hAnsi="Times New Roman" w:cs="Times New Roman"/>
          <w:sz w:val="22"/>
          <w:szCs w:val="22"/>
          <w:lang w:val="es-MX"/>
        </w:rPr>
        <w:t>, definido por los ítems de psicopatía y sadismo como dominios de referencia, captura los contenidos más claramente malévolos y explotadores (baja honestidad-humildad, crueldad, instrumentalización del otro).</w:t>
      </w:r>
    </w:p>
    <w:p w14:paraId="6C33DB11" w14:textId="77D72516" w:rsidR="000E5FBB" w:rsidRPr="00220586" w:rsidRDefault="000E5FBB" w:rsidP="00D82D8D">
      <w:pPr>
        <w:numPr>
          <w:ilvl w:val="0"/>
          <w:numId w:val="9"/>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Un </w:t>
      </w:r>
      <w:r w:rsidRPr="00220586">
        <w:rPr>
          <w:rFonts w:ascii="Times New Roman" w:hAnsi="Times New Roman" w:cs="Times New Roman"/>
          <w:i/>
          <w:iCs/>
          <w:sz w:val="22"/>
          <w:szCs w:val="22"/>
          <w:lang w:val="es-MX"/>
        </w:rPr>
        <w:t>Factor Específico de Agencia Oscura</w:t>
      </w:r>
      <w:r w:rsidRPr="00220586">
        <w:rPr>
          <w:rFonts w:ascii="Times New Roman" w:hAnsi="Times New Roman" w:cs="Times New Roman"/>
          <w:b/>
          <w:bCs/>
          <w:sz w:val="22"/>
          <w:szCs w:val="22"/>
          <w:lang w:val="es-MX"/>
        </w:rPr>
        <w:t xml:space="preserv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b/>
          <w:bCs/>
          <w:sz w:val="22"/>
          <w:szCs w:val="22"/>
          <w:lang w:val="es-MX"/>
        </w:rPr>
        <w:t>)</w:t>
      </w:r>
      <w:r w:rsidRPr="00220586">
        <w:rPr>
          <w:rFonts w:ascii="Times New Roman" w:hAnsi="Times New Roman" w:cs="Times New Roman"/>
          <w:sz w:val="22"/>
          <w:szCs w:val="22"/>
          <w:lang w:val="es-MX"/>
        </w:rPr>
        <w:t>, por su parte, se define como la varianza residual compartida por los ítems de narcisismo y maquiavelismo una vez controlada la varianza atribuible a G. Este factor representa la combinación de antagonismo con componentes instrumentales y estratégicos (búsqueda de estatus, cálculo frío, manipulación relacional).</w:t>
      </w:r>
    </w:p>
    <w:p w14:paraId="1C680A86"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Dado que la estimación de factores específicos en modelos bifactoriales puede ser exigente, se establece un protocolo de contingencia: si el modelo Bifactor S-1 no converge o muestra problemas de identificación, se utilizará un enfoque de residualización observada (regresión del índice de Agencia —Narcisismo + Maquiavelismo— sobre el índice de Antagonismo). De este modo, se </w:t>
      </w:r>
      <w:r w:rsidRPr="00220586">
        <w:rPr>
          <w:rFonts w:ascii="Times New Roman" w:hAnsi="Times New Roman" w:cs="Times New Roman"/>
          <w:sz w:val="22"/>
          <w:szCs w:val="22"/>
          <w:lang w:val="es-MX"/>
        </w:rPr>
        <w:lastRenderedPageBreak/>
        <w:t>preserva la lógica conceptual (aislar un componente agéntico residual) aunque la estimación latente plena resulte inviable.</w:t>
      </w:r>
    </w:p>
    <w:p w14:paraId="664A5760" w14:textId="2640B94B"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Esta distinción conceptual se implementará empíricamente mediante la Short Dark Tetrad (SD4; Paulhus et al., 2021), especificada bajo un modelo Bifactor S-1 cuyos detalles se presentan en el Capítulo 3. Una parte de la contribución empírica de la tesis consiste precisamente en comprobar si la estructura se aproxima a una organización casi unidimensional (dominio de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o si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retiene varianza común interpretable y útil.</w:t>
      </w:r>
    </w:p>
    <w:p w14:paraId="4D06E2A7"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2.4. Comportamiento intraemprendedor (EIB) y conducta contraproducente (CWB)</w:t>
      </w:r>
    </w:p>
    <w:p w14:paraId="1C320646"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comportamiento intraemprendedor (EIB) se conceptualiza como un conjunto de conductas individuales de exploración, generación e implementación de nuevas ideas de negocio, productos, servicios o procesos dentro de la organización (Gawke et al., 2019). A nivel empírico, se ha demostrado que el EIB se relaciona con desempeño, innovación organizacional y ventaja competitiva, especialmente en sectores intensivos en conocimiento y servicios (Gawke et al., 2019).</w:t>
      </w:r>
    </w:p>
    <w:p w14:paraId="46276A98"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esta línea, resulta útil concebir el comportamiento intraemprendedor como una forma específica de desviación constructiva. La literatura sobre emprendimiento ha subrayado que iniciar o impulsar cambios relevantes implica, casi inevitablemente, romper hábitos, cuestionar normas y traspasar límites establecidos, incluso cuando la intención subyacente sea funcional para la organización. Malisetty y Kumari (2018) proponen precisamente entender el emprendimiento como un tipo particular de conducta desviada, donde la frontera entre “desviación deseable” e “indeseable” no puede definirse solo en función de las intenciones, dado que los resultados pueden ser inciertos o ambivalentes. Desde esta perspectiva, el EIB se aproxima a una desviación constructiva orientada al logro, mientras que las CWB —especialmente cuando expresan antagonismo interpersonal— encarnan formas más claramente destructivas de transgresión.</w:t>
      </w:r>
    </w:p>
    <w:p w14:paraId="713127C7"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paralelo, la conducta contraproducente en el trabajo (CWB) comprende acciones voluntarias que vulneran normas organizacionales y amenazan el bienestar de la organización o de sus miembros (Robinson &amp; Bennett, 1995). Aunque se ha tendido a conceptualizarla como una consecuencia relativamente monolítica de la personalidad oscura, metaanálisis recientes sugieren una relación más matizada. Pletzer (2021) muestra que no todos los componentes oscuros se asocian de igual manera con las distintas formas de CWB: mientras el antagonismo general predice de forma robusta conductas dañinas interpersonales e impulsivas, los componentes más agénticos pueden vincularse con transgresiones normativas de carácter instrumental.</w:t>
      </w:r>
    </w:p>
    <w:p w14:paraId="12D035D7" w14:textId="5E645C61"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En este proyecto, esta distinción resulta central: la transgresión burocrática organizacional (CWB-O) puede ser utilizada estratégicamente por perfiles con elevada agencia oscura para “atajar” la burocracia y sortear obstáculos, diferenciándose cualitativamente de la desviación maliciosa orientada a dañar directamente a colegas (CWB-I). La distinción entre CWB-O y CWB-I es, por tanto, clave: la hipótesis de transgresión funcional supone que ciertos individuos podrían vulnerar principalmente normas burocráticas (CWB-O) en aras de implementar cambios o sortear obstáculos, sin necesariamente mostrar niveles equivalentes de daño interpersonal (baja CWB-I).</w:t>
      </w:r>
    </w:p>
    <w:p w14:paraId="68025150" w14:textId="77777777" w:rsidR="00C32FCF" w:rsidRPr="00220586" w:rsidRDefault="00C32FCF"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Esta ambivalencia entre innovación y daño normativo encuentra eco en evidencia latinoamericana reciente. Un estudio con 550 trabajadores de Perú y Ecuador mostró que el maquiavelismo y la psicopatía se asocian negativamente con las conductas socialmente responsables en el lugar de trabajo y con la preocupación ambiental, de modo que los perfiles más oscuros tienden a mostrar menor involucramiento en prácticas sostenibles y orientadas al bien común (Bortoluzzi et al., 2023). Estos resultados indican que, incluso cuando ciertos componentes de la personalidad oscura puedan facilitar la transgresión instrumental de reglas burocráticas para “hacer que las cosas sucedan”, existe un riesgo real de que esa misma energía se traduzca en desatención de compromisos sociales y ambientales clave. </w:t>
      </w:r>
    </w:p>
    <w:p w14:paraId="73B53959" w14:textId="04706C95" w:rsidR="00C32FCF" w:rsidRPr="00220586" w:rsidRDefault="00C32FCF"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La tesis se inserta precisamente en esta tensión: explorar cuándo la Agencia Oscura se canaliza hacia desviación constructiva orientada al logro y cuándo deriva en deterioro de la responsabilidad organizacional en un subcontexto donde la muestra incluía una proporción relevante de trabajadores peruanos del sector servicios.</w:t>
      </w:r>
    </w:p>
    <w:p w14:paraId="58AE3F89"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2.4.1. Maverickismo, contrarianismo y desviación positiva</w:t>
      </w:r>
    </w:p>
    <w:p w14:paraId="2FC86115"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literatura clásica sobre personalidad oscura y conducta desviada ha tendido a tratar la no conformidad como un fenómeno relativamente homogéneo: quienes desafían normas son, en principio, problemáticos para la organización. Sin embargo, trabajos recientes sobre no conformidad y estereotipos sociales muestran que bajo la etiqueta de “desviados” conviven perfiles psicológicos y funcionales marcadamente distintos (Haasl et al., 2025). Esta distinción es clave para un modelo que pretende diferenciar daño organizacional, daño interpersonal y desviación constructiva asociada a formas instrumentales de agencia oscura.</w:t>
      </w:r>
    </w:p>
    <w:p w14:paraId="35413533"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Haasl y colegas (2025) distinguen entre dos tipos de no conformistas: los </w:t>
      </w:r>
      <w:r w:rsidRPr="00220586">
        <w:rPr>
          <w:rFonts w:ascii="Times New Roman" w:hAnsi="Times New Roman" w:cs="Times New Roman"/>
          <w:i/>
          <w:iCs/>
          <w:sz w:val="22"/>
          <w:szCs w:val="22"/>
          <w:lang w:val="es-MX"/>
        </w:rPr>
        <w:t>mavericks</w:t>
      </w:r>
      <w:r w:rsidRPr="00220586">
        <w:rPr>
          <w:rFonts w:ascii="Times New Roman" w:hAnsi="Times New Roman" w:cs="Times New Roman"/>
          <w:sz w:val="22"/>
          <w:szCs w:val="22"/>
          <w:lang w:val="es-MX"/>
        </w:rPr>
        <w:t xml:space="preserve">, impulsados principalmente por la búsqueda de independencia, y los </w:t>
      </w:r>
      <w:r w:rsidRPr="00220586">
        <w:rPr>
          <w:rFonts w:ascii="Times New Roman" w:hAnsi="Times New Roman" w:cs="Times New Roman"/>
          <w:i/>
          <w:iCs/>
          <w:sz w:val="22"/>
          <w:szCs w:val="22"/>
          <w:lang w:val="es-MX"/>
        </w:rPr>
        <w:t>contrarians</w:t>
      </w:r>
      <w:r w:rsidRPr="00220586">
        <w:rPr>
          <w:rFonts w:ascii="Times New Roman" w:hAnsi="Times New Roman" w:cs="Times New Roman"/>
          <w:sz w:val="22"/>
          <w:szCs w:val="22"/>
          <w:lang w:val="es-MX"/>
        </w:rPr>
        <w:t xml:space="preserve">, impulsados por el deseo de ser distintos al resto. En una serie de estudios con población estadounidense, los mavericks son estereotipados como altamente competentes y concienzudos, adecuados para roles de liderazgo </w:t>
      </w:r>
      <w:r w:rsidRPr="00220586">
        <w:rPr>
          <w:rFonts w:ascii="Times New Roman" w:hAnsi="Times New Roman" w:cs="Times New Roman"/>
          <w:sz w:val="22"/>
          <w:szCs w:val="22"/>
          <w:lang w:val="es-MX"/>
        </w:rPr>
        <w:lastRenderedPageBreak/>
        <w:t>transformacional, más probablemente varones, de mayor edad y relativamente satisfechos con su vida. En cambio, los contrarians son vistos como muy sociables pero bajos en calidez y amabilidad, más neuróticos y orientados hacia roles que enfatizan la creatividad y la autoexpresión, siendo percibidos como más jóvenes y menos satisfechos con su vida (Haasl et al., 2025). Esta taxonomía social sugiere que no toda desviación respecto a las normas comparte la misma cualidad moral ni las mismas implicaciones funcionales.</w:t>
      </w:r>
    </w:p>
    <w:p w14:paraId="21A2C5D0"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Más allá de los estereotipos, la literatura sobre maverickismo lo conceptualiza como un patrón de diferencias individuales caracterizado por competencia social, creatividad, foco en metas, propensión al riesgo y conductas disruptivas (Gardiner &amp; Jackson, 2015). En un estudio con trabajadores a tiempo completo, Gardiner y Jackson (2015) muestran que el maverickismo se asocia a alta extraversión, alta apertura y baja agradabilidad, y que ciertos procesos de aprendizaje autorregulado explican varianza adicional en maverickismo por encima de los Cinco Grandes. Es decir, los mavericks no solo difieren en rasgos descriptivos, sino también en sus estilos de exploración e improvisación creativa, combinando un potencial claro para la innovación radical con una probabilidad no trivial de generar fricción con normas y autoridades.</w:t>
      </w:r>
    </w:p>
    <w:p w14:paraId="7C8B7FB2"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Este doble filo del maverickismo se ha reinterpretado desde la noción de desviación positiva. Jordan y colegas argumentan que los mavericks ejemplifican una forma de “non-conformidad acotada” (</w:t>
      </w:r>
      <w:r w:rsidRPr="00220586">
        <w:rPr>
          <w:rFonts w:ascii="Times New Roman" w:hAnsi="Times New Roman" w:cs="Times New Roman"/>
          <w:i/>
          <w:iCs/>
          <w:sz w:val="22"/>
          <w:szCs w:val="22"/>
          <w:lang w:val="es-MX"/>
        </w:rPr>
        <w:t>bounded non-conformity</w:t>
      </w:r>
      <w:r w:rsidRPr="00220586">
        <w:rPr>
          <w:rFonts w:ascii="Times New Roman" w:hAnsi="Times New Roman" w:cs="Times New Roman"/>
          <w:sz w:val="22"/>
          <w:szCs w:val="22"/>
          <w:lang w:val="es-MX"/>
        </w:rPr>
        <w:t>): violan normas locales de procedimiento, jerarquía o estilo, pero permanecen alineados con hipernormas organizacionales de orden superior, como el desempeño colectivo o la integridad del sistema (Jordan et al., 2021). Desde esta óptica, parte de su conducta desviada constituye desviación positiva, en la medida en que rompe reglas para proteger valores que la propia organización declara centrales.</w:t>
      </w:r>
    </w:p>
    <w:p w14:paraId="0EAEC647"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Trabajos posteriores muestran que estos actores acumulan combinaciones específicas de capital cultural, social y simbólico que les permiten sostener su desviación en contextos fuertemente normativos (Jordan et al., 2023, 2025). Este “capital maverick” aumenta la probabilidad de que su disrupción sea tolerada e incluso valorada cuando se alinea con narrativas de cambio estratégico o mejora de desempeño.</w:t>
      </w:r>
    </w:p>
    <w:p w14:paraId="61F959F2"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Integrando estas líneas, el presente proyecto asume que ciertos perfiles de personalidad oscura pueden aproximarse funcionalmente al maverickismo, mientras que otros se asemejan más al contrarianismo en el sentido de Haasl et al. (2025). De forma puramente conceptual —ya que la tesis no mide directamente maverickismo ni contrarianismo—, puede denominarse “maverickismo oscuro” a la combinación de: (a) disposiciones instrumentales de la personalidad oscura (por ejemplo, frialdad </w:t>
      </w:r>
      <w:r w:rsidRPr="00220586">
        <w:rPr>
          <w:rFonts w:ascii="Times New Roman" w:hAnsi="Times New Roman" w:cs="Times New Roman"/>
          <w:sz w:val="22"/>
          <w:szCs w:val="22"/>
          <w:lang w:val="es-MX"/>
        </w:rPr>
        <w:lastRenderedPageBreak/>
        <w:t>estratégica, disposición a explotar asimetrías de información), (b) rasgos maverick relacionados con creatividad, orientación a metas y tolerancia al riesgo (Gardiner &amp; Jackson, 2015), y (c) capital político y comprensión de las reglas formales e informales de la organización, en línea con los recursos descritos por Jordan et al. (2023, 2025). Bajo condiciones de vacíos institucionales, alta percepción de política organizacional y presiones de cambio, este perfil podría canalizarse en formas de desviación positiva que combinan comportamiento intraemprendedor y violaciones instrumentales de normas orientadas al logro de resultados.</w:t>
      </w:r>
    </w:p>
    <w:p w14:paraId="35FC960C"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contraste, un “contrarianismo oscuro” combinaría motivaciones centradas en la autodiferenciación y la oposición visible al </w:t>
      </w:r>
      <w:r w:rsidRPr="00220586">
        <w:rPr>
          <w:rFonts w:ascii="Times New Roman" w:hAnsi="Times New Roman" w:cs="Times New Roman"/>
          <w:i/>
          <w:iCs/>
          <w:sz w:val="22"/>
          <w:szCs w:val="22"/>
          <w:lang w:val="es-MX"/>
        </w:rPr>
        <w:t>status quo</w:t>
      </w:r>
      <w:r w:rsidRPr="00220586">
        <w:rPr>
          <w:rFonts w:ascii="Times New Roman" w:hAnsi="Times New Roman" w:cs="Times New Roman"/>
          <w:sz w:val="22"/>
          <w:szCs w:val="22"/>
          <w:lang w:val="es-MX"/>
        </w:rPr>
        <w:t xml:space="preserve"> con rasgos oscuros orientados al dominio relacional y la búsqueda de estatus, coherente con la caracterización de los contrarians como altamente sociables pero bajos en calidez y agradabilidad, y más neuróticos (Haasl et al., 2025). En contextos de fuerte ambigüedad política, este perfil sería más proclive a manifestarse como conducta contraproducente interpersonal (CWB-I), conflicto, cinismo y sabotaje simbólico que como desviación funcional orientada al desempeño organizacional.</w:t>
      </w:r>
    </w:p>
    <w:p w14:paraId="645BDE35" w14:textId="67D22E06" w:rsidR="00966C9E" w:rsidRPr="00220586" w:rsidRDefault="00966C9E" w:rsidP="00966C9E">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literatura sobre el “bright side” de la personalidad oscura converge con esta distinción funcional. Estudios multiculturales sobre la Tríada Oscura y el desempeño laboral han mostrado que, una vez controlados los grandes rasgos de personalidad, ciertos componentes narcisistas y maquiavélicos pueden relacionarse positivamente —aunque con tamaños de efecto modestos— con indicadores de desempeño y contribuciones extra-rol, especialmente en roles que requieren asertividad, negociación dura y tolerancia al conflicto (Ma et al., 2021). En el ámbito emprendedor latino, la evidencia sobre rasgos oscuros y emprendimiento naciente sugiere que estos perfiles pueden inclinar a los individuos hacia estrategias oportunistas de captura de nichos en entornos institucionalmente frágiles (</w:t>
      </w:r>
      <w:r w:rsidR="007073C9" w:rsidRPr="00220586">
        <w:rPr>
          <w:rFonts w:ascii="Times New Roman" w:hAnsi="Times New Roman" w:cs="Times New Roman"/>
          <w:sz w:val="22"/>
          <w:szCs w:val="22"/>
          <w:lang w:val="es-MX"/>
        </w:rPr>
        <w:t>Afshar Jahanshahi</w:t>
      </w:r>
      <w:r w:rsidRPr="00220586">
        <w:rPr>
          <w:rFonts w:ascii="Times New Roman" w:hAnsi="Times New Roman" w:cs="Times New Roman"/>
          <w:sz w:val="22"/>
          <w:szCs w:val="22"/>
          <w:lang w:val="es-MX"/>
        </w:rPr>
        <w:t xml:space="preserve"> et al., 2025). El concepto de “maverickismo oscuro” recoge precisamente, el punto de la presente investigación: el problema no es tanto la desviación en sí misma, sino el nivel de alineamiento entre la transgresión y las hipernormas organizacionales (desempeño, sostenibilidad, integridad).</w:t>
      </w:r>
    </w:p>
    <w:p w14:paraId="604EF5E9" w14:textId="29661C76"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suma, la distinción maverick/contrarian, junto con la literatura sobre maverickismo y desviación positiva (Gardiner &amp; Jackson, 2015; Jordan et al., 2021, 2023, 2025), sirve en esta tesis como lente conceptual para refinar la noción de “agencia oscura”. La pregunta empírica central es si el componente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—residual a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se comporta más como una forma de no conformidad orientada al logro (maverickismo oscuro) o como una oposición principalmente destructiva (contrarianismo oscuro) cuando se relaciona con EIB, CWB-O y CWB-I en contextos de baja institucionalidad.</w:t>
      </w:r>
    </w:p>
    <w:p w14:paraId="503CD0DF"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lastRenderedPageBreak/>
        <w:t>2.5. Vigilancia estratégica del entorno (VEE)</w:t>
      </w:r>
    </w:p>
    <w:p w14:paraId="4825E410"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 literatura sobre proactividad laboral ha descrito conductas de búsqueda de </w:t>
      </w:r>
      <w:r w:rsidRPr="00220586">
        <w:rPr>
          <w:rFonts w:ascii="Times New Roman" w:hAnsi="Times New Roman" w:cs="Times New Roman"/>
          <w:i/>
          <w:iCs/>
          <w:sz w:val="22"/>
          <w:szCs w:val="22"/>
          <w:lang w:val="es-MX"/>
        </w:rPr>
        <w:t>feedback</w:t>
      </w:r>
      <w:r w:rsidRPr="00220586">
        <w:rPr>
          <w:rFonts w:ascii="Times New Roman" w:hAnsi="Times New Roman" w:cs="Times New Roman"/>
          <w:sz w:val="22"/>
          <w:szCs w:val="22"/>
          <w:lang w:val="es-MX"/>
        </w:rPr>
        <w:t>, información y oportunidades como componentes clave de la adaptación organizacional (Ashford &amp; Black, 1996). No obstante, muchas escalas clásicas capturan una forma relativamente “benigna” de búsqueda de información (por ejemplo, clarificar expectativas, solicitar apoyo).</w:t>
      </w:r>
    </w:p>
    <w:p w14:paraId="70AB069D"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el contexto de este estudio, la VEE se concibe como un patrón de escaneo orientado a mapear la distribución de poder y recursos, identificar vulnerabilidades estructurales y localizar oportunidades que dependen de saber quién controla qué recursos. Este estilo de vigilancia se alinea con la lógica de la agencia oscura: no se trata de curiosidad epistémica general, sino de una búsqueda instrumental de asimetrías de información que puedan ser explotadas para obtener ventaja competitiva o avanzar proyectos intraemprendedores bajo condiciones de incertidumbre (Rauch &amp; Frese, 2007; Baker &amp; Nelson, 2005).</w:t>
      </w:r>
    </w:p>
    <w:p w14:paraId="12664D06" w14:textId="392413AD" w:rsidR="000E5FBB"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términos operativos, la VEE se aproxima tanto a formas de vigilancia política intraorganizacional como a patrones más generales de alerta emprendedora ante oportunidades y riesgos, siempre que impliquen un componente de escaneo activo del entorno (Tang et al., 2012). Para preservar la validez discriminante respecto al comportamiento intraemprendedor (EIB), la VEE se definirá y operará empíricamente como un constructo fundamentalmente orientado al escaneo de poder, recursos y vulnerabilidades estructurales, más que a la generación directa de ideas o a la mejora de procesos.</w:t>
      </w:r>
    </w:p>
    <w:p w14:paraId="2B922237" w14:textId="44046B89" w:rsidR="00220586" w:rsidRPr="00220586" w:rsidRDefault="00220586"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este trabajo, la VEE se concibe menos como un monitoreo pasivo del entorno y más como un proceso de mapeo cognitivo de vacíos y asimetrías. No se limita a “mirar alrededor”, sino a cartografiar qué normas se aplican de forma estricta, cuáles son letra muerta, quiénes actúan como nodos de protección o sanción y qué combinaciones de actores permiten experimentar con soluciones no convencionales. Para los perfiles con alta Agencia Oscura, este escaneo se articula con una flexibilidad moral selectiva: la información recopilada sirve para resignificar ciertas transgresiones como arbitraje normativo racional más que como simple desviación. De este modo, la VEE reduce la ansiedad de aprendizaje que suelen generar contextos hostiles y abre espacio para la exploración conductual: permite probar atajos burocráticos, reinterpretar procedimientos o acelerar decisiones, calculando fríamente los riesgos políticos y las probabilidades de impunidad.</w:t>
      </w:r>
    </w:p>
    <w:p w14:paraId="79A592A7"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 xml:space="preserve">2.6. Percepción de política organizacional (POPS) y </w:t>
      </w:r>
      <w:r w:rsidRPr="00220586">
        <w:rPr>
          <w:rFonts w:ascii="Times New Roman" w:hAnsi="Times New Roman" w:cs="Times New Roman"/>
          <w:b/>
          <w:bCs/>
          <w:i/>
          <w:iCs/>
          <w:sz w:val="22"/>
          <w:szCs w:val="22"/>
          <w:lang w:val="es-MX"/>
        </w:rPr>
        <w:t>Trait Activation</w:t>
      </w:r>
    </w:p>
    <w:p w14:paraId="5FF808B4"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 POPS refiere a la percepción de que las decisiones organizacionales se basan en intereses personales, favoritismos y juegos de poder más que en criterios objetivos (Hochwarter et al., 2003). </w:t>
      </w:r>
      <w:r w:rsidRPr="00220586">
        <w:rPr>
          <w:rFonts w:ascii="Times New Roman" w:hAnsi="Times New Roman" w:cs="Times New Roman"/>
          <w:sz w:val="22"/>
          <w:szCs w:val="22"/>
          <w:lang w:val="es-MX"/>
        </w:rPr>
        <w:lastRenderedPageBreak/>
        <w:t>La literatura suele asociar altos niveles de POPS con cinismo, estrés y disminución del compromiso, especialmente en perfiles orientados a la justicia y la cooperación (Vigoda-Gadot, 2007).</w:t>
      </w:r>
    </w:p>
    <w:p w14:paraId="517A189F" w14:textId="62C7CF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Desde la </w:t>
      </w:r>
      <w:r w:rsidRPr="00220586">
        <w:rPr>
          <w:rFonts w:ascii="Times New Roman" w:hAnsi="Times New Roman" w:cs="Times New Roman"/>
          <w:i/>
          <w:iCs/>
          <w:sz w:val="22"/>
          <w:szCs w:val="22"/>
          <w:lang w:val="es-MX"/>
        </w:rPr>
        <w:t>Trait Activation Theory</w:t>
      </w:r>
      <w:r w:rsidRPr="00220586">
        <w:rPr>
          <w:rFonts w:ascii="Times New Roman" w:hAnsi="Times New Roman" w:cs="Times New Roman"/>
          <w:sz w:val="22"/>
          <w:szCs w:val="22"/>
          <w:lang w:val="es-MX"/>
        </w:rPr>
        <w:t>, sin embargo, estas mismas señales pueden activar rasgos que se expresan precisamente en contextos de ambigüedad y competencia política (Tett &amp; Burnett, 2003; Judge &amp; Zapata, 2015). Para individuos con elevada agencia oscura, un entorno percibido como politizado puede funcionar como “señal de oportunidad”, incrementando la vigilancia estratégica y la búsqueda de información relevante sobre redes, alianzas y amenazas.</w:t>
      </w:r>
    </w:p>
    <w:p w14:paraId="540F75A2"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2.7. Capital psicológico (PsyCap) y Conservación de Recursos</w:t>
      </w:r>
    </w:p>
    <w:p w14:paraId="7020BAF0"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Capital Psicológico (PsyCap) integra cuatro recursos psicológicos positivos: autoeficacia, esperanza, optimismo y resiliencia (Luthans et al., 2007). Metaanálisis recientes muestran que el PsyCap se asocia de forma consistente con actitudes laborales positivas, desempeño y conductas de ciudadanía organizacional (Avey et al., 2011; Luthans et al., 2010).</w:t>
      </w:r>
    </w:p>
    <w:p w14:paraId="32B08964" w14:textId="77777777" w:rsidR="000E5FBB"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contextos de alta incertidumbre y presión estructural, el PsyCap adquiere una función especialmente crítica. Estudios sobre emprendimiento y sostenibilidad han mostrado que la autoeficacia, la esperanza y la resiliencia facilitan que los individuos mantengan el esfuerzo emprendedor frente a restricciones institucionales, </w:t>
      </w:r>
      <w:r w:rsidRPr="00220586">
        <w:rPr>
          <w:rFonts w:ascii="Times New Roman" w:hAnsi="Times New Roman" w:cs="Times New Roman"/>
          <w:i/>
          <w:iCs/>
          <w:sz w:val="22"/>
          <w:szCs w:val="22"/>
          <w:lang w:val="es-MX"/>
        </w:rPr>
        <w:t>shocks</w:t>
      </w:r>
      <w:r w:rsidRPr="00220586">
        <w:rPr>
          <w:rFonts w:ascii="Times New Roman" w:hAnsi="Times New Roman" w:cs="Times New Roman"/>
          <w:sz w:val="22"/>
          <w:szCs w:val="22"/>
          <w:lang w:val="es-MX"/>
        </w:rPr>
        <w:t xml:space="preserve"> externos y crisis prolongadas (Tang, 2020; Milosevic et al., 2017). En el plano intraorganizacional, evidencias recientes sugieren que el PsyCap de directivos y mandos intermedios se relaciona de manera robusta con la intención intraemprendedora y con la disposición a explorar nuevas oportunidades, tanto de forma directa como a través del bienestar psicológico (Berisha et al., 2025).</w:t>
      </w:r>
    </w:p>
    <w:p w14:paraId="180CE1FE" w14:textId="476165C8" w:rsidR="00ED554E" w:rsidRPr="00220586" w:rsidRDefault="00ED554E" w:rsidP="00D82D8D">
      <w:pPr>
        <w:spacing w:line="360" w:lineRule="auto"/>
        <w:jc w:val="both"/>
        <w:rPr>
          <w:rFonts w:ascii="Times New Roman" w:hAnsi="Times New Roman" w:cs="Times New Roman"/>
          <w:sz w:val="22"/>
          <w:szCs w:val="22"/>
          <w:lang w:val="es-MX"/>
        </w:rPr>
      </w:pPr>
      <w:r w:rsidRPr="00ED554E">
        <w:rPr>
          <w:rFonts w:ascii="Times New Roman" w:hAnsi="Times New Roman" w:cs="Times New Roman"/>
          <w:sz w:val="22"/>
          <w:szCs w:val="22"/>
          <w:lang w:val="es-MX"/>
        </w:rPr>
        <w:t>En contextos de alta politización y vacíos institucionales, este recurso “luminoso” adquiere una dimensión ambivalente. Combinado con niveles elevados de Agencia Oscura, el PsyCap no solo amortigua el desgaste emocional asociado a la incertidumbre, sino que provee el colchón subjetivo necesario para sostener estrategias de transgresión burocrática de largo aliento. Un trabajador con mucha esperanza y resiliencia, pero también con fuerte orientación instrumental al estatus, puede perseverar en la búsqueda de atajos normativos allí donde otros desistirían, reinterpretando su audacia como ingenio más que como conducta éticamente problemática. Desde la lógica de la Teoría de Conservación de Recursos, ello implica que el PsyCap facilita tomar riesgos normativos porque incrementa la percepción de contar con recursos suficientes para absorber pérdidas o sanciones potenciales. En esta tesis se asume explícitamente esta doble cara: el PsyCap se modela como un habilitador potencial tanto de desviación constructiva orientada al logro como, en ausencia de contrapesos, de trayectorias más corrosivas.</w:t>
      </w:r>
    </w:p>
    <w:p w14:paraId="39939313"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Simultáneamente, la literatura sobre comportamiento desviado indica que la inseguridad laboral y la angustia psicológica incrementan la probabilidad de conductas contraproducentes, especialmente cuando las reglas se perciben como injustas o arbitrarias (Dang-Van et al., 2022). En este escenario, el PsyCap no solo funciona como un “stock” de recursos, sino como un mecanismo regulador que puede canalizar la tendencia a romper reglas hacia la innovación intraemprendedora, amortiguando el salto hacia formas más claramente destructivas de desviación.</w:t>
      </w:r>
    </w:p>
    <w:p w14:paraId="6D7E2042"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Desde la </w:t>
      </w:r>
      <w:r w:rsidRPr="00220586">
        <w:rPr>
          <w:rFonts w:ascii="Times New Roman" w:hAnsi="Times New Roman" w:cs="Times New Roman"/>
          <w:i/>
          <w:iCs/>
          <w:sz w:val="22"/>
          <w:szCs w:val="22"/>
          <w:lang w:val="es-MX"/>
        </w:rPr>
        <w:t>Conservation of Resources Theory</w:t>
      </w:r>
      <w:r w:rsidRPr="00220586">
        <w:rPr>
          <w:rFonts w:ascii="Times New Roman" w:hAnsi="Times New Roman" w:cs="Times New Roman"/>
          <w:sz w:val="22"/>
          <w:szCs w:val="22"/>
          <w:lang w:val="es-MX"/>
        </w:rPr>
        <w:t xml:space="preserve"> (COR), los individuos tienden a acumular, proteger y expandir recursos; cuando disponen de un “stock” elevado, es más probable que se involucren en conductas arriesgadas o demandantes, ya que perciben capacidad para afrontar posibles pérdidas (Hobfoll, 2001). Aplicado a este estudio, el PsyCap podría funcionar como recurso habilitante que permite a la agencia oscura sostener comportamientos intraemprendedores sin colapsar ante el riesgo o la resistencia interna.</w:t>
      </w:r>
    </w:p>
    <w:p w14:paraId="4B88059E" w14:textId="0A5BD641"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De forma coherente con esta evidencia, el presente estudio asume un rol compensatorio del PsyCap en contextos politizados y de baja justicia. Cuando las estructuras formales proveen poco soporte, los recursos psicológicos positivos se vuelven más determinantes para decidir si la energía disruptiva asociada a la Agencia Oscura se traduce en innovación o en conducta contraproducente (Gojny-Zbierowska, 2024).</w:t>
      </w:r>
    </w:p>
    <w:p w14:paraId="20089611" w14:textId="1DE73A6F" w:rsidR="00C202D7" w:rsidRPr="00220586" w:rsidRDefault="00C202D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Además de la adaptación al español del PCQ-12 disponible en la literatura, el PsyCap cuenta ya con evidencia específica en el contexto peruano. Guerrero-Alcedo y Espina-Romero (2024), utilizando un enfoque bayesiano con estudiantes universitarios peruanos, mostraron que una versión abreviada del cuestionario de capital psicológico presenta buen ajuste de modelo, alta fiabilidad interna y validez convergente con indicadores de bienestar, así como ausencia de problemas graves de funcionamiento diferencial de los ítems. Estos resultados sugieren que el PsyCap es un recurso psicológico pertinente y psicométricamente sólido para poblaciones peruanas, incluso bajo condiciones de alta incertidumbre estructural. En consecuencia, el presente estudio se apoya tanto en las adaptaciones previas al español del PCQ-12 como en esta evidencia local reciente para justificar el uso del PsyCap como moderador y recurso habilitante clave en contextos de baja institucionalidad y alta percepción de política organizacional.</w:t>
      </w:r>
    </w:p>
    <w:p w14:paraId="3C4C4DD3" w14:textId="77777777" w:rsidR="000E5FBB" w:rsidRPr="00220586" w:rsidRDefault="000E5FBB"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2.8. Hipótesis</w:t>
      </w:r>
    </w:p>
    <w:p w14:paraId="56525FCF"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A partir del marco teórico, se formulan las siguientes hipótesis, distinguiendo entre contribuciones centrales y análisis complementarios de carácter exploratorio. Dado el diseño transversal, todas las </w:t>
      </w:r>
      <w:r w:rsidRPr="00220586">
        <w:rPr>
          <w:rFonts w:ascii="Times New Roman" w:hAnsi="Times New Roman" w:cs="Times New Roman"/>
          <w:sz w:val="22"/>
          <w:szCs w:val="22"/>
          <w:lang w:val="es-MX"/>
        </w:rPr>
        <w:lastRenderedPageBreak/>
        <w:t>hipótesis se interpretan en términos de asociaciones estructurales concurrentes, no de efectos causales temporales estrictos.</w:t>
      </w:r>
    </w:p>
    <w:p w14:paraId="31325EF8"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H1. Patrones diferenciales de resultados (paradoja de la agencia) – Núcleo del modelo</w:t>
      </w:r>
    </w:p>
    <w:p w14:paraId="7472109B" w14:textId="1C8B282A" w:rsidR="000E5FBB" w:rsidRPr="00220586" w:rsidRDefault="000E5FBB" w:rsidP="00D82D8D">
      <w:pPr>
        <w:numPr>
          <w:ilvl w:val="0"/>
          <w:numId w:val="10"/>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H1a.</w:t>
      </w:r>
      <w:r w:rsidRPr="00220586">
        <w:rPr>
          <w:rFonts w:ascii="Times New Roman" w:hAnsi="Times New Roman" w:cs="Times New Roman"/>
          <w:sz w:val="22"/>
          <w:szCs w:val="22"/>
          <w:lang w:val="es-MX"/>
        </w:rPr>
        <w:t xml:space="preserve"> Controlando por 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se espera que el componente residual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presente una asociación positiva con el comportamiento intraemprendedor (EIB).</w:t>
      </w:r>
    </w:p>
    <w:p w14:paraId="56F3F335" w14:textId="4C5A63D7" w:rsidR="000E5FBB" w:rsidRPr="00220586" w:rsidRDefault="000E5FBB" w:rsidP="00D82D8D">
      <w:pPr>
        <w:numPr>
          <w:ilvl w:val="0"/>
          <w:numId w:val="10"/>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H1b.</w:t>
      </w:r>
      <w:r w:rsidRPr="00220586">
        <w:rPr>
          <w:rFonts w:ascii="Times New Roman" w:hAnsi="Times New Roman" w:cs="Times New Roman"/>
          <w:sz w:val="22"/>
          <w:szCs w:val="22"/>
          <w:lang w:val="es-MX"/>
        </w:rPr>
        <w:t xml:space="preserve"> Controlando por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se espera que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muestre una asociación positiva con las Conductas Contraproducentes Organizacionales (CWB-O), especialmente aquellas que implican transgresión burocrática instrumental, mientras que su asociación con las Conductas Contraproducentes Interpersonales (CWB-I) será nula o significativamente menor en magnitud.</w:t>
      </w:r>
    </w:p>
    <w:p w14:paraId="67C61D7B" w14:textId="313D3AAB" w:rsidR="000E5FBB" w:rsidRPr="00220586" w:rsidRDefault="000E5FBB" w:rsidP="00D82D8D">
      <w:pPr>
        <w:numPr>
          <w:ilvl w:val="0"/>
          <w:numId w:val="10"/>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H1c.</w:t>
      </w:r>
      <w:r w:rsidRPr="00220586">
        <w:rPr>
          <w:rFonts w:ascii="Times New Roman" w:hAnsi="Times New Roman" w:cs="Times New Roman"/>
          <w:sz w:val="22"/>
          <w:szCs w:val="22"/>
          <w:lang w:val="es-MX"/>
        </w:rPr>
        <w:t xml:space="preserve"> Se espera que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se asocie negativamente con el EIB y positivamente con ambas dimensiones de CWB (organizacional e interpersonal), reflejando un patrón más homogéneamente destructivo.</w:t>
      </w:r>
    </w:p>
    <w:p w14:paraId="3665E0BC"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H2. Vigilancia estratégica como mediación disposicional concurrente – Contribución secundaria</w:t>
      </w:r>
    </w:p>
    <w:p w14:paraId="7D6B5918" w14:textId="52ECBED7" w:rsidR="000E5FBB" w:rsidRPr="00220586" w:rsidRDefault="000E5FBB" w:rsidP="00D82D8D">
      <w:pPr>
        <w:numPr>
          <w:ilvl w:val="0"/>
          <w:numId w:val="11"/>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H2.</w:t>
      </w:r>
      <w:r w:rsidRPr="00220586">
        <w:rPr>
          <w:rFonts w:ascii="Times New Roman" w:hAnsi="Times New Roman" w:cs="Times New Roman"/>
          <w:sz w:val="22"/>
          <w:szCs w:val="22"/>
          <w:lang w:val="es-MX"/>
        </w:rPr>
        <w:t xml:space="preserve"> Se espera una asociación indirecta positiva de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sobre el EIB a través de la Vigilancia Estratégica del Entorno (VEE), interpretada como una configuración disposicional concurrente: los individuos con mayor Agencia Oscura tenderían simultáneamente a reportar niveles superiores de VEE y de comportamiento intraemprendedor.</w:t>
      </w:r>
    </w:p>
    <w:p w14:paraId="1A45F4E4"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H3. POPS como señal de activación (</w:t>
      </w:r>
      <w:r w:rsidRPr="00220586">
        <w:rPr>
          <w:rFonts w:ascii="Times New Roman" w:hAnsi="Times New Roman" w:cs="Times New Roman"/>
          <w:b/>
          <w:bCs/>
          <w:i/>
          <w:iCs/>
          <w:sz w:val="22"/>
          <w:szCs w:val="22"/>
          <w:lang w:val="es-MX"/>
        </w:rPr>
        <w:t>Trait Activation Theory</w:t>
      </w:r>
      <w:r w:rsidRPr="00220586">
        <w:rPr>
          <w:rFonts w:ascii="Times New Roman" w:hAnsi="Times New Roman" w:cs="Times New Roman"/>
          <w:b/>
          <w:bCs/>
          <w:sz w:val="22"/>
          <w:szCs w:val="22"/>
          <w:lang w:val="es-MX"/>
        </w:rPr>
        <w:t>) – Moderador principal</w:t>
      </w:r>
    </w:p>
    <w:p w14:paraId="08D09C62" w14:textId="4CA2133E" w:rsidR="000E5FBB" w:rsidRPr="00220586" w:rsidRDefault="000E5FBB" w:rsidP="00D82D8D">
      <w:pPr>
        <w:numPr>
          <w:ilvl w:val="0"/>
          <w:numId w:val="12"/>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H3.</w:t>
      </w:r>
      <w:r w:rsidRPr="00220586">
        <w:rPr>
          <w:rFonts w:ascii="Times New Roman" w:hAnsi="Times New Roman" w:cs="Times New Roman"/>
          <w:sz w:val="22"/>
          <w:szCs w:val="22"/>
          <w:lang w:val="es-MX"/>
        </w:rPr>
        <w:t xml:space="preserve"> Se espera que la Percepción de Política Organizacional (POPS) modere positivamente la relación entre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y la VEE, de modo que la asociación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r>
          <w:rPr>
            <w:rFonts w:ascii="Cambria Math" w:hAnsi="Cambria Math" w:cs="Times New Roman"/>
            <w:sz w:val="22"/>
            <w:szCs w:val="22"/>
            <w:lang w:val="es-MX"/>
          </w:rPr>
          <m:t>→ VEE</m:t>
        </m:r>
      </m:oMath>
      <w:r w:rsidRPr="00220586">
        <w:rPr>
          <w:rFonts w:ascii="Times New Roman" w:hAnsi="Times New Roman" w:cs="Times New Roman"/>
          <w:sz w:val="22"/>
          <w:szCs w:val="22"/>
          <w:lang w:val="es-MX"/>
        </w:rPr>
        <w:t xml:space="preserve"> sea más fuerte cuando el entorno se percibe como altamente politizado. En términos de Trait Activation, un clima político más intenso funcionaría como señal situacional que facilita la expresión de la agencia oscura en forma de vigilancia estratégica.</w:t>
      </w:r>
    </w:p>
    <w:p w14:paraId="460C0F01"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H4. PsyCap como recurso habilitante (</w:t>
      </w:r>
      <w:r w:rsidRPr="00220586">
        <w:rPr>
          <w:rFonts w:ascii="Times New Roman" w:hAnsi="Times New Roman" w:cs="Times New Roman"/>
          <w:b/>
          <w:bCs/>
          <w:i/>
          <w:iCs/>
          <w:sz w:val="22"/>
          <w:szCs w:val="22"/>
          <w:lang w:val="es-MX"/>
        </w:rPr>
        <w:t>Conservation of Resources Theory</w:t>
      </w:r>
      <w:r w:rsidRPr="00220586">
        <w:rPr>
          <w:rFonts w:ascii="Times New Roman" w:hAnsi="Times New Roman" w:cs="Times New Roman"/>
          <w:b/>
          <w:bCs/>
          <w:sz w:val="22"/>
          <w:szCs w:val="22"/>
          <w:lang w:val="es-MX"/>
        </w:rPr>
        <w:t>) – Hipótesis complementaria</w:t>
      </w:r>
    </w:p>
    <w:p w14:paraId="57A86411" w14:textId="246D1B82" w:rsidR="000E5FBB" w:rsidRPr="00220586" w:rsidRDefault="000E5FBB" w:rsidP="00D82D8D">
      <w:pPr>
        <w:numPr>
          <w:ilvl w:val="0"/>
          <w:numId w:val="13"/>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lastRenderedPageBreak/>
        <w:t>H4 (complementaria).</w:t>
      </w:r>
      <w:r w:rsidRPr="00220586">
        <w:rPr>
          <w:rFonts w:ascii="Times New Roman" w:hAnsi="Times New Roman" w:cs="Times New Roman"/>
          <w:sz w:val="22"/>
          <w:szCs w:val="22"/>
          <w:lang w:val="es-MX"/>
        </w:rPr>
        <w:t xml:space="preserve"> Se explorará si el Capital Psicológico (PsyCap) modera positivamente la relación entre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y el comportamiento intraemprendedor (EIB). Se espera que esta función movilizadora del PsyCap sea más crítica precisamente cuando el entorno se percibe como altamente politizado o injusto, actuando como recurso compensatorio que favorece que la energía disruptiva asociada a la Agencia Oscura se canalice hacia la innovación en lugar de hacia la desviación destructiva (Dang-Van et al., 2022; Gojny-Zbierowska, 2024; Tang, 2020; Berisha et al., 2025). Dado el estado aún incipiente de la evidencia, esta hipótesis se formula como análisis complementario.</w:t>
      </w:r>
    </w:p>
    <w:p w14:paraId="7213BDAF"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H5. Heterogeneidad latente (Análisis de Perfiles Latentes) – Análisis exploratorio</w:t>
      </w:r>
    </w:p>
    <w:p w14:paraId="7A60D6C9" w14:textId="512A45E8" w:rsidR="000E5FBB" w:rsidRPr="00220586" w:rsidRDefault="000E5FBB" w:rsidP="00D82D8D">
      <w:pPr>
        <w:numPr>
          <w:ilvl w:val="0"/>
          <w:numId w:val="14"/>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H5 (exploratoria).</w:t>
      </w:r>
      <w:r w:rsidRPr="00220586">
        <w:rPr>
          <w:rFonts w:ascii="Times New Roman" w:hAnsi="Times New Roman" w:cs="Times New Roman"/>
          <w:sz w:val="22"/>
          <w:szCs w:val="22"/>
          <w:lang w:val="es-MX"/>
        </w:rPr>
        <w:t xml:space="preserve"> Se explorará, mediante Análisis de Perfiles Latentes (LPA), la posible existencia de un perfil de “desviación constructiva orientada al logro”, caracterizado por alto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moderado, EIB alto, CWB-O moderado y CWB-I baja. La identificación, tamaño y estabilidad de este perfil se considerarán hallazgos exploratorios y no constituirán criterio de confirmación del modelo teórico principal.</w:t>
      </w:r>
    </w:p>
    <w:p w14:paraId="676E7BDD" w14:textId="77777777" w:rsidR="00884DD2" w:rsidRPr="00220586" w:rsidRDefault="00AB2D23"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En síntesis, el modelo teórico propuesto puede representarse como una arquitectura de doble capa. En la primera, estructural, el Factor General Antagónico (</w:t>
      </w:r>
      <m:oMath>
        <m:r>
          <w:rPr>
            <w:rFonts w:ascii="Cambria Math" w:hAnsi="Cambria Math" w:cs="Times New Roman"/>
            <w:sz w:val="22"/>
            <w:szCs w:val="22"/>
          </w:rPr>
          <m:t>G</m:t>
        </m:r>
      </m:oMath>
      <w:r w:rsidRPr="00220586">
        <w:rPr>
          <w:rFonts w:ascii="Times New Roman" w:hAnsi="Times New Roman" w:cs="Times New Roman"/>
          <w:sz w:val="22"/>
          <w:szCs w:val="22"/>
        </w:rPr>
        <w:t>) y el componente residual de Agencia Oscura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xml:space="preserve">) predicen de forma diferenciada tres resultados clave: comportamiento intraemprendedor (EIB), conducta contraproducente organizacional (CWB-O) y conducta contraproducente interpersonal (CWB-I). </w:t>
      </w:r>
    </w:p>
    <w:p w14:paraId="5BDCC8DF" w14:textId="4E82ADFA" w:rsidR="00884DD2" w:rsidRPr="00220586" w:rsidRDefault="00AB2D23"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En la segunda capa, disposicional–contextual, la Vigilancia Estratégica del Entorno (VEE) funciona como mecanismo mediador concurrente entre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xml:space="preserve"> y el EIB, cuya activación depende de señales situacionales de política percibida (POPS) y de la disponibilidad de recursos psicológicos positivos (PsyCap). </w:t>
      </w:r>
    </w:p>
    <w:p w14:paraId="37D66567" w14:textId="5253E816" w:rsidR="005A6377" w:rsidRPr="00220586" w:rsidRDefault="00AB2D23"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Sobre este entramado continuo se superpone, a nivel exploratorio, una capa de heterogeneidad latente que distingue perfiles combinados de </w:t>
      </w:r>
      <m:oMath>
        <m:r>
          <w:rPr>
            <w:rFonts w:ascii="Cambria Math" w:hAnsi="Cambria Math" w:cs="Times New Roman"/>
            <w:sz w:val="22"/>
            <w:szCs w:val="22"/>
          </w:rPr>
          <m:t>G</m:t>
        </m:r>
      </m:oMath>
      <w:r w:rsidRPr="00220586">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EIB, CWB-O y CWB-I —incluido un potencial perfil de “desviación constructiva orientada al logro”—, lo que permite evaluar si la paradoja de la agencia oscura se manifiesta en configuraciones de rasgos y comportamientos coherentes en contextos de baja institucionalidad.</w:t>
      </w:r>
    </w:p>
    <w:p w14:paraId="11F92BED" w14:textId="4FC854A7" w:rsidR="00884DD2" w:rsidRPr="00220586" w:rsidRDefault="00884DD2" w:rsidP="00D82D8D">
      <w:pPr>
        <w:spacing w:line="360" w:lineRule="auto"/>
        <w:jc w:val="both"/>
        <w:rPr>
          <w:rFonts w:ascii="Times New Roman" w:hAnsi="Times New Roman" w:cs="Times New Roman"/>
          <w:b/>
          <w:bCs/>
          <w:sz w:val="22"/>
          <w:szCs w:val="22"/>
        </w:rPr>
      </w:pPr>
      <w:r w:rsidRPr="00220586">
        <w:rPr>
          <w:rFonts w:ascii="Times New Roman" w:hAnsi="Times New Roman" w:cs="Times New Roman"/>
          <w:b/>
          <w:bCs/>
          <w:sz w:val="22"/>
          <w:szCs w:val="22"/>
        </w:rPr>
        <w:t>2.9. Formulación matemática del modelo estructural</w:t>
      </w:r>
    </w:p>
    <w:p w14:paraId="67985787" w14:textId="77777777" w:rsidR="002F732D" w:rsidRPr="00220586" w:rsidRDefault="00884DD2"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Para explicitar la lógica del modelo propuesto en términos formales, se representa la estructura básica mediante un sistema de ecuaciones estructurales. </w:t>
      </w:r>
    </w:p>
    <w:p w14:paraId="19E7E169" w14:textId="77777777" w:rsidR="002F732D" w:rsidRPr="00220586" w:rsidRDefault="00884DD2"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lastRenderedPageBreak/>
        <w:t xml:space="preserve">Sea </w:t>
      </w:r>
      <m:oMath>
        <m:r>
          <w:rPr>
            <w:rFonts w:ascii="Cambria Math" w:hAnsi="Cambria Math" w:cs="Times New Roman"/>
            <w:sz w:val="22"/>
            <w:szCs w:val="22"/>
          </w:rPr>
          <m:t>G</m:t>
        </m:r>
      </m:oMath>
      <w:r w:rsidRPr="00220586">
        <w:rPr>
          <w:rFonts w:ascii="Times New Roman" w:hAnsi="Times New Roman" w:cs="Times New Roman"/>
          <w:sz w:val="22"/>
          <w:szCs w:val="22"/>
        </w:rPr>
        <w:t xml:space="preserve"> el Factor General Antagónico,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sidRPr="00220586">
        <w:rPr>
          <w:rFonts w:ascii="Times New Roman" w:hAnsi="Times New Roman" w:cs="Times New Roman"/>
          <w:sz w:val="22"/>
          <w:szCs w:val="22"/>
        </w:rPr>
        <w:t xml:space="preserve"> el factor específico de Agencia Oscura (residual a </w:t>
      </w:r>
      <m:oMath>
        <m:r>
          <w:rPr>
            <w:rFonts w:ascii="Cambria Math" w:hAnsi="Cambria Math" w:cs="Times New Roman"/>
            <w:sz w:val="22"/>
            <w:szCs w:val="22"/>
          </w:rPr>
          <m:t>G</m:t>
        </m:r>
      </m:oMath>
      <w:r w:rsidRPr="00220586">
        <w:rPr>
          <w:rFonts w:ascii="Times New Roman" w:hAnsi="Times New Roman" w:cs="Times New Roman"/>
          <w:sz w:val="22"/>
          <w:szCs w:val="22"/>
        </w:rPr>
        <w:t xml:space="preserve"> en el modelo bifactorial sobre la SD4), </w:t>
      </w:r>
      <m:oMath>
        <m:r>
          <w:rPr>
            <w:rFonts w:ascii="Cambria Math" w:hAnsi="Cambria Math" w:cs="Times New Roman"/>
            <w:sz w:val="22"/>
            <w:szCs w:val="22"/>
          </w:rPr>
          <m:t>VEE</m:t>
        </m:r>
      </m:oMath>
      <w:r w:rsidRPr="00220586">
        <w:rPr>
          <w:rFonts w:ascii="Times New Roman" w:hAnsi="Times New Roman" w:cs="Times New Roman"/>
          <w:sz w:val="22"/>
          <w:szCs w:val="22"/>
        </w:rPr>
        <w:t xml:space="preserve"> la Vigilancia Estratégica del Entorno, </w:t>
      </w:r>
      <m:oMath>
        <m:r>
          <w:rPr>
            <w:rFonts w:ascii="Cambria Math" w:hAnsi="Cambria Math" w:cs="Times New Roman"/>
            <w:sz w:val="22"/>
            <w:szCs w:val="22"/>
          </w:rPr>
          <m:t>EIB</m:t>
        </m:r>
      </m:oMath>
      <w:r w:rsidRPr="00220586">
        <w:rPr>
          <w:rFonts w:ascii="Times New Roman" w:hAnsi="Times New Roman" w:cs="Times New Roman"/>
          <w:sz w:val="22"/>
          <w:szCs w:val="22"/>
        </w:rPr>
        <w:t xml:space="preserve">el comportamiento intraemprendedor, </w:t>
      </w:r>
      <m:oMath>
        <m:r>
          <w:rPr>
            <w:rFonts w:ascii="Cambria Math" w:hAnsi="Cambria Math" w:cs="Times New Roman"/>
            <w:sz w:val="22"/>
            <w:szCs w:val="22"/>
          </w:rPr>
          <m:t>CW</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O</m:t>
            </m:r>
          </m:sub>
        </m:sSub>
      </m:oMath>
      <w:r w:rsidRPr="00220586">
        <w:rPr>
          <w:rFonts w:ascii="Times New Roman" w:hAnsi="Times New Roman" w:cs="Times New Roman"/>
          <w:sz w:val="22"/>
          <w:szCs w:val="22"/>
        </w:rPr>
        <w:t xml:space="preserve"> la conducta contraproducente organizacional, </w:t>
      </w:r>
      <m:oMath>
        <m:r>
          <w:rPr>
            <w:rFonts w:ascii="Cambria Math" w:hAnsi="Cambria Math" w:cs="Times New Roman"/>
            <w:sz w:val="22"/>
            <w:szCs w:val="22"/>
          </w:rPr>
          <m:t>CW</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I</m:t>
            </m:r>
          </m:sub>
        </m:sSub>
      </m:oMath>
      <w:r w:rsidRPr="00220586">
        <w:rPr>
          <w:rFonts w:ascii="Times New Roman" w:hAnsi="Times New Roman" w:cs="Times New Roman"/>
          <w:sz w:val="22"/>
          <w:szCs w:val="22"/>
        </w:rPr>
        <w:t xml:space="preserve"> la conducta contraproducente interpersonal, </w:t>
      </w:r>
      <m:oMath>
        <m:r>
          <w:rPr>
            <w:rFonts w:ascii="Cambria Math" w:hAnsi="Cambria Math" w:cs="Times New Roman"/>
            <w:sz w:val="22"/>
            <w:szCs w:val="22"/>
          </w:rPr>
          <m:t>POPS</m:t>
        </m:r>
      </m:oMath>
      <w:r w:rsidRPr="00220586">
        <w:rPr>
          <w:rFonts w:ascii="Times New Roman" w:hAnsi="Times New Roman" w:cs="Times New Roman"/>
          <w:sz w:val="22"/>
          <w:szCs w:val="22"/>
        </w:rPr>
        <w:t xml:space="preserve"> la percepción de política organizacional y </w:t>
      </w:r>
      <m:oMath>
        <m:r>
          <w:rPr>
            <w:rFonts w:ascii="Cambria Math" w:hAnsi="Cambria Math" w:cs="Times New Roman"/>
            <w:sz w:val="22"/>
            <w:szCs w:val="22"/>
          </w:rPr>
          <m:t>PsyCap</m:t>
        </m:r>
      </m:oMath>
      <w:r w:rsidRPr="00220586">
        <w:rPr>
          <w:rFonts w:ascii="Times New Roman" w:hAnsi="Times New Roman" w:cs="Times New Roman"/>
          <w:sz w:val="22"/>
          <w:szCs w:val="22"/>
        </w:rPr>
        <w:t xml:space="preserve"> el capital psicológico. </w:t>
      </w:r>
    </w:p>
    <w:p w14:paraId="71473CAD" w14:textId="5A62C336" w:rsidR="00884DD2" w:rsidRPr="00220586" w:rsidRDefault="00884DD2" w:rsidP="00D82D8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Las relaciones estructurales centrales pueden resumirse como sigue:</w:t>
      </w:r>
    </w:p>
    <w:p w14:paraId="7483EDEB" w14:textId="77777777" w:rsidR="00927396" w:rsidRPr="00220586" w:rsidRDefault="00884DD2" w:rsidP="00884DD2">
      <w:pPr>
        <w:spacing w:line="360" w:lineRule="auto"/>
        <w:jc w:val="both"/>
        <w:rPr>
          <w:rFonts w:ascii="Times New Roman" w:hAnsi="Times New Roman" w:cs="Times New Roman"/>
          <w:sz w:val="22"/>
          <w:szCs w:val="22"/>
          <w:lang w:val="es-MX"/>
        </w:rPr>
      </w:pPr>
      <m:oMathPara>
        <m:oMathParaPr>
          <m:jc m:val="center"/>
        </m:oMathParaPr>
        <m:oMath>
          <m:r>
            <w:rPr>
              <w:rFonts w:ascii="Cambria Math" w:hAnsi="Cambria Math" w:cs="Times New Roman"/>
              <w:sz w:val="22"/>
              <w:szCs w:val="22"/>
              <w:lang w:val="es-MX"/>
            </w:rPr>
            <m:t>VEE=</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α</m:t>
              </m:r>
            </m:e>
            <m:sub>
              <m:r>
                <w:rPr>
                  <w:rFonts w:ascii="Cambria Math" w:hAnsi="Cambria Math" w:cs="Times New Roman"/>
                  <w:sz w:val="22"/>
                  <w:szCs w:val="22"/>
                  <w:lang w:val="es-MX"/>
                </w:rPr>
                <m:t>0</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α</m:t>
              </m:r>
            </m:e>
            <m:sub>
              <m:r>
                <w:rPr>
                  <w:rFonts w:ascii="Cambria Math" w:hAnsi="Cambria Math" w:cs="Times New Roman"/>
                  <w:sz w:val="22"/>
                  <w:szCs w:val="22"/>
                  <w:lang w:val="es-MX"/>
                </w:rPr>
                <m:t>1</m:t>
              </m:r>
            </m:sub>
          </m:sSub>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α</m:t>
              </m:r>
            </m:e>
            <m:sub>
              <m:r>
                <w:rPr>
                  <w:rFonts w:ascii="Cambria Math" w:hAnsi="Cambria Math" w:cs="Times New Roman"/>
                  <w:sz w:val="22"/>
                  <w:szCs w:val="22"/>
                  <w:lang w:val="es-MX"/>
                </w:rPr>
                <m:t>2</m:t>
              </m:r>
            </m:sub>
          </m:sSub>
          <m:r>
            <w:rPr>
              <w:rFonts w:ascii="Cambria Math" w:hAnsi="Cambria Math" w:cs="Times New Roman"/>
              <w:sz w:val="22"/>
              <w:szCs w:val="22"/>
              <w:lang w:val="es-MX"/>
            </w:rPr>
            <m:t>POPS+</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α</m:t>
              </m:r>
            </m:e>
            <m:sub>
              <m:r>
                <w:rPr>
                  <w:rFonts w:ascii="Cambria Math" w:hAnsi="Cambria Math" w:cs="Times New Roman"/>
                  <w:sz w:val="22"/>
                  <w:szCs w:val="22"/>
                  <w:lang w:val="es-MX"/>
                </w:rPr>
                <m:t>3</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×POPS)+</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ε</m:t>
              </m:r>
            </m:e>
            <m:sub>
              <m:r>
                <w:rPr>
                  <w:rFonts w:ascii="Cambria Math" w:hAnsi="Cambria Math" w:cs="Times New Roman"/>
                  <w:sz w:val="22"/>
                  <w:szCs w:val="22"/>
                  <w:lang w:val="es-MX"/>
                </w:rPr>
                <m:t>VEE</m:t>
              </m:r>
            </m:sub>
          </m:sSub>
          <m:r>
            <m:rPr>
              <m:sty m:val="p"/>
            </m:rPr>
            <w:rPr>
              <w:rFonts w:ascii="Cambria Math" w:hAnsi="Cambria Math" w:cs="Times New Roman"/>
              <w:sz w:val="22"/>
              <w:szCs w:val="22"/>
              <w:lang w:val="es-MX"/>
            </w:rPr>
            <w:br/>
          </m:r>
        </m:oMath>
        <m:oMath>
          <m:r>
            <w:rPr>
              <w:rFonts w:ascii="Cambria Math" w:hAnsi="Cambria Math" w:cs="Times New Roman"/>
              <w:sz w:val="22"/>
              <w:szCs w:val="22"/>
              <w:lang w:val="es-MX"/>
            </w:rPr>
            <m:t>EIB=</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0</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1</m:t>
              </m:r>
            </m:sub>
          </m:sSub>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2</m:t>
              </m:r>
            </m:sub>
          </m:sSub>
          <m:r>
            <w:rPr>
              <w:rFonts w:ascii="Cambria Math" w:hAnsi="Cambria Math" w:cs="Times New Roman"/>
              <w:sz w:val="22"/>
              <w:szCs w:val="22"/>
              <w:lang w:val="es-MX"/>
            </w:rPr>
            <m:t>G+</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3</m:t>
              </m:r>
            </m:sub>
          </m:sSub>
          <m:r>
            <w:rPr>
              <w:rFonts w:ascii="Cambria Math" w:hAnsi="Cambria Math" w:cs="Times New Roman"/>
              <w:sz w:val="22"/>
              <w:szCs w:val="22"/>
              <w:lang w:val="es-MX"/>
            </w:rPr>
            <m:t>VEE+</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4</m:t>
              </m:r>
            </m:sub>
          </m:sSub>
          <m:r>
            <w:rPr>
              <w:rFonts w:ascii="Cambria Math" w:hAnsi="Cambria Math" w:cs="Times New Roman"/>
              <w:sz w:val="22"/>
              <w:szCs w:val="22"/>
              <w:lang w:val="es-MX"/>
            </w:rPr>
            <m:t>PsyCap+</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5</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×PsyCap)+</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ε</m:t>
              </m:r>
            </m:e>
            <m:sub>
              <m:r>
                <w:rPr>
                  <w:rFonts w:ascii="Cambria Math" w:hAnsi="Cambria Math" w:cs="Times New Roman"/>
                  <w:sz w:val="22"/>
                  <w:szCs w:val="22"/>
                  <w:lang w:val="es-MX"/>
                </w:rPr>
                <m:t>EIB</m:t>
              </m:r>
            </m:sub>
          </m:sSub>
          <m:r>
            <m:rPr>
              <m:sty m:val="p"/>
            </m:rPr>
            <w:rPr>
              <w:rFonts w:ascii="Cambria Math" w:hAnsi="Cambria Math" w:cs="Times New Roman"/>
              <w:sz w:val="22"/>
              <w:szCs w:val="22"/>
              <w:lang w:val="es-MX"/>
            </w:rPr>
            <w:br/>
          </m:r>
        </m:oMath>
        <m:oMath>
          <m:r>
            <w:rPr>
              <w:rFonts w:ascii="Cambria Math" w:hAnsi="Cambria Math" w:cs="Times New Roman"/>
              <w:sz w:val="22"/>
              <w:szCs w:val="22"/>
              <w:lang w:val="es-MX"/>
            </w:rPr>
            <m:t>CW</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O</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γ</m:t>
              </m:r>
            </m:e>
            <m:sub>
              <m:r>
                <w:rPr>
                  <w:rFonts w:ascii="Cambria Math" w:hAnsi="Cambria Math" w:cs="Times New Roman"/>
                  <w:sz w:val="22"/>
                  <w:szCs w:val="22"/>
                  <w:lang w:val="es-MX"/>
                </w:rPr>
                <m:t>0</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γ</m:t>
              </m:r>
            </m:e>
            <m:sub>
              <m:r>
                <w:rPr>
                  <w:rFonts w:ascii="Cambria Math" w:hAnsi="Cambria Math" w:cs="Times New Roman"/>
                  <w:sz w:val="22"/>
                  <w:szCs w:val="22"/>
                  <w:lang w:val="es-MX"/>
                </w:rPr>
                <m:t>1</m:t>
              </m:r>
            </m:sub>
          </m:sSub>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γ</m:t>
              </m:r>
            </m:e>
            <m:sub>
              <m:r>
                <w:rPr>
                  <w:rFonts w:ascii="Cambria Math" w:hAnsi="Cambria Math" w:cs="Times New Roman"/>
                  <w:sz w:val="22"/>
                  <w:szCs w:val="22"/>
                  <w:lang w:val="es-MX"/>
                </w:rPr>
                <m:t>2</m:t>
              </m:r>
            </m:sub>
          </m:sSub>
          <m:r>
            <w:rPr>
              <w:rFonts w:ascii="Cambria Math" w:hAnsi="Cambria Math" w:cs="Times New Roman"/>
              <w:sz w:val="22"/>
              <w:szCs w:val="22"/>
              <w:lang w:val="es-MX"/>
            </w:rPr>
            <m:t>G+</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ε</m:t>
              </m:r>
            </m:e>
            <m:sub>
              <m:r>
                <w:rPr>
                  <w:rFonts w:ascii="Cambria Math" w:hAnsi="Cambria Math" w:cs="Times New Roman"/>
                  <w:sz w:val="22"/>
                  <w:szCs w:val="22"/>
                  <w:lang w:val="es-MX"/>
                </w:rPr>
                <m:t>CW</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O</m:t>
                  </m:r>
                </m:sub>
              </m:sSub>
            </m:sub>
          </m:sSub>
          <m:r>
            <m:rPr>
              <m:sty m:val="p"/>
            </m:rPr>
            <w:rPr>
              <w:rFonts w:ascii="Cambria Math" w:hAnsi="Cambria Math" w:cs="Times New Roman"/>
              <w:sz w:val="22"/>
              <w:szCs w:val="22"/>
              <w:lang w:val="es-MX"/>
            </w:rPr>
            <w:br/>
          </m:r>
        </m:oMath>
        <m:oMath>
          <m:r>
            <w:rPr>
              <w:rFonts w:ascii="Cambria Math" w:hAnsi="Cambria Math" w:cs="Times New Roman"/>
              <w:sz w:val="22"/>
              <w:szCs w:val="22"/>
              <w:lang w:val="es-MX"/>
            </w:rPr>
            <m:t>CW</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I</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δ</m:t>
              </m:r>
            </m:e>
            <m:sub>
              <m:r>
                <w:rPr>
                  <w:rFonts w:ascii="Cambria Math" w:hAnsi="Cambria Math" w:cs="Times New Roman"/>
                  <w:sz w:val="22"/>
                  <w:szCs w:val="22"/>
                  <w:lang w:val="es-MX"/>
                </w:rPr>
                <m:t>0</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δ</m:t>
              </m:r>
            </m:e>
            <m:sub>
              <m:r>
                <w:rPr>
                  <w:rFonts w:ascii="Cambria Math" w:hAnsi="Cambria Math" w:cs="Times New Roman"/>
                  <w:sz w:val="22"/>
                  <w:szCs w:val="22"/>
                  <w:lang w:val="es-MX"/>
                </w:rPr>
                <m:t>1</m:t>
              </m:r>
            </m:sub>
          </m:sSub>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δ</m:t>
              </m:r>
            </m:e>
            <m:sub>
              <m:r>
                <w:rPr>
                  <w:rFonts w:ascii="Cambria Math" w:hAnsi="Cambria Math" w:cs="Times New Roman"/>
                  <w:sz w:val="22"/>
                  <w:szCs w:val="22"/>
                  <w:lang w:val="es-MX"/>
                </w:rPr>
                <m:t>2</m:t>
              </m:r>
            </m:sub>
          </m:sSub>
          <m:r>
            <w:rPr>
              <w:rFonts w:ascii="Cambria Math" w:hAnsi="Cambria Math" w:cs="Times New Roman"/>
              <w:sz w:val="22"/>
              <w:szCs w:val="22"/>
              <w:lang w:val="es-MX"/>
            </w:rPr>
            <m:t>G+</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ε</m:t>
              </m:r>
            </m:e>
            <m:sub>
              <m:r>
                <w:rPr>
                  <w:rFonts w:ascii="Cambria Math" w:hAnsi="Cambria Math" w:cs="Times New Roman"/>
                  <w:sz w:val="22"/>
                  <w:szCs w:val="22"/>
                  <w:lang w:val="es-MX"/>
                </w:rPr>
                <m:t>CW</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I</m:t>
                  </m:r>
                </m:sub>
              </m:sSub>
            </m:sub>
          </m:sSub>
          <m:r>
            <m:rPr>
              <m:sty m:val="p"/>
            </m:rPr>
            <w:rPr>
              <w:rFonts w:ascii="Cambria Math" w:hAnsi="Cambria Math" w:cs="Times New Roman"/>
              <w:sz w:val="22"/>
              <w:szCs w:val="22"/>
              <w:lang w:val="es-MX"/>
            </w:rPr>
            <w:br/>
          </m:r>
        </m:oMath>
      </m:oMathPara>
      <w:r w:rsidRPr="00220586">
        <w:rPr>
          <w:rFonts w:ascii="Times New Roman" w:hAnsi="Times New Roman" w:cs="Times New Roman"/>
          <w:sz w:val="22"/>
          <w:szCs w:val="22"/>
          <w:lang w:val="es-MX"/>
        </w:rPr>
        <w:t xml:space="preserve">donde los términos producto </w:t>
      </w:r>
      <m:oMath>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×POPS</m:t>
        </m:r>
      </m:oMath>
      <w:r w:rsidR="00927396" w:rsidRPr="00220586">
        <w:rPr>
          <w:rFonts w:ascii="Times New Roman" w:hAnsi="Times New Roman" w:cs="Times New Roman"/>
          <w:sz w:val="22"/>
          <w:szCs w:val="22"/>
          <w:lang w:val="es-MX"/>
        </w:rPr>
        <w:t xml:space="preserve"> </w:t>
      </w:r>
      <w:r w:rsidRPr="00220586">
        <w:rPr>
          <w:rFonts w:ascii="Times New Roman" w:hAnsi="Times New Roman" w:cs="Times New Roman"/>
          <w:sz w:val="22"/>
          <w:szCs w:val="22"/>
          <w:lang w:val="es-MX"/>
        </w:rPr>
        <w:t xml:space="preserve">y </w:t>
      </w:r>
      <m:oMath>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×PsyCap</m:t>
        </m:r>
      </m:oMath>
      <w:r w:rsidR="00927396" w:rsidRPr="00220586">
        <w:rPr>
          <w:rFonts w:ascii="Times New Roman" w:hAnsi="Times New Roman" w:cs="Times New Roman"/>
          <w:sz w:val="22"/>
          <w:szCs w:val="22"/>
          <w:lang w:val="es-MX"/>
        </w:rPr>
        <w:t xml:space="preserve"> </w:t>
      </w:r>
      <w:r w:rsidRPr="00220586">
        <w:rPr>
          <w:rFonts w:ascii="Times New Roman" w:hAnsi="Times New Roman" w:cs="Times New Roman"/>
          <w:sz w:val="22"/>
          <w:szCs w:val="22"/>
          <w:lang w:val="es-MX"/>
        </w:rPr>
        <w:t xml:space="preserve">representan las interacciones moderadoras postuladas en las hipótesis H3 y H4, respectivamente. </w:t>
      </w:r>
    </w:p>
    <w:p w14:paraId="2F1D6FE5" w14:textId="75E886AF" w:rsidR="00884DD2" w:rsidRPr="00220586" w:rsidRDefault="00884DD2" w:rsidP="00884DD2">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el caso del modelo latente (Escenario A), estas ecuaciones se estimarán con variables latentes y términos de interacción latente mediante métodos de máxima verosimilitud robusta con integración numérica (por ejemplo, enfoque LMS), mientras que en el modelo observado (Escenario B) se implementarán mediante términos producto centrados sobre índices compuestos (Marsh et al., 2004; Muthén &amp; Asparouhov, 2006).</w:t>
      </w:r>
    </w:p>
    <w:p w14:paraId="59673B89" w14:textId="79D6C074" w:rsidR="00884DD2" w:rsidRPr="00220586" w:rsidRDefault="00884DD2" w:rsidP="00884DD2">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 mediación disposicional concurrente postulada en H2 se formaliza mediante el producto </w:t>
      </w:r>
      <m:oMath>
        <m:sSub>
          <m:sSubPr>
            <m:ctrlPr>
              <w:rPr>
                <w:rFonts w:ascii="Cambria Math" w:hAnsi="Cambria Math" w:cs="Times New Roman"/>
                <w:sz w:val="22"/>
                <w:szCs w:val="22"/>
                <w:lang w:val="es-MX"/>
              </w:rPr>
            </m:ctrlPr>
          </m:sSubPr>
          <m:e>
            <m:r>
              <w:rPr>
                <w:rFonts w:ascii="Cambria Math" w:hAnsi="Cambria Math" w:cs="Times New Roman"/>
                <w:sz w:val="22"/>
                <w:szCs w:val="22"/>
                <w:lang w:val="es-MX"/>
              </w:rPr>
              <m:t>α</m:t>
            </m:r>
          </m:e>
          <m:sub>
            <m:r>
              <w:rPr>
                <w:rFonts w:ascii="Cambria Math" w:hAnsi="Cambria Math" w:cs="Times New Roman"/>
                <w:sz w:val="22"/>
                <w:szCs w:val="22"/>
                <w:lang w:val="es-MX"/>
              </w:rPr>
              <m:t>1</m:t>
            </m:r>
          </m:sub>
        </m:sSub>
        <m:r>
          <w:rPr>
            <w:rFonts w:ascii="Cambria Math" w:hAnsi="Cambria Math" w:cs="Times New Roman"/>
            <w:sz w:val="22"/>
            <w:szCs w:val="22"/>
            <w:lang w:val="es-MX"/>
          </w:rPr>
          <m:t>×</m:t>
        </m:r>
        <m:sSub>
          <m:sSubPr>
            <m:ctrlPr>
              <w:rPr>
                <w:rFonts w:ascii="Cambria Math" w:hAnsi="Cambria Math" w:cs="Times New Roman"/>
                <w:sz w:val="22"/>
                <w:szCs w:val="22"/>
                <w:lang w:val="es-MX"/>
              </w:rPr>
            </m:ctrlPr>
          </m:sSubPr>
          <m:e>
            <m:r>
              <w:rPr>
                <w:rFonts w:ascii="Cambria Math" w:hAnsi="Cambria Math" w:cs="Times New Roman"/>
                <w:sz w:val="22"/>
                <w:szCs w:val="22"/>
                <w:lang w:val="es-MX"/>
              </w:rPr>
              <m:t>β</m:t>
            </m:r>
          </m:e>
          <m:sub>
            <m:r>
              <w:rPr>
                <w:rFonts w:ascii="Cambria Math" w:hAnsi="Cambria Math" w:cs="Times New Roman"/>
                <w:sz w:val="22"/>
                <w:szCs w:val="22"/>
                <w:lang w:val="es-MX"/>
              </w:rPr>
              <m:t>3</m:t>
            </m:r>
          </m:sub>
        </m:sSub>
      </m:oMath>
      <w:r w:rsidRPr="00220586">
        <w:rPr>
          <w:rFonts w:ascii="Times New Roman" w:hAnsi="Times New Roman" w:cs="Times New Roman"/>
          <w:sz w:val="22"/>
          <w:szCs w:val="22"/>
          <w:lang w:val="es-MX"/>
        </w:rPr>
        <w:t xml:space="preserve">, que representa el efecto indirecto de </w:t>
      </w:r>
      <m:oMath>
        <m:sSub>
          <m:sSubPr>
            <m:ctrlPr>
              <w:rPr>
                <w:rFonts w:ascii="Cambria Math" w:hAnsi="Cambria Math" w:cs="Times New Roman"/>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oMath>
      <w:r w:rsidRPr="00220586">
        <w:rPr>
          <w:rFonts w:ascii="Times New Roman" w:hAnsi="Times New Roman" w:cs="Times New Roman"/>
          <w:sz w:val="22"/>
          <w:szCs w:val="22"/>
          <w:lang w:val="es-MX"/>
        </w:rPr>
        <w:t xml:space="preserve">sobre </w:t>
      </w:r>
      <m:oMath>
        <m:r>
          <w:rPr>
            <w:rFonts w:ascii="Cambria Math" w:hAnsi="Cambria Math" w:cs="Times New Roman"/>
            <w:sz w:val="22"/>
            <w:szCs w:val="22"/>
            <w:lang w:val="es-MX"/>
          </w:rPr>
          <m:t>EIB</m:t>
        </m:r>
      </m:oMath>
      <w:r w:rsidRPr="00220586">
        <w:rPr>
          <w:rFonts w:ascii="Times New Roman" w:hAnsi="Times New Roman" w:cs="Times New Roman"/>
          <w:sz w:val="22"/>
          <w:szCs w:val="22"/>
          <w:lang w:val="es-MX"/>
        </w:rPr>
        <w:t xml:space="preserve">a través de </w:t>
      </w:r>
      <m:oMath>
        <m:r>
          <w:rPr>
            <w:rFonts w:ascii="Cambria Math" w:hAnsi="Cambria Math" w:cs="Times New Roman"/>
            <w:sz w:val="22"/>
            <w:szCs w:val="22"/>
            <w:lang w:val="es-MX"/>
          </w:rPr>
          <m:t>VEE</m:t>
        </m:r>
      </m:oMath>
      <w:r w:rsidRPr="00220586">
        <w:rPr>
          <w:rFonts w:ascii="Times New Roman" w:hAnsi="Times New Roman" w:cs="Times New Roman"/>
          <w:sz w:val="22"/>
          <w:szCs w:val="22"/>
          <w:lang w:val="es-MX"/>
        </w:rPr>
        <w:t>. Este efecto se estimará mediante bootstrapping no paramétrico con 5 000 remuestreos, obteniendo intervalos de confianza sesgo–corregidos. Finalmente, el componente exploratorio de heterogeneidad latente (H5) se implementará mediante Análisis de Perfiles Latentes (LPA) sobre las variables (</w:t>
      </w:r>
      <m:oMath>
        <m:r>
          <w:rPr>
            <w:rFonts w:ascii="Cambria Math" w:hAnsi="Cambria Math" w:cs="Times New Roman"/>
            <w:sz w:val="22"/>
            <w:szCs w:val="22"/>
            <w:lang w:val="es-MX"/>
          </w:rPr>
          <m:t>G,</m:t>
        </m:r>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m:t>
            </m:r>
          </m:sub>
        </m:sSub>
        <m:r>
          <w:rPr>
            <w:rFonts w:ascii="Cambria Math" w:hAnsi="Cambria Math" w:cs="Times New Roman"/>
            <w:sz w:val="22"/>
            <w:szCs w:val="22"/>
            <w:lang w:val="es-MX"/>
          </w:rPr>
          <m:t>,EIB,CW</m:t>
        </m:r>
        <m:sSub>
          <m:sSubPr>
            <m:ctrlPr>
              <w:rPr>
                <w:rFonts w:ascii="Cambria Math" w:hAnsi="Cambria Math" w:cs="Times New Roman"/>
                <w:i/>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O</m:t>
            </m:r>
          </m:sub>
        </m:sSub>
        <m:r>
          <w:rPr>
            <w:rFonts w:ascii="Cambria Math" w:hAnsi="Cambria Math" w:cs="Times New Roman"/>
            <w:sz w:val="22"/>
            <w:szCs w:val="22"/>
            <w:lang w:val="es-MX"/>
          </w:rPr>
          <m:t>,CW</m:t>
        </m:r>
        <m:sSub>
          <m:sSubPr>
            <m:ctrlPr>
              <w:rPr>
                <w:rFonts w:ascii="Cambria Math" w:hAnsi="Cambria Math" w:cs="Times New Roman"/>
                <w:i/>
                <w:sz w:val="22"/>
                <w:szCs w:val="22"/>
                <w:lang w:val="es-MX"/>
              </w:rPr>
            </m:ctrlPr>
          </m:sSubPr>
          <m:e>
            <m:r>
              <w:rPr>
                <w:rFonts w:ascii="Cambria Math" w:hAnsi="Cambria Math" w:cs="Times New Roman"/>
                <w:sz w:val="22"/>
                <w:szCs w:val="22"/>
                <w:lang w:val="es-MX"/>
              </w:rPr>
              <m:t>B</m:t>
            </m:r>
          </m:e>
          <m:sub>
            <m:r>
              <w:rPr>
                <w:rFonts w:ascii="Cambria Math" w:hAnsi="Cambria Math" w:cs="Times New Roman"/>
                <w:sz w:val="22"/>
                <w:szCs w:val="22"/>
                <w:lang w:val="es-MX"/>
              </w:rPr>
              <m:t>I</m:t>
            </m:r>
          </m:sub>
        </m:sSub>
      </m:oMath>
      <w:r w:rsidRPr="00220586">
        <w:rPr>
          <w:rFonts w:ascii="Times New Roman" w:hAnsi="Times New Roman" w:cs="Times New Roman"/>
          <w:sz w:val="22"/>
          <w:szCs w:val="22"/>
          <w:lang w:val="es-MX"/>
        </w:rPr>
        <w:t>), lo que permite verificar si la combinación de parámetros estimados en el modelo continuo se refleja también en configuraciones cualitativamente diferenciables de individuos (Nylund et al., 2007).</w:t>
      </w:r>
    </w:p>
    <w:p w14:paraId="15B20F55" w14:textId="4C0FF7EA" w:rsidR="002F732D" w:rsidRDefault="002F732D" w:rsidP="00884DD2">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lang w:val="es-MX"/>
        </w:rPr>
        <w:t xml:space="preserve">En suma, </w:t>
      </w:r>
      <w:r w:rsidRPr="00220586">
        <w:rPr>
          <w:rFonts w:ascii="Times New Roman" w:hAnsi="Times New Roman" w:cs="Times New Roman"/>
          <w:sz w:val="22"/>
          <w:szCs w:val="22"/>
        </w:rPr>
        <w:t>el modelo propone que la Agencia Oscura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residual al Factor General Antagónico (</w:t>
      </w:r>
      <m:oMath>
        <m:r>
          <w:rPr>
            <w:rFonts w:ascii="Cambria Math" w:hAnsi="Cambria Math" w:cs="Times New Roman"/>
            <w:sz w:val="22"/>
            <w:szCs w:val="22"/>
          </w:rPr>
          <m:t>G</m:t>
        </m:r>
      </m:oMath>
      <w:r w:rsidRPr="00220586">
        <w:rPr>
          <w:rFonts w:ascii="Times New Roman" w:hAnsi="Times New Roman" w:cs="Times New Roman"/>
          <w:sz w:val="22"/>
          <w:szCs w:val="22"/>
        </w:rPr>
        <w:t xml:space="preserve">), se relaciona simultáneamente con innovación intraemprendedora (EIB) y transgresión burocrática (CWB-O), mientras que </w:t>
      </w:r>
      <m:oMath>
        <m:r>
          <w:rPr>
            <w:rFonts w:ascii="Cambria Math" w:hAnsi="Cambria Math" w:cs="Times New Roman"/>
            <w:sz w:val="22"/>
            <w:szCs w:val="22"/>
          </w:rPr>
          <m:t>G</m:t>
        </m:r>
      </m:oMath>
      <w:r w:rsidRPr="00220586">
        <w:rPr>
          <w:rFonts w:ascii="Times New Roman" w:hAnsi="Times New Roman" w:cs="Times New Roman"/>
          <w:sz w:val="22"/>
          <w:szCs w:val="22"/>
        </w:rPr>
        <w:t xml:space="preserve"> se asocia de forma más homogéneamente destructiva con la conducta contraproducente interpersonal (CWB-I). Además, se plantea que la Vigilancia Estratégica del Entorno (VEE) constituye el mecanismo disposicional que conecta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Agencia</m:t>
            </m:r>
          </m:sub>
        </m:sSub>
      </m:oMath>
      <w:r w:rsidRPr="00220586">
        <w:rPr>
          <w:rFonts w:ascii="Times New Roman" w:hAnsi="Times New Roman" w:cs="Times New Roman"/>
          <w:sz w:val="22"/>
          <w:szCs w:val="22"/>
        </w:rPr>
        <w:t xml:space="preserve"> con el EIB, y que tanto la percepción de política organizacional (POPS) como el capital psicológico (PsyCap) modulan </w:t>
      </w:r>
      <w:r w:rsidRPr="00220586">
        <w:rPr>
          <w:rFonts w:ascii="Times New Roman" w:hAnsi="Times New Roman" w:cs="Times New Roman"/>
          <w:sz w:val="22"/>
          <w:szCs w:val="22"/>
        </w:rPr>
        <w:lastRenderedPageBreak/>
        <w:t>la expresión de esta agencia oscura, favoreciendo, en ciertas condiciones, formas de desviación constructiva orientada al logro</w:t>
      </w:r>
      <w:r w:rsidR="00ED554E">
        <w:rPr>
          <w:rFonts w:ascii="Times New Roman" w:hAnsi="Times New Roman" w:cs="Times New Roman"/>
          <w:sz w:val="22"/>
          <w:szCs w:val="22"/>
        </w:rPr>
        <w:t>.</w:t>
      </w:r>
    </w:p>
    <w:p w14:paraId="65B08AEC" w14:textId="3852E6A0" w:rsidR="00ED554E" w:rsidRPr="00220586" w:rsidRDefault="00ED554E" w:rsidP="00884DD2">
      <w:pPr>
        <w:spacing w:line="360" w:lineRule="auto"/>
        <w:jc w:val="both"/>
        <w:rPr>
          <w:rFonts w:ascii="Times New Roman" w:hAnsi="Times New Roman" w:cs="Times New Roman"/>
          <w:sz w:val="22"/>
          <w:szCs w:val="22"/>
          <w:lang w:val="es-MX"/>
        </w:rPr>
      </w:pPr>
      <w:r w:rsidRPr="00ED554E">
        <w:rPr>
          <w:rFonts w:ascii="Times New Roman" w:hAnsi="Times New Roman" w:cs="Times New Roman"/>
          <w:sz w:val="22"/>
          <w:szCs w:val="22"/>
          <w:lang w:val="es-MX"/>
        </w:rPr>
        <w:t>Una implicación central de este modelo es que la Vigilancia Estratégica, por sí sola, no garantiza la innovación. La diferencia entre un empleado prudente que observa el entorno para protegerse y un Agente Oscuro que lo explota estratégicamente reside en una proclividad específica a actuar sobre las oportunidades que emergen de las zonas grises. El presente estudio asume que la VEE, cuando se combina con altos niveles de Agencia Oscura y con recursos psicológicos suficientes, habilita una forma de “desviación constructiva orientada al logro”: conductas que tensan o reconfiguran reglas burocráticas internas con el fin de crear valor para la organización y, simultáneamente, capturar beneficios de estatus, acceso a recursos o protección política para el propio agente. Esta proclividad a intervenir activamente sobre el vacío institucional constituye el puente teórico entre la personalidad oscura y la innovación intraemprendedora en contextos de baja institucionalidad.</w:t>
      </w:r>
    </w:p>
    <w:p w14:paraId="496E9872" w14:textId="25D357A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CAPÍTULO 3. METODOLOGÍA</w:t>
      </w:r>
    </w:p>
    <w:p w14:paraId="32DB17BE"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3.1. Diseño</w:t>
      </w:r>
    </w:p>
    <w:p w14:paraId="1A2AB50F" w14:textId="05BF4BEC"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estudio adopta un diseño cuantitativo, no experimental, transversal y correlacional-explicativo. Se utilizarán modelos de ecuaciones estructurales (SEM) para contrastar las relaciones propuestas entre variables latentes y, en caso necesario, análisis de rutas (</w:t>
      </w:r>
      <w:r w:rsidRPr="00220586">
        <w:rPr>
          <w:rFonts w:ascii="Times New Roman" w:hAnsi="Times New Roman" w:cs="Times New Roman"/>
          <w:i/>
          <w:iCs/>
          <w:sz w:val="22"/>
          <w:szCs w:val="22"/>
          <w:lang w:val="es-MX"/>
        </w:rPr>
        <w:t>path analysis</w:t>
      </w:r>
      <w:r w:rsidRPr="00220586">
        <w:rPr>
          <w:rFonts w:ascii="Times New Roman" w:hAnsi="Times New Roman" w:cs="Times New Roman"/>
          <w:sz w:val="22"/>
          <w:szCs w:val="22"/>
          <w:lang w:val="es-MX"/>
        </w:rPr>
        <w:t xml:space="preserve">) con variables observadas residuales. Dado el uso de autoinformes para todas las variables sustantivas, se considerará explícitamente el riesgo de varianza del método común (CMV) y se incorporarán tanto estrategias procedimentales como estadísticas para mitigar su impacto (Podsakoff et al., 2003; Spector, 2006). </w:t>
      </w:r>
      <w:r w:rsidR="00BF6E85" w:rsidRPr="00220586">
        <w:rPr>
          <w:rFonts w:ascii="Times New Roman" w:hAnsi="Times New Roman" w:cs="Times New Roman"/>
          <w:sz w:val="22"/>
          <w:szCs w:val="22"/>
        </w:rPr>
        <w:t>Estos procedimientos se entenderán como medios para evaluar y acotar la influencia potencial de la CMV, más que como garantía de su eliminación completa (Podsakoff et al., 2003; Spector, 2006).</w:t>
      </w:r>
    </w:p>
    <w:p w14:paraId="7370BC8A" w14:textId="11B7793C"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Los modelos se estimarán mediante máxima verosimilitud robusta (por ejemplo, estimador MLR), considerando la no normalidad potencial de los datos, y el tratamiento de datos perdidos se realizará mediante máxima verosimilitud con información completa (FIML), asumiendo un mecanismo de ausencia al menos </w:t>
      </w:r>
      <w:r w:rsidRPr="00220586">
        <w:rPr>
          <w:rFonts w:ascii="Times New Roman" w:hAnsi="Times New Roman" w:cs="Times New Roman"/>
          <w:i/>
          <w:iCs/>
          <w:sz w:val="22"/>
          <w:szCs w:val="22"/>
          <w:lang w:val="es-MX"/>
        </w:rPr>
        <w:t>missing at random</w:t>
      </w:r>
      <w:r w:rsidRPr="00220586">
        <w:rPr>
          <w:rFonts w:ascii="Times New Roman" w:hAnsi="Times New Roman" w:cs="Times New Roman"/>
          <w:sz w:val="22"/>
          <w:szCs w:val="22"/>
          <w:lang w:val="es-MX"/>
        </w:rPr>
        <w:t xml:space="preserve"> (Enders, 2010; Kline, 2016).</w:t>
      </w:r>
      <w:r w:rsidR="00545E8A" w:rsidRPr="00220586">
        <w:rPr>
          <w:rFonts w:ascii="Times New Roman" w:hAnsi="Times New Roman" w:cs="Times New Roman"/>
          <w:sz w:val="22"/>
          <w:szCs w:val="22"/>
          <w:lang w:val="es-MX"/>
        </w:rPr>
        <w:t xml:space="preserve"> </w:t>
      </w:r>
      <w:r w:rsidR="00545E8A" w:rsidRPr="00220586">
        <w:rPr>
          <w:rFonts w:ascii="Times New Roman" w:hAnsi="Times New Roman" w:cs="Times New Roman"/>
          <w:sz w:val="22"/>
          <w:szCs w:val="22"/>
        </w:rPr>
        <w:t>En todos los modelos se emplearán estimadores robustos a desviaciones de normalidad (por ejemplo, MLR en Mplus), apropiados para ítems tipo Likert y estructuras complejas tratando los ítems tipo Likert como variables continuas, en línea con trabajos de simulación que muestran un desempeño aceptable de MLR con escalas de 5 puntos y tamaños muestrales grandes.</w:t>
      </w:r>
    </w:p>
    <w:p w14:paraId="46FDEDE6"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consonancia con la naturaleza transversal del diseño, los modelos de mediación se interpretarán estrictamente en términos de asociaciones disposicionales concurrentes, más que como cadenas </w:t>
      </w:r>
      <w:r w:rsidRPr="00220586">
        <w:rPr>
          <w:rFonts w:ascii="Times New Roman" w:hAnsi="Times New Roman" w:cs="Times New Roman"/>
          <w:sz w:val="22"/>
          <w:szCs w:val="22"/>
          <w:lang w:val="es-MX"/>
        </w:rPr>
        <w:lastRenderedPageBreak/>
        <w:t>causales temporales. Es decir, se examinará si los individuos con mayor Agencia Oscura tienden simultáneamente a reportar niveles superiores de vigilancia estratégica del entorno (VEE) y de comportamiento intraemprendedor (EIB), siguiendo recomendaciones recientes sobre el uso de modelos de mediación en diseños no longitudinales (Spector, 2019).</w:t>
      </w:r>
    </w:p>
    <w:p w14:paraId="169C5C76"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3.2. Participantes y muestreo</w:t>
      </w:r>
    </w:p>
    <w:p w14:paraId="0793CE6C"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población objetivo está compuesta por trabajadores del sector servicios (finanzas, telecomunicaciones, consultoría, seguros y servicios empresariales) en Lima Metropolitana. Este sector concentra una proporción creciente del empleo urbano y se caracteriza por una alta intensidad relacional y márgenes significativos de discrecionalidad en la ejecución del rol (Instituto Nacional de Estadística e Informática [INEI], 2024).</w:t>
      </w:r>
    </w:p>
    <w:p w14:paraId="4C62B783"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contexto institucional peruano presenta tres rasgos estructurales que sustentan la noción de “vacíos institucionales”. En primer lugar, la tasa de informalidad laboral se mantiene elevada en el sector servicios (INEI, 2024). En segundo lugar, los indicadores de calidad institucional sitúan al Perú en posiciones rezagadas, con altos niveles de corrupción percibida en el sector público (Transparency International, 2024). En tercer lugar, el Índice de Estado de Derecho reporta puntuaciones bajas en cumplimiento regulatorio (World Justice Project, 2024). Sobre esta base, se argumenta que la Percepción de Política Organizacional (POPS) constituye la manifestación psicológica proximal de un entorno institucional distal caracterizado por informalidad y debilidad normativa.</w:t>
      </w:r>
    </w:p>
    <w:p w14:paraId="487852B4" w14:textId="6B66A72F" w:rsidR="00966C9E" w:rsidRPr="00220586" w:rsidRDefault="00966C9E"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Adicionalmente, estudios recientes realizados con trabajadores de Perú y otros países latinoamericanos muestran que los rasgos de la Tríada Oscura ya están siendo empleados como predictores de comportamientos laborales críticos, como la responsabilidad social en el trabajo y las intenciones emprendedoras (</w:t>
      </w:r>
      <w:r w:rsidR="007073C9" w:rsidRPr="00220586">
        <w:rPr>
          <w:rFonts w:ascii="Times New Roman" w:hAnsi="Times New Roman" w:cs="Times New Roman"/>
          <w:sz w:val="22"/>
          <w:szCs w:val="22"/>
          <w:lang w:val="es-MX"/>
        </w:rPr>
        <w:t>Afshar Jahanshahi</w:t>
      </w:r>
      <w:r w:rsidRPr="00220586">
        <w:rPr>
          <w:rFonts w:ascii="Times New Roman" w:hAnsi="Times New Roman" w:cs="Times New Roman"/>
          <w:sz w:val="22"/>
          <w:szCs w:val="22"/>
        </w:rPr>
        <w:t xml:space="preserve"> et al., 2023; </w:t>
      </w:r>
      <w:r w:rsidR="007073C9" w:rsidRPr="00220586">
        <w:rPr>
          <w:rFonts w:ascii="Times New Roman" w:hAnsi="Times New Roman" w:cs="Times New Roman"/>
          <w:sz w:val="22"/>
          <w:szCs w:val="22"/>
          <w:lang w:val="es-MX"/>
        </w:rPr>
        <w:t>Afshar Jahanshahi</w:t>
      </w:r>
      <w:r w:rsidRPr="00220586">
        <w:rPr>
          <w:rFonts w:ascii="Times New Roman" w:hAnsi="Times New Roman" w:cs="Times New Roman"/>
          <w:sz w:val="22"/>
          <w:szCs w:val="22"/>
        </w:rPr>
        <w:t xml:space="preserve"> et al., 2025). Esto sugiere que el contexto de Lima Metropolitana no constituye un caso exótico, sino un ejemplo paradigmático de economías de servicios en entornos de baja institucionalidad donde la personalidad oscura se entrelaza con estrategias de adaptación laboral y emprendimiento.</w:t>
      </w:r>
    </w:p>
    <w:p w14:paraId="0B458FD1" w14:textId="24076FE1" w:rsidR="00BF6E85" w:rsidRPr="00220586" w:rsidRDefault="00BF6E85"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Se utilizará un muestreo no probabilístico por conveniencia, reclutando participantes a través de redes de contacto (estrategias de bola de niev</w:t>
      </w:r>
      <w:r w:rsidR="00545E8A" w:rsidRPr="00220586">
        <w:rPr>
          <w:rFonts w:ascii="Times New Roman" w:hAnsi="Times New Roman" w:cs="Times New Roman"/>
          <w:sz w:val="22"/>
          <w:szCs w:val="22"/>
          <w:lang w:val="es-MX"/>
        </w:rPr>
        <w:t>e</w:t>
      </w:r>
      <w:r w:rsidRPr="00220586">
        <w:rPr>
          <w:rFonts w:ascii="Times New Roman" w:hAnsi="Times New Roman" w:cs="Times New Roman"/>
          <w:sz w:val="22"/>
          <w:szCs w:val="22"/>
          <w:lang w:val="es-MX"/>
        </w:rPr>
        <w:t xml:space="preserve"> controlada) y organizaciones del sector servicios. En consecuencia, las inferencias se circunscriben a trabajadores de características similares, y no se reclama representatividad estadística de todo el sector.  </w:t>
      </w:r>
      <w:r w:rsidR="005A6377" w:rsidRPr="00220586">
        <w:rPr>
          <w:rFonts w:ascii="Times New Roman" w:hAnsi="Times New Roman" w:cs="Times New Roman"/>
          <w:sz w:val="22"/>
          <w:szCs w:val="22"/>
          <w:lang w:val="es-MX"/>
        </w:rPr>
        <w:t xml:space="preserve">Se proyecta un tamaño muestral mínimo de </w:t>
      </w:r>
      <m:oMath>
        <m:r>
          <w:rPr>
            <w:rFonts w:ascii="Cambria Math" w:hAnsi="Cambria Math" w:cs="Times New Roman"/>
            <w:sz w:val="22"/>
            <w:szCs w:val="22"/>
            <w:lang w:val="es-MX"/>
          </w:rPr>
          <m:t>N≥500</m:t>
        </m:r>
      </m:oMath>
      <w:r w:rsidR="005A6377" w:rsidRPr="00220586">
        <w:rPr>
          <w:rFonts w:ascii="Times New Roman" w:hAnsi="Times New Roman" w:cs="Times New Roman"/>
          <w:sz w:val="22"/>
          <w:szCs w:val="22"/>
          <w:lang w:val="es-MX"/>
        </w:rPr>
        <w:t xml:space="preserve"> trabajadores, justificado mediante análisis a priori de potencia para detectar efectos pequeños en interacciones (</w:t>
      </w:r>
      <m:oMath>
        <m:r>
          <w:rPr>
            <w:rFonts w:ascii="Cambria Math" w:hAnsi="Cambria Math" w:cs="Times New Roman"/>
            <w:sz w:val="22"/>
            <w:szCs w:val="22"/>
            <w:lang w:val="es-MX"/>
          </w:rPr>
          <m:t>f²≈.02, α=.05, 1 - β=.80</m:t>
        </m:r>
      </m:oMath>
      <w:r w:rsidR="005A6377" w:rsidRPr="00220586">
        <w:rPr>
          <w:rFonts w:ascii="Times New Roman" w:hAnsi="Times New Roman" w:cs="Times New Roman"/>
          <w:sz w:val="22"/>
          <w:szCs w:val="22"/>
          <w:lang w:val="es-MX"/>
        </w:rPr>
        <w:t>) en modelos estructurales con múltiples parámetros (Wolf et al., 2013)</w:t>
      </w:r>
      <w:r w:rsidRPr="00220586">
        <w:rPr>
          <w:rFonts w:ascii="Times New Roman" w:hAnsi="Times New Roman" w:cs="Times New Roman"/>
          <w:sz w:val="22"/>
          <w:szCs w:val="22"/>
          <w:lang w:val="es-MX"/>
        </w:rPr>
        <w:t xml:space="preserve">. Aquel tamaño se </w:t>
      </w:r>
      <w:r w:rsidRPr="00220586">
        <w:rPr>
          <w:rFonts w:ascii="Times New Roman" w:hAnsi="Times New Roman" w:cs="Times New Roman"/>
          <w:sz w:val="22"/>
          <w:szCs w:val="22"/>
        </w:rPr>
        <w:t xml:space="preserve">considera suficiente para estimar modelos </w:t>
      </w:r>
      <w:r w:rsidRPr="00220586">
        <w:rPr>
          <w:rFonts w:ascii="Times New Roman" w:hAnsi="Times New Roman" w:cs="Times New Roman"/>
          <w:sz w:val="22"/>
          <w:szCs w:val="22"/>
        </w:rPr>
        <w:lastRenderedPageBreak/>
        <w:t>estructurales de complejidad moderada y explorar interacciones y perfiles latentes. No obstante, los análisis más complejos (</w:t>
      </w:r>
      <w:r w:rsidR="008C64C7" w:rsidRPr="00220586">
        <w:rPr>
          <w:rFonts w:ascii="Times New Roman" w:hAnsi="Times New Roman" w:cs="Times New Roman"/>
          <w:sz w:val="22"/>
          <w:szCs w:val="22"/>
        </w:rPr>
        <w:t>e.g.</w:t>
      </w:r>
      <w:r w:rsidRPr="00220586">
        <w:rPr>
          <w:rFonts w:ascii="Times New Roman" w:hAnsi="Times New Roman" w:cs="Times New Roman"/>
          <w:sz w:val="22"/>
          <w:szCs w:val="22"/>
        </w:rPr>
        <w:t>, LPA) se interpretarán con especial cautela, atendiendo a tamaños de clase y estabilidad de soluciones (Nylund et al., 2007).</w:t>
      </w:r>
    </w:p>
    <w:p w14:paraId="2B195386"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 Instrumentos</w:t>
      </w:r>
    </w:p>
    <w:p w14:paraId="05A603EB" w14:textId="69E3AC41"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 xml:space="preserve">3.3.1. </w:t>
      </w:r>
      <w:r w:rsidR="001E217D" w:rsidRPr="00220586">
        <w:rPr>
          <w:rFonts w:ascii="Times New Roman" w:hAnsi="Times New Roman" w:cs="Times New Roman"/>
          <w:b/>
          <w:bCs/>
          <w:sz w:val="22"/>
          <w:szCs w:val="22"/>
        </w:rPr>
        <w:t>Rasgos oscuros de la personalidad: Agencia Oscura y Antagonismo (SD4)</w:t>
      </w:r>
    </w:p>
    <w:p w14:paraId="608AA9BC"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Para la medición de los rasgos oscuros se empleará la versión adaptada al contexto peruano de la Short Dark Tetrad (SD4) (Paulhus et al., 2021; Zegarra-López et al., 2024). Este instrumento consta de 28 ítems distribuidos equitativamente en cuatro subescalas: maquiavelismo, narcisismo, psicopatía y sadismo. El estudio de adaptación peruana ha mostrado propiedades psicométricas sólidas, con evidencias de buena consistencia interna e invarianza por grupos etarios en adultos peruanos, lo que respalda su uso en contextos organizacionales locales (Zegarra-López et al., 2024). En paralelo, versiones hispanohablantes recientes de la SD4 han confirmado la estructura jerárquica de la Tétrada Oscura y la presencia de un núcleo oscuro común en muestras adultas de habla hispana (Ortet-Walker et al., 2024).</w:t>
      </w:r>
    </w:p>
    <w:p w14:paraId="429E7540" w14:textId="65C712D6"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Sin embargo, en este proyecto los puntajes de la SD4 no se tratarán como simples sumas por subescala. Con el fin de aislar empíricamente un componente de Agencia Oscura distinto del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se especificará un modelo de medida Bifactor S-1 (Eid et al., 2017). En este enfoque, los ítems de psicopatía y sadismo se utilizarán como dominio de referencia del factor general G, que capturará los contenidos más claramente malévolos y explotadores (baja honestidad-humildad, crueldad, instrumentalización del otro); todos los ítems de la SD4 cargarán en este factor general. Adicionalmente, los ítems de narcisismo y maquiavelismo cargarán en un factor específico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definido como la varianza residual compartida entre estos ítems una vez controlada la varianza atribuible a G.</w:t>
      </w:r>
    </w:p>
    <w:p w14:paraId="5404FDED" w14:textId="1C9BDD78" w:rsidR="001E217D"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idoneidad del modelo Bifactor S-1 se evaluará mediante índices globales de ajuste (CFI, TLI, RMSEA, SRMR) y, específicamente, mediante indicadores diseñados para estructuras bifactoriales: Varianza Común Explicada (ECV), omega jerárquico (</w:t>
      </w:r>
      <m:oMath>
        <m:r>
          <w:rPr>
            <w:rFonts w:ascii="Cambria Math" w:hAnsi="Cambria Math" w:cs="Times New Roman"/>
            <w:sz w:val="22"/>
            <w:szCs w:val="22"/>
            <w:lang w:val="es-MX"/>
          </w:rPr>
          <m:t>ωH</m:t>
        </m:r>
      </m:oMath>
      <w:r w:rsidRPr="00220586">
        <w:rPr>
          <w:rFonts w:ascii="Times New Roman" w:hAnsi="Times New Roman" w:cs="Times New Roman"/>
          <w:sz w:val="22"/>
          <w:szCs w:val="22"/>
          <w:lang w:val="es-MX"/>
        </w:rPr>
        <w:t xml:space="preserve">) del factor general y Porcentaje de Correlaciones no Contaminadas (PUC) (Rodríguez et al., 2016; Bornovalova et al., 2020). Estos indicadores permitirán determinar si la SD4 se comporta como una estructura esencialmente unidimensional dominada por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o si el factor específico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retiene suficiente varianza y fiabilidad residual como para ser interpretado de forma sustantiva.</w:t>
      </w:r>
    </w:p>
    <w:p w14:paraId="45AD0A09" w14:textId="481AD5A4" w:rsidR="00ED554E" w:rsidRPr="00220586" w:rsidRDefault="00ED554E" w:rsidP="001E217D">
      <w:pPr>
        <w:spacing w:line="360" w:lineRule="auto"/>
        <w:jc w:val="both"/>
        <w:rPr>
          <w:rFonts w:ascii="Times New Roman" w:hAnsi="Times New Roman" w:cs="Times New Roman"/>
          <w:sz w:val="22"/>
          <w:szCs w:val="22"/>
          <w:lang w:val="es-MX"/>
        </w:rPr>
      </w:pPr>
      <w:r w:rsidRPr="00ED554E">
        <w:rPr>
          <w:rFonts w:ascii="Times New Roman" w:hAnsi="Times New Roman" w:cs="Times New Roman"/>
          <w:sz w:val="22"/>
          <w:szCs w:val="22"/>
          <w:lang w:val="es-MX"/>
        </w:rPr>
        <w:lastRenderedPageBreak/>
        <w:t>La elección del modelo Bifactor S-1 no responde únicamente a criterios de ajuste estadístico, sino al problema conceptual planteado en el Capítulo 1: evitar que el núcleo antagónico general “se coma” la posible funcionalidad de los componentes agénticos. Al fijar uno de los factores —en este caso, el Factor General Antagónico— como referencia global y modelar la Agencia Oscura como factor específico residual, se restringe la varianza compartida atribuible a la malevolencia básica y se somete a prueba la hipótesis fuerte de que persiste un componente instrumental diferenciable. De este modo, el contraste entre G y la Agencia Oscura no se apoya solo en argumentos teóricos, sino en una partición explícita de la varianza: si el factor residual no logra predecir nada una vez controlado G, la tesis debe aceptar la crítica de que la Agencia Oscura es un “fantasma estadístico”.</w:t>
      </w:r>
    </w:p>
    <w:p w14:paraId="1FEBCB8B" w14:textId="331C33FA" w:rsidR="00540333" w:rsidRPr="00220586" w:rsidRDefault="00540333"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Más allá de los índices globales de ajuste y de los indicadores específicos para modelos bifactoriales (ECV, </w:t>
      </w:r>
      <m:oMath>
        <m:r>
          <w:rPr>
            <w:rFonts w:ascii="Cambria Math" w:hAnsi="Cambria Math" w:cs="Times New Roman"/>
            <w:sz w:val="22"/>
            <w:szCs w:val="22"/>
            <w:lang w:val="es-MX"/>
          </w:rPr>
          <m:t>ωH</m:t>
        </m:r>
      </m:oMath>
      <w:r w:rsidRPr="00220586">
        <w:rPr>
          <w:rFonts w:ascii="Times New Roman" w:hAnsi="Times New Roman" w:cs="Times New Roman"/>
          <w:sz w:val="22"/>
          <w:szCs w:val="22"/>
          <w:lang w:val="es-MX"/>
        </w:rPr>
        <w:t>, PUC), la adecuación del componente específico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se evaluará también en términos de la descomposición de la varianza de la matriz de covarianzas observada (</w:t>
      </w:r>
      <m:oMath>
        <m:r>
          <w:rPr>
            <w:rFonts w:ascii="Cambria Math" w:hAnsi="Cambria Math" w:cs="Times New Roman"/>
            <w:sz w:val="22"/>
            <w:szCs w:val="22"/>
            <w:lang w:val="es-MX"/>
          </w:rPr>
          <m:t>Σ</m:t>
        </m:r>
      </m:oMath>
      <w:r w:rsidRPr="00220586">
        <w:rPr>
          <w:rFonts w:ascii="Times New Roman" w:hAnsi="Times New Roman" w:cs="Times New Roman"/>
          <w:sz w:val="22"/>
          <w:szCs w:val="22"/>
          <w:lang w:val="es-MX"/>
        </w:rPr>
        <w:t>). En particular, se examinará la proporción de varianza común atribuible al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frente a la varianza residual retenida por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así como el patrón de autovalores asociado al espacio residual una vez parcializada la contribución de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Este análisis permitirá comprobar que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no constituye un factor residual numéricamente identificable pero empíricamente trivial, sino que captura una fracción sustantiva y estable de la varianza compartida por los ítems de narcisismo y maquiavelismo. En línea con los criterios clásicos para la evaluación de estructuras factoriales en análisis multivariado (Mardia, Kent, &amp; Bibby, 1979; Johnson &amp; Wichern, 2007) y con las recomendaciones recientes sobre el uso responsable de modelos bifactoriales en psicopatología y personalidad (Rodríguez et al., 2016; Bornovalova et al., 2020), se evitará deliberadamente la sobreextracción de factores específicos con autovalores marginales o interpretabilidad dudosa. Solo en la medida en que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muestre cargas factoriales sustantivas, fiabilidad residual aceptable y contribución apreciable a la varianza común, se justificará su inclusión como factor diferenciado en el modelo estructural.</w:t>
      </w:r>
    </w:p>
    <w:p w14:paraId="5E8E5998"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Se contemplarán dos escenarios analíticos:</w:t>
      </w:r>
    </w:p>
    <w:p w14:paraId="72FB6F61" w14:textId="77777777" w:rsidR="001E217D" w:rsidRPr="00220586" w:rsidRDefault="001E217D" w:rsidP="001E217D">
      <w:pPr>
        <w:numPr>
          <w:ilvl w:val="0"/>
          <w:numId w:val="22"/>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Escenario A (modelo bifactor latente operativo).</w:t>
      </w:r>
    </w:p>
    <w:p w14:paraId="160FF6A9" w14:textId="082E4AE2" w:rsidR="001E217D" w:rsidRPr="00220586" w:rsidRDefault="001E217D" w:rsidP="001E217D">
      <w:pPr>
        <w:spacing w:line="360" w:lineRule="auto"/>
        <w:ind w:left="720"/>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modelo Bifactor S-1 convergerá adecuadamente y mostrará buen ajuste global, con cargas factoriales sustantivas y fiabilidad al menos moderada para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w:t>
      </w:r>
      <m:oMath>
        <m:r>
          <w:rPr>
            <w:rFonts w:ascii="Cambria Math" w:hAnsi="Cambria Math" w:cs="Times New Roman"/>
            <w:sz w:val="22"/>
            <w:szCs w:val="22"/>
            <w:lang w:val="es-MX"/>
          </w:rPr>
          <m:t>ω≈.60-.70</m:t>
        </m:r>
      </m:oMath>
      <w:r w:rsidRPr="00220586">
        <w:rPr>
          <w:rFonts w:ascii="Times New Roman" w:hAnsi="Times New Roman" w:cs="Times New Roman"/>
          <w:sz w:val="22"/>
          <w:szCs w:val="22"/>
          <w:lang w:val="es-MX"/>
        </w:rPr>
        <w:t>, aceptable dada la brevedad de la escala y el carácter residual del factor). En este escenario, G y S_Agencia se incorporarán como factores latentes diferenciados en el modelo estructural principal.</w:t>
      </w:r>
    </w:p>
    <w:p w14:paraId="01B251E2" w14:textId="77777777" w:rsidR="001E217D" w:rsidRPr="00220586" w:rsidRDefault="001E217D" w:rsidP="001E217D">
      <w:pPr>
        <w:numPr>
          <w:ilvl w:val="0"/>
          <w:numId w:val="22"/>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Escenario B (estructura esencialmente unidimensional).</w:t>
      </w:r>
    </w:p>
    <w:p w14:paraId="7D766E15" w14:textId="1FD6B532" w:rsidR="001E217D" w:rsidRPr="00220586" w:rsidRDefault="001E217D" w:rsidP="001E217D">
      <w:pPr>
        <w:spacing w:line="360" w:lineRule="auto"/>
        <w:ind w:left="720"/>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modelo Bifactor S-1 presentará problemas de convergencia, cargas débiles para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o evidencias de un dominio prácticamente unidimensional. En este caso, se construirá un índice observado de Agencia (suma de ítems de narcisismo y maquiavelismo) y un índice observado de Antagonismo (psicopatía + sadismo u otra combinación respaldada por la literatura de la Tétrada Oscura), y el índice de Agencia se regresionará sobre el índice de Antagonismo. El residuo estandarizado resultante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oMath>
      <w:r w:rsidRPr="00220586">
        <w:rPr>
          <w:rFonts w:ascii="Times New Roman" w:hAnsi="Times New Roman" w:cs="Times New Roman"/>
          <w:sz w:val="22"/>
          <w:szCs w:val="22"/>
          <w:lang w:val="es-MX"/>
        </w:rPr>
        <w:t xml:space="preserve">) se interpretará como aproximación observada de la Agencia Oscura residual a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se utilizará como predictor en un modelo de rutas con variables observadas.</w:t>
      </w:r>
    </w:p>
    <w:p w14:paraId="436A20C7" w14:textId="485B2584"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Este enfoque permite alinear la operacionalización de la SD4 con la evidencia reciente sobre el Factor </w:t>
      </w:r>
      <m:oMath>
        <m:r>
          <w:rPr>
            <w:rFonts w:ascii="Cambria Math" w:hAnsi="Cambria Math" w:cs="Times New Roman"/>
            <w:sz w:val="22"/>
            <w:szCs w:val="22"/>
            <w:lang w:val="es-MX"/>
          </w:rPr>
          <m:t>D</m:t>
        </m:r>
      </m:oMath>
      <w:r w:rsidRPr="00220586">
        <w:rPr>
          <w:rFonts w:ascii="Times New Roman" w:hAnsi="Times New Roman" w:cs="Times New Roman"/>
          <w:sz w:val="22"/>
          <w:szCs w:val="22"/>
          <w:lang w:val="es-MX"/>
        </w:rPr>
        <w:t xml:space="preserve"> y el núcleo oscuro común de la personalidad (Moshagen et al., 2018; Zettler et al., 2021), a la vez que preserva la posibilidad de identificar un componente agéntico residual diferenciado, coherente con la noción de Agencia Oscura planteada en el marco teórico.</w:t>
      </w:r>
    </w:p>
    <w:p w14:paraId="5992DDD0" w14:textId="7666CD71"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3.3.2. Vigilancia estratégica del entorno (VEE)</w:t>
      </w:r>
    </w:p>
    <w:p w14:paraId="34093500" w14:textId="44CEB57C" w:rsidR="00021E57" w:rsidRPr="00220586" w:rsidRDefault="00021E57" w:rsidP="00021E57">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La VEE se operacionalizará como un patrón de escaneo intraorganizacional orientado a identificar asimetrías de poder, vacíos normativos y vulnerabilidades estructurales relevantes para la acción. La escala se construirá combinando ítems de búsqueda de información organizacional derivados del cuestionario de proactividad durante la entrada organizacional de Ashford y Black (1996) —específicamente la subdimensión de búsqueda de información estructural y política— con ítems de la dimensión de exploración y búsqueda de la escala de alerta emprendedora de Tang, Kacmar y Busenitz (2012), adaptados al contexto intraorganizacional. En el caso de Ashford y Black (1996), se tomarán como referencia los ítems que capturan el esfuerzo por aprender la estructura formal e informal de la organización, las políticas y los procedimientos clave, mientras que de Tang et al. (2012) se aprovecharán ítems que reflejan la búsqueda activa y sistemática de información relevante para detectar oportunidades y cambios en el entorno.  </w:t>
      </w:r>
    </w:p>
    <w:p w14:paraId="661B6A6D" w14:textId="77777777" w:rsidR="00021E57" w:rsidRPr="00220586" w:rsidRDefault="00021E57" w:rsidP="00021E57">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sz w:val="22"/>
          <w:szCs w:val="22"/>
        </w:rPr>
        <w:t xml:space="preserve">Todos los ítems se adaptarán al castellano siguiendo un procedimiento de traducción–retrotraducción con jueces expertos, atendiendo a las recomendaciones psicométricas actuales para la adaptación de instrumentos (Muñiz, Elosua, &amp; Hambleton, 2013). Además, se realizará una fase piloto con análisis factorial exploratorio para verificar que los ítems conforman un factor unidimensional interpretable de vigilancia estratégica, diferenciado de forma clara tanto del comportamiento intraemprendedor como de la alerta emprendedora genérica. De este modo, la VEE se definirá empíricamente como un constructo centrado en el escaneo político–estratégico de poder, recursos y reglas flexibles, más que </w:t>
      </w:r>
      <w:r w:rsidRPr="00220586">
        <w:rPr>
          <w:rFonts w:ascii="Times New Roman" w:hAnsi="Times New Roman" w:cs="Times New Roman"/>
          <w:sz w:val="22"/>
          <w:szCs w:val="22"/>
        </w:rPr>
        <w:lastRenderedPageBreak/>
        <w:t>en la generación directa de ideas o la mejora de procesos (Ashford &amp; Black, 1996; Rauch &amp; Frese, 2007; Tang et al., 2012).</w:t>
      </w:r>
      <w:r w:rsidRPr="00220586">
        <w:rPr>
          <w:rFonts w:ascii="Times New Roman" w:hAnsi="Times New Roman" w:cs="Times New Roman"/>
          <w:b/>
          <w:bCs/>
          <w:sz w:val="22"/>
          <w:szCs w:val="22"/>
          <w:lang w:val="es-MX"/>
        </w:rPr>
        <w:t xml:space="preserve"> </w:t>
      </w:r>
    </w:p>
    <w:p w14:paraId="5A6BD1D7" w14:textId="014C45B9" w:rsidR="005A6377" w:rsidRPr="00220586" w:rsidRDefault="005A6377" w:rsidP="00021E57">
      <w:p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Fase 0: Validación de contenido y análisis factorial exploratorio.</w:t>
      </w:r>
      <w:r w:rsidRPr="00220586">
        <w:rPr>
          <w:rFonts w:ascii="Times New Roman" w:hAnsi="Times New Roman" w:cs="Times New Roman"/>
          <w:sz w:val="22"/>
          <w:szCs w:val="22"/>
          <w:lang w:val="es-MX"/>
        </w:rPr>
        <w:t xml:space="preserve"> En esta fase se instruirá a jueces expertos para eliminar o reescribir cualquier ítem que implique innovación directa (por ejemplo, “busco nuevas formas de hacer las cosas”), a fin de proteger la validez discriminante frente al EIB. Solo se retendrán ítems de escaneo político/estratégico o de mapeo de poder y recursos. Posteriormente, se realizará un análisis factorial exploratorio o confirmatorio, según el tamaño muestral en la fase piloto, para verificar unidimensionalidad y consistencia interna.</w:t>
      </w:r>
    </w:p>
    <w:p w14:paraId="18B23558" w14:textId="3F4C3842" w:rsidR="00942CFA" w:rsidRPr="00220586" w:rsidRDefault="00942CFA"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VEE se evaluará mediante una escala compuesta que integra ítems procedentes de dos fuentes complementarias. En primer lugar, se utilizarán los cuatro ítems de búsqueda de información sobre la estructura y las reglas de la organización de la escala de proactividad de Ashford y Black (1996) –en su versión traducida al español–, centrados en el aprendizaje de la estructura formal, las políticas y procedimientos relevantes y las redes informales de relaciones de poder. En segundo lugar, se incorporarán ítems seleccionados de la dimensión de exploración y búsqueda de la escala de alerta emprendedora de Tang et al. (2012), utilizando la versión en español validada recientemente en una muestra universitaria peruana en el marco de un proyecto dirigido por la Universidad Complutense de Madrid. Esta versión castellana aporta evidencias de validez factorial y fiabilidad en población peruana, lo que la convierte en una base sólida para el presente estudio. Los ítems serán adaptados léxicamente para enfatizar el escaneo intraorganizacional de asimetrías de poder, vacíos normativos y oportunidades vinculadas a la posición de los actores, manteniendo el formato de respuesta tipo Likert de 5 puntos (1 = “completamente en desacuerdo” a 5 = “completamente de acuerdo”) y siguiendo un procedimiento de traducción–retrotraducción y juicio de expertos para asegurar la claridad y la equivalencia conceptual respecto a las versiones originales (Ashford &amp; Black, 1996; Tang et al., 2012).</w:t>
      </w:r>
    </w:p>
    <w:p w14:paraId="038F157E" w14:textId="78CABC8F" w:rsidR="001E0CFD" w:rsidRPr="00220586" w:rsidRDefault="001E0CFD"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Los cuatro ítems de ‘búsqueda de información’ de Ashford y Black (1996) en su adaptación española (</w:t>
      </w:r>
      <w:r w:rsidR="008C64C7" w:rsidRPr="00220586">
        <w:rPr>
          <w:rFonts w:ascii="Times New Roman" w:hAnsi="Times New Roman" w:cs="Times New Roman"/>
          <w:sz w:val="22"/>
          <w:szCs w:val="22"/>
        </w:rPr>
        <w:t>e.g.</w:t>
      </w:r>
      <w:r w:rsidRPr="00220586">
        <w:rPr>
          <w:rFonts w:ascii="Times New Roman" w:hAnsi="Times New Roman" w:cs="Times New Roman"/>
          <w:sz w:val="22"/>
          <w:szCs w:val="22"/>
        </w:rPr>
        <w:t>, ‘Intentado aprender la estructura oficial de la organización’) se seleccionarán y reformularán para enfatizar el mapeo de poder y reglas informales, mientras que de la escala de alerta emprendedora de Tang et al. (2012) se utilizarán los ítems de exploración y búsqueda más centrados en adquisición activa de información relevante para oportunidades.</w:t>
      </w:r>
    </w:p>
    <w:p w14:paraId="678125B9" w14:textId="4AA0E547" w:rsidR="00021E57" w:rsidRPr="00220586" w:rsidRDefault="005A6377" w:rsidP="00021E57">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3.3.3. Comportamiento intraemprendedor (EIB)</w:t>
      </w:r>
    </w:p>
    <w:p w14:paraId="0653FD5E"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comportamiento intraemprendedor (EIB) se medirá mediante la </w:t>
      </w:r>
      <w:r w:rsidRPr="00220586">
        <w:rPr>
          <w:rFonts w:ascii="Times New Roman" w:hAnsi="Times New Roman" w:cs="Times New Roman"/>
          <w:i/>
          <w:iCs/>
          <w:sz w:val="22"/>
          <w:szCs w:val="22"/>
          <w:lang w:val="es-MX"/>
        </w:rPr>
        <w:t>Employee Intrapreneurship Behavior Scale</w:t>
      </w:r>
      <w:r w:rsidRPr="00220586">
        <w:rPr>
          <w:rFonts w:ascii="Times New Roman" w:hAnsi="Times New Roman" w:cs="Times New Roman"/>
          <w:sz w:val="22"/>
          <w:szCs w:val="22"/>
          <w:lang w:val="es-MX"/>
        </w:rPr>
        <w:t xml:space="preserve"> (EIB) desarrollada por Gawke et al. (2019). Esta escala evalúa conductas de </w:t>
      </w:r>
      <w:r w:rsidRPr="00220586">
        <w:rPr>
          <w:rFonts w:ascii="Times New Roman" w:hAnsi="Times New Roman" w:cs="Times New Roman"/>
          <w:sz w:val="22"/>
          <w:szCs w:val="22"/>
          <w:lang w:val="es-MX"/>
        </w:rPr>
        <w:lastRenderedPageBreak/>
        <w:t xml:space="preserve">exploración, generación e implementación de nuevas ideas de negocio, productos, servicios o procesos dentro de la organización, y ha mostrado relaciones robustas con desempeño, innovación organizacional y ventaja competitiva, especialmente en sectores intensivos en conocimiento y servicios (Gawke et al., 2017, 2019). </w:t>
      </w:r>
    </w:p>
    <w:p w14:paraId="2AA1539A"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Dado que la versión original se desarrolló en inglés y en contextos europeos, se llevará a cabo un proceso de traducción y adaptación cultural al castellano siguiendo las recomendaciones estándar para la adaptación de instrumentos psicométricos: traducción directa por traductores bilingües con formación en psicología organizacional, síntesis y revisión por un panel experto, retrotraducción independiente y comparación con la versión original para asegurar equivalencia semántica y conceptual. Posteriormente, se verificará la estructura factorial propuesta por Gawke et al. (2019) en la muestra peruana mediante análisis factorial confirmatorio, evaluando tanto el ajuste global como la fiabilidad compuesta de las dimensiones.</w:t>
      </w:r>
    </w:p>
    <w:p w14:paraId="0A10F4A5"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Aunque la evidencia sobre la EIB en contextos hispanohablantes es todavía emergente, estudios recientes sobre intraemprendimiento docente e innovaciones impulsadas desde la base han mostrado que configuraciones conductuales análogas —orientadas a la detección de oportunidades y a la implementación de cambios dentro de organizaciones intensamente normadas— pueden modelarse y medirse de forma válida en entornos de lengua española (p.ej., Arteaga-Reyes et al., 2022). Esta literatura refuerza la plausibilidad de emplear la EIB como indicador de comportamiento intraemprendedor en el contexto organizacional peruano.</w:t>
      </w:r>
    </w:p>
    <w:p w14:paraId="47860C2C"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coherencia con el marco teórico de esta tesis, en los análisis se otorgará especial atención a la distinción entre EIB como desviación constructiva orientada al logro y las formas de conducta contraproducente (CWB), de modo que los resultados empíricos permitan evaluar si la Agencia Oscura se asocia a una transgresión esencialmente funcional o destructiva.</w:t>
      </w:r>
    </w:p>
    <w:p w14:paraId="046A237B" w14:textId="03250AF9" w:rsidR="00021E57" w:rsidRPr="00220586" w:rsidRDefault="005A6377" w:rsidP="00021E57">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 xml:space="preserve">3.3.4. Conducta contraproducente </w:t>
      </w:r>
      <w:r w:rsidR="00021E57" w:rsidRPr="00220586">
        <w:rPr>
          <w:rFonts w:ascii="Times New Roman" w:hAnsi="Times New Roman" w:cs="Times New Roman"/>
          <w:b/>
          <w:bCs/>
          <w:sz w:val="22"/>
          <w:szCs w:val="22"/>
          <w:lang w:val="es-MX"/>
        </w:rPr>
        <w:t xml:space="preserve">en el trabajo </w:t>
      </w:r>
      <w:r w:rsidRPr="00220586">
        <w:rPr>
          <w:rFonts w:ascii="Times New Roman" w:hAnsi="Times New Roman" w:cs="Times New Roman"/>
          <w:b/>
          <w:bCs/>
          <w:sz w:val="22"/>
          <w:szCs w:val="22"/>
          <w:lang w:val="es-MX"/>
        </w:rPr>
        <w:t>(CWB)</w:t>
      </w:r>
    </w:p>
    <w:p w14:paraId="1C491021"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conducta laboral contraproducente (CWB) se evaluará mediante una adaptación de la Workplace Deviance Scale de Bennett y Robinson (2000), que distingue entre conducta contraproducente organizacional (CWB-O) y conducta contraproducente interpersonal (CWB-I) (Robinson &amp; Bennett, 1995). Esta escala ha sido ampliamente utilizada en la literatura internacional para capturar conductas voluntarias que vulneran normas organizacionales y amenazan el bienestar de la organización o de sus miembros.</w:t>
      </w:r>
    </w:p>
    <w:p w14:paraId="39FC740B"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el contexto peruano, la Workplace Deviance Scale ha sido empleada y adaptada en estudios recientes con trabajadores de Lima Metropolitana, en particular en investigaciones sobre el impacto </w:t>
      </w:r>
      <w:r w:rsidRPr="00220586">
        <w:rPr>
          <w:rFonts w:ascii="Times New Roman" w:hAnsi="Times New Roman" w:cs="Times New Roman"/>
          <w:sz w:val="22"/>
          <w:szCs w:val="22"/>
          <w:lang w:val="es-MX"/>
        </w:rPr>
        <w:lastRenderedPageBreak/>
        <w:t xml:space="preserve">de la supervisión abusiva y el liderazgo pseudo-transformacional en el comportamiento laboral contraproducente (Ramírez Vilca et al., 2022). </w:t>
      </w:r>
    </w:p>
    <w:p w14:paraId="0754C663"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Dichos trabajos reportan evidencias de consistencia interna adecuada y respaldan la viabilidad de utilizar esta medida en contextos laborales peruanos de servicios.</w:t>
      </w:r>
    </w:p>
    <w:p w14:paraId="5A4B8B12"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este estudio, se llevará a cabo un proceso de ajuste y depuración teóricamente guiado de los ítems. En línea con la noción de “desviación constructiva orientada al logro”, los análisis se centrarán en aquellos ítems de CWB-O que reflejen transgresión activa de normas (por ejemplo, atajos burocráticos, omisión deliberada de procedimientos considerados innecesarios) y se tratarán de forma separada —o se excluirán de los modelos estructurales principales— los ítems que reflejen meramente retirada pasiva del esfuerzo (por ejemplo, llegar tarde, dedicar poco esfuerzo), con el fin de no confundir Agencia Oscura con baja consciencia o descompromiso general (Dahling et al., 2012).</w:t>
      </w:r>
    </w:p>
    <w:p w14:paraId="1F2319D7" w14:textId="61CC7A73"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Adicionalmente, se realizarán análisis de sensibilidad excluyendo los ítems de CWB-O de mayor severidad (por ejemplo, daño deliberado a la propiedad, sabotaje explícito) para comprobar si los patrones de asociación con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se mantienen cuando el foco se limita a desviaciones de proceso de menor intensidad, pero potencialmente funcionales. La dimensión CWB-I se conservará completa, dado que representa el polo claramente destructivo de la transgresión interpersonales en el modelo (hostilidad, agresión, daño a colegas).</w:t>
      </w:r>
    </w:p>
    <w:p w14:paraId="1FA4D9DB" w14:textId="59FF956A" w:rsidR="00021E57" w:rsidRPr="00220586" w:rsidRDefault="005A6377" w:rsidP="00021E57">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3.3.5. Percepción de política organizacional (POPS)</w:t>
      </w:r>
    </w:p>
    <w:p w14:paraId="71403D7C"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Percepción de Política Organizacional (POPS) se medirá mediante la escala desarrollada por Hochwarter et al. (2003), que captura la percepción de que las decisiones organizacionales se basan en intereses personales, favoritismos y juegos de poder más que en criterios meritocráticos u objetivos. Esta medida se alinea directamente con la conceptualización de climas altamente politizados utilizada en el marco teórico y ha mostrado relaciones robustas con cinismo, estrés y resultados laborales en diversas muestras internacionales (Hochwarter et al., 2003; Vigoda-Gadot, 2007).</w:t>
      </w:r>
    </w:p>
    <w:p w14:paraId="4883ADC4"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Dado que no existe aún una validación exhaustiva de POPS en el contexto peruano, se seguirá un procedimiento de traducción y adaptación cultural análogo al descrito para la EIB: traducción directa, síntesis por panel experto, retrotraducción y ajuste fino para preservar el significado de los ítems asociados a favoritismo, juegos de poder y uso instrumental de las reglas. En una primera etapa, se realizará un análisis factorial confirmatorio para verificar la estructura de la escala y se evaluará su consistencia interna en la muestra de trabajadores del sector servicios de Lima Metropolitana.</w:t>
      </w:r>
    </w:p>
    <w:p w14:paraId="7EAE0B72"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 xml:space="preserve">La decisión de trabajar exclusivamente con POPS —sin incorporar simultáneamente medidas de clima ético como constructo adicional— obedece a una estrategia de parsimonia teórica y estadística: el modelo propuesto se centra en el papel de los climas politizados como señal de activación de la Agencia Oscura (en la lógica de la </w:t>
      </w:r>
      <w:r w:rsidRPr="00220586">
        <w:rPr>
          <w:rFonts w:ascii="Times New Roman" w:hAnsi="Times New Roman" w:cs="Times New Roman"/>
          <w:i/>
          <w:iCs/>
          <w:sz w:val="22"/>
          <w:szCs w:val="22"/>
          <w:lang w:val="es-MX"/>
        </w:rPr>
        <w:t>Trait Activation Theory</w:t>
      </w:r>
      <w:r w:rsidRPr="00220586">
        <w:rPr>
          <w:rFonts w:ascii="Times New Roman" w:hAnsi="Times New Roman" w:cs="Times New Roman"/>
          <w:sz w:val="22"/>
          <w:szCs w:val="22"/>
          <w:lang w:val="es-MX"/>
        </w:rPr>
        <w:t>), por lo que el uso de POPS como indicador central de las “reglas del juego” subjetivamente percibidas resulta coherente con el foco de la tesis (Tett &amp; Burnett, 2003; Judge &amp; Zapata, 2015).</w:t>
      </w:r>
    </w:p>
    <w:p w14:paraId="2F9924D0" w14:textId="5AF20149" w:rsidR="005A6377" w:rsidRPr="00220586" w:rsidRDefault="005A6377" w:rsidP="00021E57">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3.3.6. Capital psicológico (PsyCap)</w:t>
      </w:r>
    </w:p>
    <w:p w14:paraId="2AA1E6B5" w14:textId="77777777"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Capital Psicológico (PsyCap) se evaluará mediante la versión abreviada de 12 ítems del Psychological Capital Questionnaire (PCQ-12) (Avey et al., 2011), que integra las dimensiones de autoeficacia, esperanza, resiliencia y optimismo en un recurso psicológico compuesto (Luthans et al., 2007). Metaanálisis previos han mostrado asociaciones consistentes del PsyCap con actitudes laborales positivas, desempeño y conductas de ciudadanía organizacional en diversos contextos organizacionales (Avey et al., 2011; Luthans et al., 2010).</w:t>
      </w:r>
    </w:p>
    <w:p w14:paraId="3649EE94" w14:textId="47E5F480" w:rsidR="00545E8A" w:rsidRPr="00220586" w:rsidRDefault="00545E8A" w:rsidP="001E217D">
      <w:pPr>
        <w:spacing w:line="360" w:lineRule="auto"/>
        <w:jc w:val="both"/>
        <w:rPr>
          <w:rFonts w:ascii="Times New Roman" w:hAnsi="Times New Roman" w:cs="Times New Roman"/>
          <w:sz w:val="22"/>
          <w:szCs w:val="22"/>
        </w:rPr>
      </w:pPr>
      <w:r w:rsidRPr="00220586">
        <w:rPr>
          <w:rFonts w:ascii="Times New Roman" w:hAnsi="Times New Roman" w:cs="Times New Roman"/>
          <w:sz w:val="22"/>
          <w:szCs w:val="22"/>
        </w:rPr>
        <w:t xml:space="preserve">En el ámbito hispanohablante, el PCQ-12 ha sido adaptado y validado en España, mostrando buena fiabilidad y una estructura factorial de segundo orden estable (León-Pérez et al., 2017). Más recientemente, en el contexto peruano se ha confirmado la validez de constructo y la fiabilidad del PCQ-12 en población universitaria, replicando la estructura de cuatro factores de primer orden y un factor de segundo orden, así como coeficientes </w:t>
      </w:r>
      <m:oMath>
        <m:r>
          <w:rPr>
            <w:rFonts w:ascii="Cambria Math" w:hAnsi="Cambria Math" w:cs="Times New Roman"/>
            <w:sz w:val="22"/>
            <w:szCs w:val="22"/>
          </w:rPr>
          <m:t>α</m:t>
        </m:r>
      </m:oMath>
      <w:r w:rsidRPr="00220586">
        <w:rPr>
          <w:rFonts w:ascii="Times New Roman" w:hAnsi="Times New Roman" w:cs="Times New Roman"/>
          <w:sz w:val="22"/>
          <w:szCs w:val="22"/>
        </w:rPr>
        <w:t xml:space="preserve"> y </w:t>
      </w:r>
      <m:oMath>
        <m:r>
          <w:rPr>
            <w:rFonts w:ascii="Cambria Math" w:hAnsi="Cambria Math" w:cs="Times New Roman"/>
            <w:sz w:val="22"/>
            <w:szCs w:val="22"/>
          </w:rPr>
          <m:t>ω</m:t>
        </m:r>
      </m:oMath>
      <w:r w:rsidRPr="00220586">
        <w:rPr>
          <w:rFonts w:ascii="Times New Roman" w:hAnsi="Times New Roman" w:cs="Times New Roman"/>
          <w:sz w:val="22"/>
          <w:szCs w:val="22"/>
        </w:rPr>
        <w:t xml:space="preserve"> satisfactorios (Guerrero, 202</w:t>
      </w:r>
      <w:r w:rsidR="009B68B0" w:rsidRPr="00220586">
        <w:rPr>
          <w:rFonts w:ascii="Times New Roman" w:hAnsi="Times New Roman" w:cs="Times New Roman"/>
          <w:sz w:val="22"/>
          <w:szCs w:val="22"/>
        </w:rPr>
        <w:t>4</w:t>
      </w:r>
      <w:r w:rsidRPr="00220586">
        <w:rPr>
          <w:rFonts w:ascii="Times New Roman" w:hAnsi="Times New Roman" w:cs="Times New Roman"/>
          <w:sz w:val="22"/>
          <w:szCs w:val="22"/>
        </w:rPr>
        <w:t>).</w:t>
      </w:r>
    </w:p>
    <w:p w14:paraId="7FFB15DD" w14:textId="315C2025" w:rsidR="001E217D" w:rsidRPr="00220586" w:rsidRDefault="001E217D" w:rsidP="001E217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esta tesis se utilizará la versión en castellano del PCQ-12 respaldada por Guerrero-Alcedo y Espina-Romero (2024), ajustando únicamente la redacción de algunos ítems para adecuarlos al contexto de trabajadores del sector servicios, sin alterar su contenido semántico central. La elección de este instrumento se justifica por su brevedad, evidencia psicométrica local y coherencia conceptual con el rol que el PsyCap asume en el modelo: un recurso habilitante que puede modular la forma en que la Agencia Oscura se traduce en comportamiento intraemprendedor o en conducta contraproducente, especialmente en entornos percibidos como politizados y de baja justicia (Dang-Van et al., 2022; Gojny-Zbierowska, 2024).</w:t>
      </w:r>
    </w:p>
    <w:p w14:paraId="4A847A4D"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3.3.7. Control de varianza del método común (CMV)</w:t>
      </w:r>
    </w:p>
    <w:p w14:paraId="5754B85C"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La variable marcadora (</w:t>
      </w:r>
      <w:r w:rsidRPr="00220586">
        <w:rPr>
          <w:rFonts w:ascii="Times New Roman" w:hAnsi="Times New Roman" w:cs="Times New Roman"/>
          <w:i/>
          <w:iCs/>
          <w:sz w:val="22"/>
          <w:szCs w:val="22"/>
          <w:lang w:val="es-MX"/>
        </w:rPr>
        <w:t>marker variable</w:t>
      </w:r>
      <w:r w:rsidRPr="00220586">
        <w:rPr>
          <w:rFonts w:ascii="Times New Roman" w:hAnsi="Times New Roman" w:cs="Times New Roman"/>
          <w:sz w:val="22"/>
          <w:szCs w:val="22"/>
          <w:lang w:val="es-MX"/>
        </w:rPr>
        <w:t xml:space="preserve">) se diseñará para compartir el mismo formato de respuesta y nivel de abstracción que las demás escalas, pero abordando contenidos no relacionados con el contexto laboral (por ejemplo, actitudes generales hacia temas sociales relativamente neutros), con el fin de capturar la fracción de varianza atribuible al método sin introducir solapamiento conceptual sustantivo (Williams et al., 2010). La variable marcadora se utilizará siguiendo el enfoque de </w:t>
      </w:r>
      <w:r w:rsidRPr="00220586">
        <w:rPr>
          <w:rFonts w:ascii="Times New Roman" w:hAnsi="Times New Roman" w:cs="Times New Roman"/>
          <w:sz w:val="22"/>
          <w:szCs w:val="22"/>
          <w:lang w:val="es-MX"/>
        </w:rPr>
        <w:lastRenderedPageBreak/>
        <w:t>covarianza parcial propuesto por Williams et al. (2010), comparando modelos con y sin ajuste por CMV.</w:t>
      </w:r>
    </w:p>
    <w:p w14:paraId="683179D6" w14:textId="77777777" w:rsidR="005A6377"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Adicionalmente, se considerará el uso de constructos como Afectividad Negativa y/o Deseabilidad Social como covariables de control en análisis de sensibilidad, dado que, aunque son buenos candidatos para capturar estilos de respuesta, también comparten varianza sustantiva con rasgos oscuros y su parcialización excesiva podría eliminar efectos legítimos (Podsakoff et al., 2003; Spector, 2006). Por esta razón, dichos constructos se reservarán exclusivamente para análisis de sensibilidad y no se incluirán en el modelo principal.</w:t>
      </w:r>
    </w:p>
    <w:p w14:paraId="0F247C18" w14:textId="5B93C047" w:rsidR="00A260AA" w:rsidRPr="00220586" w:rsidRDefault="00A260AA" w:rsidP="00D82D8D">
      <w:pPr>
        <w:spacing w:line="360" w:lineRule="auto"/>
        <w:jc w:val="both"/>
        <w:rPr>
          <w:rFonts w:ascii="Times New Roman" w:hAnsi="Times New Roman" w:cs="Times New Roman"/>
          <w:sz w:val="22"/>
          <w:szCs w:val="22"/>
          <w:lang w:val="es-MX"/>
        </w:rPr>
      </w:pPr>
      <w:r w:rsidRPr="00A260AA">
        <w:rPr>
          <w:rFonts w:ascii="Times New Roman" w:hAnsi="Times New Roman" w:cs="Times New Roman"/>
          <w:sz w:val="22"/>
          <w:szCs w:val="22"/>
          <w:lang w:val="es-MX"/>
        </w:rPr>
        <w:t>No obstante, se reconoce que en estudios basados en autoinforme la CMV nunca puede eliminarse por completo. En este proyecto, la defensa principal frente a este riesgo no descansa solo en la variable marcadora, sino en la estructura misma de los modelos a estimar. Los efectos de interacción y las configuraciones de perfiles latentes que se ponen a prueba (por ejemplo, la combinación específica de alta Agencia Oscura, VEE elevada, CWB-I baja y CWB-O moderada) son patrones difíciles de explicar como artefactos triviales de método. Si los resultados muestran que las asociaciones cambian sistemáticamente según niveles de POPS y PsyCap, y que emergen clases latentes conceptualmente coherentes, ello constituye evidencia indirecta de que el modelo está capturando configuraciones psicológicas significativas más allá de una mera tendencia de respuesta generalizada o de deseabilidad social uniforme.</w:t>
      </w:r>
    </w:p>
    <w:p w14:paraId="4D1BED78"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3.4. Procedimiento</w:t>
      </w:r>
    </w:p>
    <w:p w14:paraId="4371EF8F"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Los datos se recogerán mediante un cuestionario online anónimo, difundido en organizaciones del sector servicios en Lima Metropolitana. Se garantizará el consentimiento informado y la confidencialidad absoluta de las respuestas, conforme a los estándares éticos de investigación con seres humanos. Los participantes serán informados de que su participación es voluntaria, que pueden retirarse en cualquier momento sin consecuencias y que los datos se analizarán únicamente en forma agregada.</w:t>
      </w:r>
    </w:p>
    <w:p w14:paraId="0500080F"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Cuando sea posible, se recogerá información mínima sobre la organización (por ejemplo, tamaño, sector específico) sin identificadores directos, con el fin de explorar, en análisis descriptivos, posibles patrones diferenciales entre subsectores, sin pretender inferencias multinivel formales.</w:t>
      </w:r>
    </w:p>
    <w:p w14:paraId="6D41E962"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3.5. Estrategia de análisis de datos</w:t>
      </w:r>
    </w:p>
    <w:p w14:paraId="324B9B34" w14:textId="5BBCB216" w:rsidR="00540333" w:rsidRPr="00220586" w:rsidRDefault="00540333" w:rsidP="00540333">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Previamente a la estimación de los modelos de medida se llevará a cabo una fase sistemática de depuración y preprocesamiento de los datos, orientada a identificar tanto patrones de respuesta </w:t>
      </w:r>
      <w:r w:rsidRPr="00220586">
        <w:rPr>
          <w:rFonts w:ascii="Times New Roman" w:hAnsi="Times New Roman" w:cs="Times New Roman"/>
          <w:sz w:val="22"/>
          <w:szCs w:val="22"/>
          <w:lang w:val="es-MX"/>
        </w:rPr>
        <w:lastRenderedPageBreak/>
        <w:t>inatenta (*careless responding*) como observaciones multivariadamente atípicas. En primer lugar, se examinarán indicadores descriptivos de calidad de respuesta, tales como tiempos de respuesta extremadamente reducidos, patrones de respuesta invariante a lo largo de los ítems (por ejemplo, uso reiterado de la misma categoría de respuesta) e índices intraindividuo simples (</w:t>
      </w:r>
      <w:r w:rsidR="008C64C7" w:rsidRPr="00220586">
        <w:rPr>
          <w:rFonts w:ascii="Times New Roman" w:hAnsi="Times New Roman" w:cs="Times New Roman"/>
          <w:sz w:val="22"/>
          <w:szCs w:val="22"/>
          <w:lang w:val="es-MX"/>
        </w:rPr>
        <w:t>e.g.</w:t>
      </w:r>
      <w:r w:rsidRPr="00220586">
        <w:rPr>
          <w:rFonts w:ascii="Times New Roman" w:hAnsi="Times New Roman" w:cs="Times New Roman"/>
          <w:sz w:val="22"/>
          <w:szCs w:val="22"/>
          <w:lang w:val="es-MX"/>
        </w:rPr>
        <w:t>, longitud de cadenas de respuestas idénticas y varianza intraindividual). Estos indicadores permitirán detectar casos en los que la validez del protocolo sea dudosa por falta de implicación mínima del participante.</w:t>
      </w:r>
    </w:p>
    <w:p w14:paraId="0216599C" w14:textId="72CB5F8B" w:rsidR="00540333" w:rsidRPr="00220586" w:rsidRDefault="00540333" w:rsidP="00540333">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segundo lugar, se evaluará la presencia de valores atípicos multivariados mediante el cálculo de la distancia de Mahalanobis sobre el conjunto de puntuaciones de los ítems o subescalas principales (SD4, EIB, CWB-O, CWB-I, POPS, PsyCap). Los casos con distancias extremas se identificarán a partir de los valores críticos de la distribución </w:t>
      </w:r>
      <m:oMath>
        <m:r>
          <w:rPr>
            <w:rFonts w:ascii="Cambria Math" w:hAnsi="Cambria Math" w:cs="Times New Roman"/>
            <w:sz w:val="22"/>
            <w:szCs w:val="22"/>
            <w:lang w:val="es-MX"/>
          </w:rPr>
          <m:t>χ²</m:t>
        </m:r>
      </m:oMath>
      <w:r w:rsidRPr="00220586">
        <w:rPr>
          <w:rFonts w:ascii="Times New Roman" w:hAnsi="Times New Roman" w:cs="Times New Roman"/>
          <w:sz w:val="22"/>
          <w:szCs w:val="22"/>
          <w:lang w:val="es-MX"/>
        </w:rPr>
        <w:t>, ajustando el umbral de significación al tamaño muestral y al número de variables incluidas. La decisión de excluir observaciones se basará en un criterio combinado estadístico y sustantivo: solo se eliminarán aquellos protocolos que presenten simultáneamente indicios claros de respuesta inatenta y valores atípicos multivariados extremos, con el fin de evitar tanto la retención de datos espurios como la eliminación indiscriminada de casos legítimos (Johnson &amp; Wichern, 2007). De este modo, se busca minimizar la distorsión de la estructura factorial y de las asociaciones estructurales derivada de patrones de respuesta aberrantes, lo cual resulta especialmente relevante en contextos de vacíos institucionales y medición de rasgos socialmente sensibles.</w:t>
      </w:r>
    </w:p>
    <w:p w14:paraId="14A34ED0" w14:textId="7AE6C4BC"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análisis se organizará en tres fases secuenciales, siguiendo un enfoque parsimonioso alineado con los objetivos centrales del estudio.</w:t>
      </w:r>
    </w:p>
    <w:p w14:paraId="58133EED"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Fase 1. Modelo de medida y evaluación de la estructura oscura</w:t>
      </w:r>
    </w:p>
    <w:p w14:paraId="7562013B" w14:textId="68D254A3"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la primera fase se evaluará el modelo de medición de todas las variables latentes, con énfasis en la estructura de la SD4. Para los rasgos oscuros se especificará un modelo Bifactor S-1 (Eid et al., 2017), donde los ítems de psicopatía y sadismo definen el dominio de referencia del Factor General Antagónico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y todos los ítems cargan en dicho factor general; adicionalmente, los ítems de narcisismo y maquiavelismo cargarán en un factor específico de Agencia Oscura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representando la varianza residual compartida una vez controlado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w:t>
      </w:r>
    </w:p>
    <w:p w14:paraId="4BD62D4B" w14:textId="2E538FF9"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ajuste se juzgará mediante índices globales convencionales (CFI y TLI ≥ .90, RMSEA y SRMR ≤ .08) y, específicamente para el modelo bifactorial, mediante indicadores de robustez estructural tales como la Varianza Común Explicada (ECV), el coeficiente omega jerárquico (</w:t>
      </w:r>
      <m:oMath>
        <m:r>
          <w:rPr>
            <w:rFonts w:ascii="Cambria Math" w:hAnsi="Cambria Math" w:cs="Times New Roman"/>
            <w:sz w:val="22"/>
            <w:szCs w:val="22"/>
            <w:lang w:val="es-MX"/>
          </w:rPr>
          <m:t>ωH</m:t>
        </m:r>
      </m:oMath>
      <w:r w:rsidRPr="00220586">
        <w:rPr>
          <w:rFonts w:ascii="Times New Roman" w:hAnsi="Times New Roman" w:cs="Times New Roman"/>
          <w:sz w:val="22"/>
          <w:szCs w:val="22"/>
          <w:lang w:val="es-MX"/>
        </w:rPr>
        <w:t xml:space="preserve">) del factor general y el Porcentaje de Correlaciones no Contaminadas (PUC) (Rodríguez et al., 2016; Bornovalova et al., 2020). Estos índices permitirán determinar si la varianza común está fuertemente </w:t>
      </w:r>
      <w:r w:rsidRPr="00220586">
        <w:rPr>
          <w:rFonts w:ascii="Times New Roman" w:hAnsi="Times New Roman" w:cs="Times New Roman"/>
          <w:sz w:val="22"/>
          <w:szCs w:val="22"/>
          <w:lang w:val="es-MX"/>
        </w:rPr>
        <w:lastRenderedPageBreak/>
        <w:t xml:space="preserve">dominada por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(estructura esencialmente unidimensional) o si el factor específico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retiene suficiente varianza y fiabilidad como para ser interpretado.</w:t>
      </w:r>
    </w:p>
    <w:p w14:paraId="72946FA2"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Se contemplan dos escenarios:</w:t>
      </w:r>
    </w:p>
    <w:p w14:paraId="65E0084D" w14:textId="77777777" w:rsidR="005A6377" w:rsidRPr="00220586" w:rsidRDefault="005A6377" w:rsidP="00D82D8D">
      <w:pPr>
        <w:numPr>
          <w:ilvl w:val="0"/>
          <w:numId w:val="19"/>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Escenario A (modelo bifactor latente operativo).</w:t>
      </w:r>
    </w:p>
    <w:p w14:paraId="438B8E71" w14:textId="4879CE33" w:rsidR="005A6377" w:rsidRPr="00220586" w:rsidRDefault="005A6377" w:rsidP="00D82D8D">
      <w:pPr>
        <w:spacing w:line="360" w:lineRule="auto"/>
        <w:ind w:left="720"/>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modelo Bifactor S-1 converge adecuadamente, presenta buen ajuste global y el factor específico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exhibe cargas factoriales sustantivas y fiabilidad al menos moderada (</w:t>
      </w:r>
      <m:oMath>
        <m:r>
          <w:rPr>
            <w:rFonts w:ascii="Cambria Math" w:hAnsi="Cambria Math" w:cs="Times New Roman"/>
            <w:sz w:val="22"/>
            <w:szCs w:val="22"/>
            <w:lang w:val="es-MX"/>
          </w:rPr>
          <m:t>ω ≈ .60-.70</m:t>
        </m:r>
      </m:oMath>
      <w:r w:rsidRPr="00220586">
        <w:rPr>
          <w:rFonts w:ascii="Times New Roman" w:hAnsi="Times New Roman" w:cs="Times New Roman"/>
          <w:sz w:val="22"/>
          <w:szCs w:val="22"/>
          <w:lang w:val="es-MX"/>
        </w:rPr>
        <w:t xml:space="preserve">, aceptable dada la brevedad de la escala y el carácter residual del factor). En este escenario,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se utilizarán como factores latentes diferenciados en la Fase 2.</w:t>
      </w:r>
    </w:p>
    <w:p w14:paraId="68F7B76B" w14:textId="77777777" w:rsidR="005A6377" w:rsidRPr="00220586" w:rsidRDefault="005A6377" w:rsidP="00D82D8D">
      <w:pPr>
        <w:numPr>
          <w:ilvl w:val="0"/>
          <w:numId w:val="19"/>
        </w:numPr>
        <w:spacing w:line="360" w:lineRule="auto"/>
        <w:jc w:val="both"/>
        <w:rPr>
          <w:rFonts w:ascii="Times New Roman" w:hAnsi="Times New Roman" w:cs="Times New Roman"/>
          <w:sz w:val="22"/>
          <w:szCs w:val="22"/>
          <w:lang w:val="es-MX"/>
        </w:rPr>
      </w:pPr>
      <w:r w:rsidRPr="00220586">
        <w:rPr>
          <w:rFonts w:ascii="Times New Roman" w:hAnsi="Times New Roman" w:cs="Times New Roman"/>
          <w:b/>
          <w:bCs/>
          <w:sz w:val="22"/>
          <w:szCs w:val="22"/>
          <w:lang w:val="es-MX"/>
        </w:rPr>
        <w:t>Escenario B (estructura esencialmente unidimensional).</w:t>
      </w:r>
    </w:p>
    <w:p w14:paraId="5BE450CD" w14:textId="7E252445" w:rsidR="005A6377" w:rsidRPr="00220586" w:rsidRDefault="005A6377" w:rsidP="00D82D8D">
      <w:pPr>
        <w:spacing w:line="360" w:lineRule="auto"/>
        <w:ind w:left="720"/>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El modelo Bifactor S-1 presenta problemas de convergencia, cargas débiles para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o evidencia de estructura casi unidimensional. En este caso se construirá un índice observado de Agencia (Narcisismo + Maquiavelismo) y un índice observado de Antagonismo (Psicopatía + Sadismo u otra combinación respaldada por la literatura). El índice de Agencia se regresionará sobre el índice de Antagonismo, y el residuo estandarizado resultante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oMath>
      <w:r w:rsidRPr="00220586">
        <w:rPr>
          <w:rFonts w:ascii="Times New Roman" w:hAnsi="Times New Roman" w:cs="Times New Roman"/>
          <w:sz w:val="22"/>
          <w:szCs w:val="22"/>
          <w:lang w:val="es-MX"/>
        </w:rPr>
        <w:t xml:space="preserve">) se interpretará como aproximación observada de la agencia oscura residual a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oMath>
      <w:r w:rsidRPr="00220586">
        <w:rPr>
          <w:rFonts w:ascii="Times New Roman" w:hAnsi="Times New Roman" w:cs="Times New Roman"/>
          <w:sz w:val="22"/>
          <w:szCs w:val="22"/>
          <w:lang w:val="es-MX"/>
        </w:rPr>
        <w:t xml:space="preserve"> se incorporará como variable observada en un modelo de rutas en la Fase 2.</w:t>
      </w:r>
    </w:p>
    <w:p w14:paraId="60FCBAD0"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Para el resto de constructos (VEE, EIB, CWB-O, CWB-I, POPS, PsyCap) se estimarán modelos CFA separados y, en su caso, un modelo confirmatorio conjunto, evaluando fiabilidad, cargas factoriales y validez discriminante (por ejemplo, comparando modelos con correlaciones latentes libres versus restringidas a 1 y examinando cambios en CFI y BIC).</w:t>
      </w:r>
    </w:p>
    <w:p w14:paraId="5A979E72"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Finalmente, se evaluará de manera específica la validez discriminante entre VEE y EIB, dada la proximidad conceptual de ambos constructos. Se considerará evidencia suficiente una correlación latente claramente inferior a .80 y mejor ajuste de los modelos que preservan la distinción entre ambos factores.</w:t>
      </w:r>
    </w:p>
    <w:p w14:paraId="05A64FF0"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Fase 1b. Evaluación de varianza del método común (CMV)</w:t>
      </w:r>
    </w:p>
    <w:p w14:paraId="58555977"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 varianza del método común se abordará mediante una estrategia principal basada en variable marcadora. Se incluirá en el cuestionario una variable marcadora conceptualmente irrelevante para el modelo teórico, pero con el mismo formato de respuesta (Williams et al., 2010). En un modelo CFA específico se compararán soluciones con y sin la inclusión de la covarianza de la variable marcadora con los demás indicadores, siguiendo la técnica de covarianza parcial. Si los parámetros sustantivos </w:t>
      </w:r>
      <w:r w:rsidRPr="00220586">
        <w:rPr>
          <w:rFonts w:ascii="Times New Roman" w:hAnsi="Times New Roman" w:cs="Times New Roman"/>
          <w:sz w:val="22"/>
          <w:szCs w:val="22"/>
          <w:lang w:val="es-MX"/>
        </w:rPr>
        <w:lastRenderedPageBreak/>
        <w:t>se mantienen estables, se considerará que la CMV no distorsiona de manera crítica las relaciones estimadas.</w:t>
      </w:r>
    </w:p>
    <w:p w14:paraId="5D561BAC"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Adicionalmente, como análisis de sensibilidad en un modelo reducido, se podrá especificar un factor de método latente no medido (ULMF) al que cargarán todos los ítems, manteniendo ortogonalidad con los factores sustantivos. Este modelo no formará parte del análisis estructural principal y se utilizará únicamente para comprobar la robustez de los resultados frente a la CMV (Podsakoff et al., 2003; Williams et al., 2010).</w:t>
      </w:r>
    </w:p>
    <w:p w14:paraId="4B706F79"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Fase 2. Modelo estructural principal</w:t>
      </w:r>
    </w:p>
    <w:p w14:paraId="33715491"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la segunda fase se testearán las hipótesis H1–H4 mediante modelos de ecuaciones estructurales (Escenario A) o análisis de rutas con variables observadas (Escenario B). En ambos casos se utilizará bootstrapping (5 000 remuestreos) para estimar intervalos de confianza de los efectos indirectos y de las interacciones.</w:t>
      </w:r>
    </w:p>
    <w:p w14:paraId="1DC60FD3" w14:textId="0EAD2783" w:rsidR="005A6377" w:rsidRPr="00220586" w:rsidRDefault="005A6377" w:rsidP="00D82D8D">
      <w:pPr>
        <w:numPr>
          <w:ilvl w:val="0"/>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el Escenario A,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se modelarán como factores latentes, junto con VEE, POPS, PsyCap, EIB, CWB-O y CWB-I. El modelo estructural principal incluirá:</w:t>
      </w:r>
    </w:p>
    <w:p w14:paraId="5259E0A0" w14:textId="40A4BE10" w:rsidR="005A6377" w:rsidRPr="00220586" w:rsidRDefault="005A6377" w:rsidP="00D82D8D">
      <w:pPr>
        <w:numPr>
          <w:ilvl w:val="1"/>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Efectos directos de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y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sobre EIB, CWB-O y CWB-I (H1).</w:t>
      </w:r>
    </w:p>
    <w:p w14:paraId="5D0B4532" w14:textId="546CE313" w:rsidR="005A6377" w:rsidRPr="00220586" w:rsidRDefault="005A6377" w:rsidP="00D82D8D">
      <w:pPr>
        <w:numPr>
          <w:ilvl w:val="1"/>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Efecto indirecto de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sobre EIB a través de VEE (H2), interpretado como mediación disposicional concurrente.</w:t>
      </w:r>
    </w:p>
    <w:p w14:paraId="146A7EA9" w14:textId="3413C4F0" w:rsidR="005A6377" w:rsidRPr="00220586" w:rsidRDefault="005A6377" w:rsidP="00D82D8D">
      <w:pPr>
        <w:numPr>
          <w:ilvl w:val="1"/>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Interacción latente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r>
          <w:rPr>
            <w:rFonts w:ascii="Cambria Math" w:hAnsi="Cambria Math" w:cs="Times New Roman"/>
            <w:sz w:val="22"/>
            <w:szCs w:val="22"/>
            <w:lang w:val="es-MX"/>
          </w:rPr>
          <m:t>×POPS</m:t>
        </m:r>
      </m:oMath>
      <w:r w:rsidRPr="00220586">
        <w:rPr>
          <w:rFonts w:ascii="Times New Roman" w:hAnsi="Times New Roman" w:cs="Times New Roman"/>
          <w:sz w:val="22"/>
          <w:szCs w:val="22"/>
          <w:lang w:val="es-MX"/>
        </w:rPr>
        <w:t xml:space="preserve"> en la ecuación que predice VEE (H3), estimada mediante integración numérica (por ejemplo, enfoque LMS; Marsh et al., 2004; Muthén &amp; Asparouhov, 2006).</w:t>
      </w:r>
    </w:p>
    <w:p w14:paraId="5489D7A9" w14:textId="2139C2A5" w:rsidR="005A6377" w:rsidRPr="00220586" w:rsidRDefault="005A6377" w:rsidP="00D82D8D">
      <w:pPr>
        <w:numPr>
          <w:ilvl w:val="1"/>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PsyCap como predictor directo de EIB y, en análisis complementario, como moderador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r>
          <w:rPr>
            <w:rFonts w:ascii="Cambria Math" w:hAnsi="Cambria Math" w:cs="Times New Roman"/>
            <w:sz w:val="22"/>
            <w:szCs w:val="22"/>
            <w:lang w:val="es-MX"/>
          </w:rPr>
          <m:t>×PsyCap</m:t>
        </m:r>
      </m:oMath>
      <w:r w:rsidRPr="00220586">
        <w:rPr>
          <w:rFonts w:ascii="Times New Roman" w:hAnsi="Times New Roman" w:cs="Times New Roman"/>
          <w:sz w:val="22"/>
          <w:szCs w:val="22"/>
          <w:lang w:val="es-MX"/>
        </w:rPr>
        <w:t xml:space="preserve"> sobre EIB (H4 complementaria).</w:t>
      </w:r>
    </w:p>
    <w:p w14:paraId="4723460F" w14:textId="2849DDBF" w:rsidR="005A6377" w:rsidRPr="00220586" w:rsidRDefault="005A6377" w:rsidP="00D82D8D">
      <w:pPr>
        <w:numPr>
          <w:ilvl w:val="0"/>
          <w:numId w:val="20"/>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el Escenario B, se utilizarán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(índice observado) y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oMath>
      <w:r w:rsidRPr="00220586">
        <w:rPr>
          <w:rFonts w:ascii="Times New Roman" w:hAnsi="Times New Roman" w:cs="Times New Roman"/>
          <w:sz w:val="22"/>
          <w:szCs w:val="22"/>
          <w:lang w:val="es-MX"/>
        </w:rPr>
        <w:t xml:space="preserve"> como predictores en un modelo de rutas con variables observadas. Las interacciones se modelarán mediante términos producto centrados (por ejemplo,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r>
          <w:rPr>
            <w:rFonts w:ascii="Cambria Math" w:hAnsi="Cambria Math" w:cs="Times New Roman"/>
            <w:sz w:val="22"/>
            <w:szCs w:val="22"/>
            <w:lang w:val="es-MX"/>
          </w:rPr>
          <m:t>×POPS</m:t>
        </m:r>
      </m:oMath>
      <w:r w:rsidRPr="00220586">
        <w:rPr>
          <w:rFonts w:ascii="Times New Roman" w:hAnsi="Times New Roman" w:cs="Times New Roman"/>
          <w:sz w:val="22"/>
          <w:szCs w:val="22"/>
          <w:lang w:val="es-MX"/>
        </w:rPr>
        <w:t xml:space="preserve"> para la ecuación de VEE;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r>
          <w:rPr>
            <w:rFonts w:ascii="Cambria Math" w:hAnsi="Cambria Math" w:cs="Times New Roman"/>
            <w:sz w:val="22"/>
            <w:szCs w:val="22"/>
            <w:lang w:val="es-MX"/>
          </w:rPr>
          <m:t>×PsyCap</m:t>
        </m:r>
      </m:oMath>
      <w:r w:rsidRPr="00220586">
        <w:rPr>
          <w:rFonts w:ascii="Times New Roman" w:hAnsi="Times New Roman" w:cs="Times New Roman"/>
          <w:sz w:val="22"/>
          <w:szCs w:val="22"/>
          <w:lang w:val="es-MX"/>
        </w:rPr>
        <w:t xml:space="preserve"> en análisis complementarios). La estructura de hipótesis se mantendrá análoga al Escenario A, adaptada al nivel observado.</w:t>
      </w:r>
    </w:p>
    <w:p w14:paraId="2F439B38"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Las interacciones significativas se ilustrarán mediante gráficas de pendientes simples y pruebas de diferencias entre pendientes en niveles altos y bajos de los moderadores (por ejemplo, ±1 desviación </w:t>
      </w:r>
      <w:r w:rsidRPr="00220586">
        <w:rPr>
          <w:rFonts w:ascii="Times New Roman" w:hAnsi="Times New Roman" w:cs="Times New Roman"/>
          <w:sz w:val="22"/>
          <w:szCs w:val="22"/>
          <w:lang w:val="es-MX"/>
        </w:rPr>
        <w:lastRenderedPageBreak/>
        <w:t>estándar), siguiendo recomendaciones estándar para la interpretación de efectos de moderación (Aiken &amp; West, 1991; Hayes, 2018).</w:t>
      </w:r>
    </w:p>
    <w:p w14:paraId="4FA69127"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En todos los modelos se controlarán covariables demográficas básicas (por ejemplo, edad, género, sector) cuando resulte pertinente. Dado el tamaño muestral y la complejidad del modelo, se limitará el número de interacciones simultáneas a aquellas que correspondan a las hipótesis focales (POPS como moderador principal; PsyCap solo en análisis complementarios), evitando especificaciones sobrecargadas que reduzcan la estabilidad de las estimaciones (Wolf et al., 2013).</w:t>
      </w:r>
    </w:p>
    <w:p w14:paraId="441B6EE4"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Fase 3. Análisis de perfiles latentes (LPA)</w:t>
      </w:r>
    </w:p>
    <w:p w14:paraId="6B7A05FB" w14:textId="168ACBC1"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En la tercera fase se realizará un Análisis de Perfiles Latentes (LPA) de carácter exploratorio (H5), utilizando como indicadores </w:t>
      </w:r>
      <m:oMath>
        <m:r>
          <w:rPr>
            <w:rFonts w:ascii="Cambria Math" w:hAnsi="Cambria Math" w:cs="Times New Roman"/>
            <w:sz w:val="22"/>
            <w:szCs w:val="22"/>
            <w:lang w:val="es-MX"/>
          </w:rPr>
          <m:t>G</m:t>
        </m:r>
      </m:oMath>
      <w:r w:rsidRPr="00220586">
        <w:rPr>
          <w:rFonts w:ascii="Times New Roman" w:hAnsi="Times New Roman" w:cs="Times New Roman"/>
          <w:sz w:val="22"/>
          <w:szCs w:val="22"/>
          <w:lang w:val="es-MX"/>
        </w:rPr>
        <w:t xml:space="preserve">,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Agencia</m:t>
            </m:r>
          </m:sub>
        </m:sSub>
      </m:oMath>
      <w:r w:rsidRPr="00220586">
        <w:rPr>
          <w:rFonts w:ascii="Times New Roman" w:hAnsi="Times New Roman" w:cs="Times New Roman"/>
          <w:sz w:val="22"/>
          <w:szCs w:val="22"/>
          <w:lang w:val="es-MX"/>
        </w:rPr>
        <w:t xml:space="preserve"> (o </w:t>
      </w:r>
      <m:oMath>
        <m:sSub>
          <m:sSubPr>
            <m:ctrlPr>
              <w:rPr>
                <w:rFonts w:ascii="Cambria Math" w:hAnsi="Cambria Math" w:cs="Times New Roman"/>
                <w:i/>
                <w:sz w:val="22"/>
                <w:szCs w:val="22"/>
                <w:lang w:val="es-MX"/>
              </w:rPr>
            </m:ctrlPr>
          </m:sSubPr>
          <m:e>
            <m:r>
              <w:rPr>
                <w:rFonts w:ascii="Cambria Math" w:hAnsi="Cambria Math" w:cs="Times New Roman"/>
                <w:sz w:val="22"/>
                <w:szCs w:val="22"/>
                <w:lang w:val="es-MX"/>
              </w:rPr>
              <m:t>S</m:t>
            </m:r>
          </m:e>
          <m:sub>
            <m:r>
              <w:rPr>
                <w:rFonts w:ascii="Cambria Math" w:hAnsi="Cambria Math" w:cs="Times New Roman"/>
                <w:sz w:val="22"/>
                <w:szCs w:val="22"/>
                <w:lang w:val="es-MX"/>
              </w:rPr>
              <m:t>Res</m:t>
            </m:r>
          </m:sub>
        </m:sSub>
      </m:oMath>
      <w:r w:rsidRPr="00220586">
        <w:rPr>
          <w:rFonts w:ascii="Times New Roman" w:hAnsi="Times New Roman" w:cs="Times New Roman"/>
          <w:sz w:val="22"/>
          <w:szCs w:val="22"/>
          <w:lang w:val="es-MX"/>
        </w:rPr>
        <w:t xml:space="preserve">, según el escenario) y los tres </w:t>
      </w:r>
      <w:r w:rsidRPr="00220586">
        <w:rPr>
          <w:rFonts w:ascii="Times New Roman" w:hAnsi="Times New Roman" w:cs="Times New Roman"/>
          <w:i/>
          <w:iCs/>
          <w:sz w:val="22"/>
          <w:szCs w:val="22"/>
          <w:lang w:val="es-MX"/>
        </w:rPr>
        <w:t>outcomes</w:t>
      </w:r>
      <w:r w:rsidRPr="00220586">
        <w:rPr>
          <w:rFonts w:ascii="Times New Roman" w:hAnsi="Times New Roman" w:cs="Times New Roman"/>
          <w:sz w:val="22"/>
          <w:szCs w:val="22"/>
          <w:lang w:val="es-MX"/>
        </w:rPr>
        <w:t xml:space="preserve"> del estudio (EIB, CWB-O, CWB-I). Se explorarán soluciones con entre dos y cuatro clases, y la elección del número de perfiles se basará en criterios de información (BIC), el test de razón de verosimilitud ajustado de Lo-Mendell-Rubin, la entropía y, sobre todo, la interpretabilidad teórica (Nylund et al., 2007).</w:t>
      </w:r>
    </w:p>
    <w:p w14:paraId="43445044"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Se utilizarán múltiples conjuntos de valores iniciales aleatorios para reducir el riesgo de convergencia a máximos locales, y se verificará la estabilidad de las soluciones entre corridas. Se prestará especial atención al tamaño y la estabilidad de las clases minoritarias. Perfiles con proporciones muy reducidas o alta inestabilidad entre soluciones cercanas se interpretarán con extrema cautela. La eventual identificación de un perfil compatible con la noción de “desviación constructiva orientada al logro” se considerará evidencia exploratoria y descriptiva, y no constituirá requisito para sostener la validez del modelo estructural principal ni se utilizará para afirmaciones causales.</w:t>
      </w:r>
    </w:p>
    <w:p w14:paraId="2EC811B4" w14:textId="77777777" w:rsidR="005A6377" w:rsidRPr="00220586" w:rsidRDefault="005A6377" w:rsidP="00D82D8D">
      <w:pPr>
        <w:spacing w:line="360" w:lineRule="auto"/>
        <w:jc w:val="both"/>
        <w:rPr>
          <w:rFonts w:ascii="Times New Roman" w:hAnsi="Times New Roman" w:cs="Times New Roman"/>
          <w:b/>
          <w:bCs/>
          <w:sz w:val="22"/>
          <w:szCs w:val="22"/>
          <w:lang w:val="es-MX"/>
        </w:rPr>
      </w:pPr>
      <w:r w:rsidRPr="00220586">
        <w:rPr>
          <w:rFonts w:ascii="Times New Roman" w:hAnsi="Times New Roman" w:cs="Times New Roman"/>
          <w:b/>
          <w:bCs/>
          <w:sz w:val="22"/>
          <w:szCs w:val="22"/>
          <w:lang w:val="es-MX"/>
        </w:rPr>
        <w:t>3.6. Consideraciones éticas</w:t>
      </w:r>
    </w:p>
    <w:p w14:paraId="4C5BE76E" w14:textId="77777777" w:rsidR="005A6377"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 estudio se desarrollará conforme a las normas éticas de investigación con seres humanos:</w:t>
      </w:r>
    </w:p>
    <w:p w14:paraId="7CCA33E9" w14:textId="77777777" w:rsidR="005A6377" w:rsidRPr="00220586" w:rsidRDefault="005A6377" w:rsidP="00D82D8D">
      <w:pPr>
        <w:numPr>
          <w:ilvl w:val="0"/>
          <w:numId w:val="21"/>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aprobación previa por el comité de ética de la Universidad Nacional Mayor de San Marcos,</w:t>
      </w:r>
    </w:p>
    <w:p w14:paraId="74366063" w14:textId="77777777" w:rsidR="005A6377" w:rsidRPr="00220586" w:rsidRDefault="005A6377" w:rsidP="00D82D8D">
      <w:pPr>
        <w:numPr>
          <w:ilvl w:val="0"/>
          <w:numId w:val="21"/>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consentimiento informado explícito,</w:t>
      </w:r>
    </w:p>
    <w:p w14:paraId="651CA1C9" w14:textId="77777777" w:rsidR="005A6377" w:rsidRPr="00220586" w:rsidRDefault="005A6377" w:rsidP="00D82D8D">
      <w:pPr>
        <w:numPr>
          <w:ilvl w:val="0"/>
          <w:numId w:val="21"/>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anonimato y tratamiento confidencial de los datos,</w:t>
      </w:r>
    </w:p>
    <w:p w14:paraId="1677848C" w14:textId="77777777" w:rsidR="005A6377" w:rsidRPr="00220586" w:rsidRDefault="005A6377" w:rsidP="00D82D8D">
      <w:pPr>
        <w:numPr>
          <w:ilvl w:val="0"/>
          <w:numId w:val="21"/>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eliminación de cualquier información identificable, y</w:t>
      </w:r>
    </w:p>
    <w:p w14:paraId="0224B140" w14:textId="77777777" w:rsidR="005A6377" w:rsidRPr="00220586" w:rsidRDefault="005A6377" w:rsidP="00D82D8D">
      <w:pPr>
        <w:numPr>
          <w:ilvl w:val="0"/>
          <w:numId w:val="21"/>
        </w:num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comunicación agregada de los resultados.</w:t>
      </w:r>
    </w:p>
    <w:p w14:paraId="33960AD1" w14:textId="06EEF1F6" w:rsidR="000E5FBB" w:rsidRPr="00220586" w:rsidRDefault="005A637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lastRenderedPageBreak/>
        <w:t>Dada la naturaleza sensible de las preguntas sobre rasgos oscuros y conductas contraproducentes, se enfatizará que no se generarán reportes individuales para empleadores y que los datos se usarán únicamente con fines de investigación académica. Asimismo, se indicará de manera explícita que la participación no tendrá consecuencias laborales y que no se compartirá información individual con ninguna organización colaboradora.</w:t>
      </w:r>
    </w:p>
    <w:p w14:paraId="2D001EE4"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REFERENCIAS.</w:t>
      </w:r>
    </w:p>
    <w:p w14:paraId="16590ACC" w14:textId="1242EC11" w:rsidR="002F732D" w:rsidRPr="00220586" w:rsidRDefault="002F732D" w:rsidP="002F732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Aiken, L. S., &amp; West, S. G. (1991). </w:t>
      </w:r>
      <w:r w:rsidRPr="00220586">
        <w:rPr>
          <w:rFonts w:ascii="Times New Roman" w:hAnsi="Times New Roman" w:cs="Times New Roman"/>
          <w:i/>
          <w:iCs/>
          <w:sz w:val="22"/>
          <w:szCs w:val="22"/>
          <w:lang w:val="en-GB"/>
        </w:rPr>
        <w:t>Multiple regression: Testing and interpreting interactions</w:t>
      </w:r>
      <w:r w:rsidRPr="00220586">
        <w:rPr>
          <w:rFonts w:ascii="Times New Roman" w:hAnsi="Times New Roman" w:cs="Times New Roman"/>
          <w:sz w:val="22"/>
          <w:szCs w:val="22"/>
          <w:lang w:val="en-GB"/>
        </w:rPr>
        <w:t>. Sage.</w:t>
      </w:r>
    </w:p>
    <w:p w14:paraId="2A32FA22" w14:textId="334436A9" w:rsidR="007073C9" w:rsidRPr="00220586" w:rsidRDefault="007073C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Afshar Jahanshahi, A., Mendoza, M. I. R., &amp; Vicuña, J. C. A. (2023). Towards sustainable businesses in Latin America: The role of worker’s Dark Triad personality traits. </w:t>
      </w:r>
      <w:r w:rsidRPr="00220586">
        <w:rPr>
          <w:rFonts w:ascii="Times New Roman" w:hAnsi="Times New Roman" w:cs="Times New Roman"/>
          <w:i/>
          <w:iCs/>
          <w:sz w:val="22"/>
          <w:szCs w:val="22"/>
          <w:lang w:val="en-GB"/>
        </w:rPr>
        <w:t>Sustainable Development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31</w:t>
      </w:r>
      <w:r w:rsidRPr="00220586">
        <w:rPr>
          <w:rFonts w:ascii="Times New Roman" w:hAnsi="Times New Roman" w:cs="Times New Roman"/>
          <w:sz w:val="22"/>
          <w:szCs w:val="22"/>
          <w:lang w:val="en-GB"/>
        </w:rPr>
        <w:t xml:space="preserve">(5), 3196–3206. </w:t>
      </w:r>
      <w:hyperlink r:id="rId8" w:history="1">
        <w:r w:rsidRPr="00220586">
          <w:rPr>
            <w:rStyle w:val="Hipervnculo"/>
            <w:rFonts w:ascii="Times New Roman" w:hAnsi="Times New Roman" w:cs="Times New Roman"/>
            <w:sz w:val="22"/>
            <w:szCs w:val="22"/>
            <w:lang w:val="en-GB"/>
          </w:rPr>
          <w:t>https://doi.org/10.1002/sd.2574</w:t>
        </w:r>
      </w:hyperlink>
    </w:p>
    <w:p w14:paraId="0716A664" w14:textId="17F196CD" w:rsidR="007073C9" w:rsidRPr="005801CC" w:rsidRDefault="007073C9" w:rsidP="00D82D8D">
      <w:pPr>
        <w:spacing w:line="360" w:lineRule="auto"/>
        <w:jc w:val="both"/>
        <w:rPr>
          <w:rFonts w:ascii="Times New Roman" w:hAnsi="Times New Roman" w:cs="Times New Roman"/>
          <w:sz w:val="22"/>
          <w:szCs w:val="22"/>
          <w:lang w:val="pt-PT"/>
        </w:rPr>
      </w:pPr>
      <w:r w:rsidRPr="00220586">
        <w:rPr>
          <w:rFonts w:ascii="Times New Roman" w:hAnsi="Times New Roman" w:cs="Times New Roman"/>
          <w:sz w:val="22"/>
          <w:szCs w:val="22"/>
          <w:lang w:val="en-GB"/>
        </w:rPr>
        <w:t xml:space="preserve">Afshar Jahanshahi, A., Schmitt, V. G. H., Rivas-Mendoza, M. I., Fernandez-Telleria, B., da Costa, P. R., García, X. C., Ibarra, V. G., Nuñez, J. G., Carbonell, S. T., García, F. I., Izaguirre, L. A. P., Leyva, A. O., Pigola, A., &amp; Galera, V. (2025). How ‘dark’ are Latino: Implications for nascent entrepreneurship. </w:t>
      </w:r>
      <w:r w:rsidRPr="00220586">
        <w:rPr>
          <w:rFonts w:ascii="Times New Roman" w:hAnsi="Times New Roman" w:cs="Times New Roman"/>
          <w:i/>
          <w:iCs/>
          <w:sz w:val="22"/>
          <w:szCs w:val="22"/>
          <w:lang w:val="en-GB"/>
        </w:rPr>
        <w:t>Personality and Individual Differences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233</w:t>
      </w:r>
      <w:r w:rsidRPr="00220586">
        <w:rPr>
          <w:rFonts w:ascii="Times New Roman" w:hAnsi="Times New Roman" w:cs="Times New Roman"/>
          <w:sz w:val="22"/>
          <w:szCs w:val="22"/>
          <w:lang w:val="en-GB"/>
        </w:rPr>
        <w:t xml:space="preserve">, 112897. </w:t>
      </w:r>
      <w:hyperlink r:id="rId9" w:history="1">
        <w:r w:rsidRPr="005801CC">
          <w:rPr>
            <w:rStyle w:val="Hipervnculo"/>
            <w:rFonts w:ascii="Times New Roman" w:hAnsi="Times New Roman" w:cs="Times New Roman"/>
            <w:sz w:val="22"/>
            <w:szCs w:val="22"/>
            <w:lang w:val="pt-PT"/>
          </w:rPr>
          <w:t>https://doi.org/10.1016/j.paid.2024.112897</w:t>
        </w:r>
      </w:hyperlink>
    </w:p>
    <w:p w14:paraId="1B18513B" w14:textId="3CFCFFA2" w:rsidR="005801CC" w:rsidRPr="005801CC" w:rsidRDefault="005801CC" w:rsidP="00D82D8D">
      <w:pPr>
        <w:spacing w:line="360" w:lineRule="auto"/>
        <w:jc w:val="both"/>
        <w:rPr>
          <w:rFonts w:ascii="Times New Roman" w:hAnsi="Times New Roman" w:cs="Times New Roman"/>
          <w:sz w:val="22"/>
          <w:szCs w:val="22"/>
          <w:lang w:val="en-GB"/>
        </w:rPr>
      </w:pPr>
      <w:r w:rsidRPr="005801CC">
        <w:rPr>
          <w:rFonts w:ascii="Times New Roman" w:hAnsi="Times New Roman" w:cs="Times New Roman"/>
          <w:sz w:val="22"/>
          <w:szCs w:val="22"/>
          <w:lang w:val="pt-PT"/>
        </w:rPr>
        <w:t xml:space="preserve">Ali, F., &amp; Chamorro-Premuzic, T. (2010). </w:t>
      </w:r>
      <w:r w:rsidRPr="005801CC">
        <w:rPr>
          <w:rFonts w:ascii="Times New Roman" w:hAnsi="Times New Roman" w:cs="Times New Roman"/>
          <w:sz w:val="22"/>
          <w:szCs w:val="22"/>
          <w:lang w:val="en-GB"/>
        </w:rPr>
        <w:t xml:space="preserve">The dark side of love and life satisfaction: Associations with intimate relationships, psychopathy and Machiavellianism. </w:t>
      </w:r>
      <w:r w:rsidRPr="007C73C9">
        <w:rPr>
          <w:rFonts w:ascii="Times New Roman" w:hAnsi="Times New Roman" w:cs="Times New Roman"/>
          <w:i/>
          <w:iCs/>
          <w:sz w:val="22"/>
          <w:szCs w:val="22"/>
          <w:lang w:val="en-GB"/>
        </w:rPr>
        <w:t>Personality and Individual Differences</w:t>
      </w:r>
      <w:r w:rsidRPr="007C73C9">
        <w:rPr>
          <w:rFonts w:ascii="Times New Roman" w:hAnsi="Times New Roman" w:cs="Times New Roman"/>
          <w:sz w:val="22"/>
          <w:szCs w:val="22"/>
          <w:lang w:val="en-GB"/>
        </w:rPr>
        <w:t xml:space="preserve">, </w:t>
      </w:r>
      <w:r w:rsidRPr="007C73C9">
        <w:rPr>
          <w:rFonts w:ascii="Times New Roman" w:hAnsi="Times New Roman" w:cs="Times New Roman"/>
          <w:i/>
          <w:iCs/>
          <w:sz w:val="22"/>
          <w:szCs w:val="22"/>
          <w:lang w:val="en-GB"/>
        </w:rPr>
        <w:t>48</w:t>
      </w:r>
      <w:r w:rsidRPr="007C73C9">
        <w:rPr>
          <w:rFonts w:ascii="Times New Roman" w:hAnsi="Times New Roman" w:cs="Times New Roman"/>
          <w:sz w:val="22"/>
          <w:szCs w:val="22"/>
          <w:lang w:val="en-GB"/>
        </w:rPr>
        <w:t xml:space="preserve">(2), 228–233. </w:t>
      </w:r>
      <w:hyperlink r:id="rId10" w:history="1">
        <w:r w:rsidRPr="005801CC">
          <w:rPr>
            <w:rStyle w:val="Hipervnculo"/>
            <w:rFonts w:ascii="Times New Roman" w:hAnsi="Times New Roman" w:cs="Times New Roman"/>
            <w:sz w:val="22"/>
            <w:szCs w:val="22"/>
            <w:lang w:val="en-GB"/>
          </w:rPr>
          <w:t>https://doi.org/10.1016/j.paid.2009.10.016</w:t>
        </w:r>
      </w:hyperlink>
    </w:p>
    <w:p w14:paraId="3B23E2BF" w14:textId="680B7870" w:rsidR="002F732D" w:rsidRPr="00220586" w:rsidRDefault="002F732D" w:rsidP="00D82D8D">
      <w:pPr>
        <w:spacing w:line="360" w:lineRule="auto"/>
        <w:jc w:val="both"/>
        <w:rPr>
          <w:rFonts w:ascii="Times New Roman" w:hAnsi="Times New Roman" w:cs="Times New Roman"/>
          <w:lang w:val="en-GB"/>
        </w:rPr>
      </w:pPr>
      <w:r w:rsidRPr="00220586">
        <w:rPr>
          <w:rFonts w:ascii="Times New Roman" w:hAnsi="Times New Roman" w:cs="Times New Roman"/>
          <w:sz w:val="22"/>
          <w:szCs w:val="22"/>
          <w:lang w:val="en-GB"/>
        </w:rPr>
        <w:t xml:space="preserve">Ashford, S. J., &amp; Black, J. S. (1996). Proactivity during organizational entry: The role of desire for control. </w:t>
      </w:r>
      <w:r w:rsidRPr="00220586">
        <w:rPr>
          <w:rFonts w:ascii="Times New Roman" w:hAnsi="Times New Roman" w:cs="Times New Roman"/>
          <w:i/>
          <w:iCs/>
          <w:sz w:val="22"/>
          <w:szCs w:val="22"/>
          <w:lang w:val="en-GB"/>
        </w:rPr>
        <w:t>Journal of Applied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81</w:t>
      </w:r>
      <w:r w:rsidRPr="00220586">
        <w:rPr>
          <w:rFonts w:ascii="Times New Roman" w:hAnsi="Times New Roman" w:cs="Times New Roman"/>
          <w:sz w:val="22"/>
          <w:szCs w:val="22"/>
          <w:lang w:val="en-GB"/>
        </w:rPr>
        <w:t xml:space="preserve">(2), 199–214. </w:t>
      </w:r>
      <w:hyperlink r:id="rId11" w:history="1">
        <w:r w:rsidRPr="00220586">
          <w:rPr>
            <w:rStyle w:val="Hipervnculo"/>
            <w:rFonts w:ascii="Times New Roman" w:hAnsi="Times New Roman" w:cs="Times New Roman"/>
            <w:sz w:val="22"/>
            <w:szCs w:val="22"/>
            <w:lang w:val="en-GB"/>
          </w:rPr>
          <w:t>https://doi.org/10.1037/0021-9010.81.2.199</w:t>
        </w:r>
      </w:hyperlink>
    </w:p>
    <w:p w14:paraId="41C5E2AA" w14:textId="77777777" w:rsidR="000E5FBB" w:rsidRPr="00220586" w:rsidRDefault="000E5FBB" w:rsidP="00D82D8D">
      <w:pPr>
        <w:spacing w:line="360" w:lineRule="auto"/>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Atinc, G., Darrat, M., Fuller, B., &amp; Parker, B. W. (2010). Perceptions of organizational politics: A meta-analysis of theoretical antecedents. </w:t>
      </w:r>
      <w:r w:rsidRPr="00220586">
        <w:rPr>
          <w:rFonts w:ascii="Times New Roman" w:hAnsi="Times New Roman" w:cs="Times New Roman"/>
          <w:i/>
          <w:iCs/>
          <w:sz w:val="22"/>
          <w:szCs w:val="22"/>
          <w:lang w:val="en-GB"/>
        </w:rPr>
        <w:t>Journal of Management, 36</w:t>
      </w:r>
      <w:r w:rsidRPr="00220586">
        <w:rPr>
          <w:rFonts w:ascii="Times New Roman" w:hAnsi="Times New Roman" w:cs="Times New Roman"/>
          <w:sz w:val="22"/>
          <w:szCs w:val="22"/>
          <w:lang w:val="en-GB"/>
        </w:rPr>
        <w:t>(4), 494–522.</w:t>
      </w:r>
    </w:p>
    <w:p w14:paraId="5F957AC8"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Avey, J. B., Reichard, R. J., Luthans, F., &amp; Mhatre, K. H. (2011). Meta‐analysis of the impact of positive psychological capital on employee attitudes, behaviors, and performance. </w:t>
      </w:r>
      <w:r w:rsidRPr="00220586">
        <w:rPr>
          <w:rFonts w:ascii="Times New Roman" w:hAnsi="Times New Roman" w:cs="Times New Roman"/>
          <w:i/>
          <w:iCs/>
          <w:sz w:val="22"/>
          <w:szCs w:val="22"/>
          <w:lang w:val="en-GB"/>
        </w:rPr>
        <w:t>Human Resource Development Quarterly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22</w:t>
      </w:r>
      <w:r w:rsidRPr="00220586">
        <w:rPr>
          <w:rFonts w:ascii="Times New Roman" w:hAnsi="Times New Roman" w:cs="Times New Roman"/>
          <w:sz w:val="22"/>
          <w:szCs w:val="22"/>
          <w:lang w:val="en-GB"/>
        </w:rPr>
        <w:t xml:space="preserve">(2), 127–152. </w:t>
      </w:r>
      <w:hyperlink r:id="rId12" w:history="1">
        <w:r w:rsidRPr="00220586">
          <w:rPr>
            <w:rStyle w:val="Hipervnculo"/>
            <w:rFonts w:ascii="Times New Roman" w:hAnsi="Times New Roman" w:cs="Times New Roman"/>
            <w:sz w:val="22"/>
            <w:szCs w:val="22"/>
            <w:lang w:val="en-GB"/>
          </w:rPr>
          <w:t>https://doi.org/10.1002/hrdq.20070</w:t>
        </w:r>
      </w:hyperlink>
    </w:p>
    <w:p w14:paraId="0494417F" w14:textId="77777777" w:rsidR="000E5FBB" w:rsidRPr="00220586" w:rsidRDefault="000E5FBB" w:rsidP="00D82D8D">
      <w:pPr>
        <w:spacing w:line="360" w:lineRule="auto"/>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Bader, M., Hartung, J., Hilbig, B. E., Zettler, I., Moshagen, M., &amp; Wilhelm, O. (2021). Themes of the dark core of personality. </w:t>
      </w:r>
      <w:r w:rsidRPr="00220586">
        <w:rPr>
          <w:rFonts w:ascii="Times New Roman" w:hAnsi="Times New Roman" w:cs="Times New Roman"/>
          <w:i/>
          <w:iCs/>
          <w:sz w:val="22"/>
          <w:szCs w:val="22"/>
          <w:lang w:val="en-GB"/>
        </w:rPr>
        <w:t>Psychological Assessment, 33</w:t>
      </w:r>
      <w:r w:rsidRPr="00220586">
        <w:rPr>
          <w:rFonts w:ascii="Times New Roman" w:hAnsi="Times New Roman" w:cs="Times New Roman"/>
          <w:sz w:val="22"/>
          <w:szCs w:val="22"/>
          <w:lang w:val="en-GB"/>
        </w:rPr>
        <w:t xml:space="preserve">(6), 511–525. </w:t>
      </w:r>
      <w:hyperlink r:id="rId13" w:history="1">
        <w:r w:rsidRPr="00220586">
          <w:rPr>
            <w:rStyle w:val="Hipervnculo"/>
            <w:rFonts w:ascii="Times New Roman" w:hAnsi="Times New Roman" w:cs="Times New Roman"/>
            <w:sz w:val="22"/>
            <w:szCs w:val="22"/>
            <w:lang w:val="en-GB"/>
          </w:rPr>
          <w:t>https://doi.org/10.1037/pas0001006</w:t>
        </w:r>
      </w:hyperlink>
    </w:p>
    <w:p w14:paraId="46A15BC2"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lastRenderedPageBreak/>
        <w:t xml:space="preserve">Baker, T., &amp; Nelson, R. E. (2005). Creating Something from Nothing: Resource Construction through Entrepreneurial Bricolage. </w:t>
      </w:r>
      <w:r w:rsidRPr="00220586">
        <w:rPr>
          <w:rFonts w:ascii="Times New Roman" w:hAnsi="Times New Roman" w:cs="Times New Roman"/>
          <w:i/>
          <w:iCs/>
          <w:sz w:val="22"/>
          <w:szCs w:val="22"/>
          <w:lang w:val="en-GB"/>
        </w:rPr>
        <w:t>Administrative Science Quarterly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50</w:t>
      </w:r>
      <w:r w:rsidRPr="00220586">
        <w:rPr>
          <w:rFonts w:ascii="Times New Roman" w:hAnsi="Times New Roman" w:cs="Times New Roman"/>
          <w:sz w:val="22"/>
          <w:szCs w:val="22"/>
          <w:lang w:val="en-GB"/>
        </w:rPr>
        <w:t xml:space="preserve">(3), 329–366. </w:t>
      </w:r>
      <w:hyperlink r:id="rId14" w:history="1">
        <w:r w:rsidRPr="00220586">
          <w:rPr>
            <w:rStyle w:val="Hipervnculo"/>
            <w:rFonts w:ascii="Times New Roman" w:hAnsi="Times New Roman" w:cs="Times New Roman"/>
            <w:sz w:val="22"/>
            <w:szCs w:val="22"/>
            <w:lang w:val="en-GB"/>
          </w:rPr>
          <w:t>https://doi.org/10.2189/asqu.2005.50.3.329</w:t>
        </w:r>
      </w:hyperlink>
    </w:p>
    <w:p w14:paraId="0B7AAC38" w14:textId="766E1ACA" w:rsidR="005801CC" w:rsidRPr="007C73C9" w:rsidRDefault="005801CC" w:rsidP="005801CC">
      <w:pPr>
        <w:spacing w:line="360" w:lineRule="auto"/>
        <w:jc w:val="both"/>
        <w:rPr>
          <w:rFonts w:ascii="Times New Roman" w:hAnsi="Times New Roman" w:cs="Times New Roman"/>
          <w:sz w:val="22"/>
          <w:szCs w:val="22"/>
          <w:lang w:val="en-GB"/>
        </w:rPr>
      </w:pPr>
      <w:r w:rsidRPr="005801CC">
        <w:rPr>
          <w:rFonts w:ascii="Times New Roman" w:hAnsi="Times New Roman" w:cs="Times New Roman"/>
          <w:sz w:val="22"/>
          <w:szCs w:val="22"/>
          <w:lang w:val="de-DE"/>
        </w:rPr>
        <w:t xml:space="preserve">Baron, R. A., Franklin, R. J., &amp; Hmieleski, K. M. (2016). </w:t>
      </w:r>
      <w:r w:rsidRPr="005801CC">
        <w:rPr>
          <w:rFonts w:ascii="Times New Roman" w:hAnsi="Times New Roman" w:cs="Times New Roman"/>
          <w:sz w:val="22"/>
          <w:szCs w:val="22"/>
          <w:lang w:val="en-GB"/>
        </w:rPr>
        <w:t xml:space="preserve">Why Entrepreneurs Often Experience </w:t>
      </w:r>
      <w:r w:rsidRPr="005801CC">
        <w:rPr>
          <w:rFonts w:ascii="Times New Roman" w:hAnsi="Times New Roman" w:cs="Times New Roman"/>
          <w:i/>
          <w:iCs/>
          <w:sz w:val="22"/>
          <w:szCs w:val="22"/>
          <w:lang w:val="en-GB"/>
        </w:rPr>
        <w:t>Low</w:t>
      </w:r>
      <w:r w:rsidRPr="005801CC">
        <w:rPr>
          <w:rFonts w:ascii="Times New Roman" w:hAnsi="Times New Roman" w:cs="Times New Roman"/>
          <w:sz w:val="22"/>
          <w:szCs w:val="22"/>
          <w:lang w:val="en-GB"/>
        </w:rPr>
        <w:t xml:space="preserve"> , Not High, Levels of Stress. </w:t>
      </w:r>
      <w:r w:rsidRPr="007C73C9">
        <w:rPr>
          <w:rFonts w:ascii="Times New Roman" w:hAnsi="Times New Roman" w:cs="Times New Roman"/>
          <w:i/>
          <w:iCs/>
          <w:sz w:val="22"/>
          <w:szCs w:val="22"/>
          <w:lang w:val="en-GB"/>
        </w:rPr>
        <w:t>Journal of Management</w:t>
      </w:r>
      <w:r w:rsidRPr="007C73C9">
        <w:rPr>
          <w:rFonts w:ascii="Times New Roman" w:hAnsi="Times New Roman" w:cs="Times New Roman"/>
          <w:sz w:val="22"/>
          <w:szCs w:val="22"/>
          <w:lang w:val="en-GB"/>
        </w:rPr>
        <w:t xml:space="preserve">, </w:t>
      </w:r>
      <w:r w:rsidRPr="007C73C9">
        <w:rPr>
          <w:rFonts w:ascii="Times New Roman" w:hAnsi="Times New Roman" w:cs="Times New Roman"/>
          <w:i/>
          <w:iCs/>
          <w:sz w:val="22"/>
          <w:szCs w:val="22"/>
          <w:lang w:val="en-GB"/>
        </w:rPr>
        <w:t>42</w:t>
      </w:r>
      <w:r w:rsidRPr="007C73C9">
        <w:rPr>
          <w:rFonts w:ascii="Times New Roman" w:hAnsi="Times New Roman" w:cs="Times New Roman"/>
          <w:sz w:val="22"/>
          <w:szCs w:val="22"/>
          <w:lang w:val="en-GB"/>
        </w:rPr>
        <w:t xml:space="preserve">(3), 742–768. </w:t>
      </w:r>
      <w:hyperlink r:id="rId15" w:history="1">
        <w:r w:rsidRPr="007C73C9">
          <w:rPr>
            <w:rStyle w:val="Hipervnculo"/>
            <w:rFonts w:ascii="Times New Roman" w:hAnsi="Times New Roman" w:cs="Times New Roman"/>
            <w:sz w:val="22"/>
            <w:szCs w:val="22"/>
            <w:lang w:val="en-GB"/>
          </w:rPr>
          <w:t>https://doi.org/10.1177/0149206313495411</w:t>
        </w:r>
      </w:hyperlink>
    </w:p>
    <w:p w14:paraId="374A0B47" w14:textId="36B3591B"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Baumol, W. J. (1990). Entrepreneurship: Productive, Unproductive, and Destructive. </w:t>
      </w:r>
      <w:r w:rsidRPr="00220586">
        <w:rPr>
          <w:rFonts w:ascii="Times New Roman" w:hAnsi="Times New Roman" w:cs="Times New Roman"/>
          <w:i/>
          <w:iCs/>
          <w:sz w:val="22"/>
          <w:szCs w:val="22"/>
          <w:lang w:val="en-GB"/>
        </w:rPr>
        <w:t>Journal of Political Economy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98</w:t>
      </w:r>
      <w:r w:rsidRPr="00220586">
        <w:rPr>
          <w:rFonts w:ascii="Times New Roman" w:hAnsi="Times New Roman" w:cs="Times New Roman"/>
          <w:sz w:val="22"/>
          <w:szCs w:val="22"/>
          <w:lang w:val="en-GB"/>
        </w:rPr>
        <w:t xml:space="preserve">(5, Part 1), 893–921. </w:t>
      </w:r>
      <w:hyperlink r:id="rId16" w:history="1">
        <w:r w:rsidRPr="00220586">
          <w:rPr>
            <w:rStyle w:val="Hipervnculo"/>
            <w:rFonts w:ascii="Times New Roman" w:hAnsi="Times New Roman" w:cs="Times New Roman"/>
            <w:sz w:val="22"/>
            <w:szCs w:val="22"/>
            <w:lang w:val="en-GB"/>
          </w:rPr>
          <w:t>https://doi.org/10.1086/261712</w:t>
        </w:r>
      </w:hyperlink>
    </w:p>
    <w:p w14:paraId="2E9F688D"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Bennett, R. J., &amp; Robinson, S. L. (2000). Development of a measure of workplace deviance. </w:t>
      </w:r>
      <w:r w:rsidRPr="00220586">
        <w:rPr>
          <w:rFonts w:ascii="Times New Roman" w:hAnsi="Times New Roman" w:cs="Times New Roman"/>
          <w:i/>
          <w:iCs/>
          <w:sz w:val="22"/>
          <w:szCs w:val="22"/>
          <w:lang w:val="en-GB"/>
        </w:rPr>
        <w:t>Journal of Applied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85</w:t>
      </w:r>
      <w:r w:rsidRPr="00220586">
        <w:rPr>
          <w:rFonts w:ascii="Times New Roman" w:hAnsi="Times New Roman" w:cs="Times New Roman"/>
          <w:sz w:val="22"/>
          <w:szCs w:val="22"/>
          <w:lang w:val="en-GB"/>
        </w:rPr>
        <w:t xml:space="preserve">(3), 349–360. </w:t>
      </w:r>
      <w:hyperlink r:id="rId17" w:history="1">
        <w:r w:rsidRPr="00220586">
          <w:rPr>
            <w:rStyle w:val="Hipervnculo"/>
            <w:rFonts w:ascii="Times New Roman" w:hAnsi="Times New Roman" w:cs="Times New Roman"/>
            <w:sz w:val="22"/>
            <w:szCs w:val="22"/>
            <w:lang w:val="en-GB"/>
          </w:rPr>
          <w:t>https://doi.org/10.1037/0021-9010.85.3.349</w:t>
        </w:r>
      </w:hyperlink>
    </w:p>
    <w:p w14:paraId="347AC72F"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Berisha, G., Lajçi, R., Caputo, A., &amp; Krasniqi, B. A. (2025). Enhancing managerial intrapreneurship: investigating the influence of psychological capital, well-being and work–life balance. </w:t>
      </w:r>
      <w:r w:rsidRPr="00220586">
        <w:rPr>
          <w:rFonts w:ascii="Times New Roman" w:hAnsi="Times New Roman" w:cs="Times New Roman"/>
          <w:i/>
          <w:iCs/>
          <w:sz w:val="22"/>
          <w:szCs w:val="22"/>
          <w:lang w:val="en-GB"/>
        </w:rPr>
        <w:t>International Journal of Entrepreneurial Behavior &amp; Research</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31</w:t>
      </w:r>
      <w:r w:rsidRPr="00220586">
        <w:rPr>
          <w:rFonts w:ascii="Times New Roman" w:hAnsi="Times New Roman" w:cs="Times New Roman"/>
          <w:sz w:val="22"/>
          <w:szCs w:val="22"/>
          <w:lang w:val="en-GB"/>
        </w:rPr>
        <w:t xml:space="preserve">(11), 336–358. </w:t>
      </w:r>
      <w:hyperlink r:id="rId18" w:history="1">
        <w:r w:rsidRPr="00220586">
          <w:rPr>
            <w:rStyle w:val="Hipervnculo"/>
            <w:rFonts w:ascii="Times New Roman" w:hAnsi="Times New Roman" w:cs="Times New Roman"/>
            <w:sz w:val="22"/>
            <w:szCs w:val="22"/>
            <w:lang w:val="en-GB"/>
          </w:rPr>
          <w:t>https://doi.org/10.1108/IJEBR-02-2024-0095</w:t>
        </w:r>
      </w:hyperlink>
    </w:p>
    <w:p w14:paraId="6538275F"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Boman, B. (2024). The Gray Nine and parallel personality patterns: Big Five, Dark Tetrad, and a “well-rounded personality”. </w:t>
      </w:r>
      <w:r w:rsidRPr="00220586">
        <w:rPr>
          <w:rFonts w:ascii="Times New Roman" w:hAnsi="Times New Roman" w:cs="Times New Roman"/>
          <w:i/>
          <w:iCs/>
          <w:sz w:val="22"/>
          <w:szCs w:val="22"/>
          <w:lang w:val="en-GB"/>
        </w:rPr>
        <w:t>Integrative Psychological &amp; Behavioral Science, 58</w:t>
      </w:r>
      <w:r w:rsidRPr="00220586">
        <w:rPr>
          <w:rFonts w:ascii="Times New Roman" w:hAnsi="Times New Roman" w:cs="Times New Roman"/>
          <w:sz w:val="22"/>
          <w:szCs w:val="22"/>
          <w:lang w:val="en-GB"/>
        </w:rPr>
        <w:t xml:space="preserve">(4), 1300–1316. </w:t>
      </w:r>
      <w:hyperlink r:id="rId19" w:history="1">
        <w:r w:rsidRPr="00220586">
          <w:rPr>
            <w:rStyle w:val="Hipervnculo"/>
            <w:rFonts w:ascii="Times New Roman" w:hAnsi="Times New Roman" w:cs="Times New Roman"/>
            <w:sz w:val="22"/>
            <w:szCs w:val="22"/>
            <w:lang w:val="en-GB"/>
          </w:rPr>
          <w:t>https://doi.org/10.1007/s12124-024-09842-y</w:t>
        </w:r>
      </w:hyperlink>
    </w:p>
    <w:p w14:paraId="364B446C"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Bornovalova, M. A., Choate, A. M., Fatimah, H., Petersen, K. J., &amp; Wiernik, B. M. (2020). Appropriate use of bifactor analysis in psychopathology research: Appreciating benefits and limitations. </w:t>
      </w:r>
      <w:r w:rsidRPr="00220586">
        <w:rPr>
          <w:rFonts w:ascii="Times New Roman" w:hAnsi="Times New Roman" w:cs="Times New Roman"/>
          <w:i/>
          <w:iCs/>
          <w:sz w:val="22"/>
          <w:szCs w:val="22"/>
          <w:lang w:val="en-GB"/>
        </w:rPr>
        <w:t>Biological Psychiatry, 88</w:t>
      </w:r>
      <w:r w:rsidRPr="00220586">
        <w:rPr>
          <w:rFonts w:ascii="Times New Roman" w:hAnsi="Times New Roman" w:cs="Times New Roman"/>
          <w:sz w:val="22"/>
          <w:szCs w:val="22"/>
          <w:lang w:val="en-GB"/>
        </w:rPr>
        <w:t xml:space="preserve">(1), 18–27. </w:t>
      </w:r>
      <w:hyperlink r:id="rId20" w:history="1">
        <w:r w:rsidRPr="00220586">
          <w:rPr>
            <w:rStyle w:val="Hipervnculo"/>
            <w:rFonts w:ascii="Times New Roman" w:hAnsi="Times New Roman" w:cs="Times New Roman"/>
            <w:sz w:val="22"/>
            <w:szCs w:val="22"/>
            <w:lang w:val="en-GB"/>
          </w:rPr>
          <w:t>https://doi.org/10.1016/j.biopsych.2020.01.013</w:t>
        </w:r>
      </w:hyperlink>
    </w:p>
    <w:p w14:paraId="008CC612" w14:textId="77777777" w:rsidR="000E5FBB" w:rsidRPr="005801CC"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Buckels, E. E., Jones, D. N., &amp; Paulhus, D. L. (2013). Behavioral Confirmation of Everyday Sadism. </w:t>
      </w:r>
      <w:r w:rsidRPr="005801CC">
        <w:rPr>
          <w:rFonts w:ascii="Times New Roman" w:hAnsi="Times New Roman" w:cs="Times New Roman"/>
          <w:i/>
          <w:iCs/>
          <w:sz w:val="22"/>
          <w:szCs w:val="22"/>
          <w:lang w:val="en-GB"/>
        </w:rPr>
        <w:t>Psychological Science</w:t>
      </w:r>
      <w:r w:rsidRPr="005801CC">
        <w:rPr>
          <w:rFonts w:ascii="Times New Roman" w:hAnsi="Times New Roman" w:cs="Times New Roman"/>
          <w:sz w:val="22"/>
          <w:szCs w:val="22"/>
          <w:lang w:val="en-GB"/>
        </w:rPr>
        <w:t xml:space="preserve">, </w:t>
      </w:r>
      <w:r w:rsidRPr="005801CC">
        <w:rPr>
          <w:rFonts w:ascii="Times New Roman" w:hAnsi="Times New Roman" w:cs="Times New Roman"/>
          <w:i/>
          <w:iCs/>
          <w:sz w:val="22"/>
          <w:szCs w:val="22"/>
          <w:lang w:val="en-GB"/>
        </w:rPr>
        <w:t>24</w:t>
      </w:r>
      <w:r w:rsidRPr="005801CC">
        <w:rPr>
          <w:rFonts w:ascii="Times New Roman" w:hAnsi="Times New Roman" w:cs="Times New Roman"/>
          <w:sz w:val="22"/>
          <w:szCs w:val="22"/>
          <w:lang w:val="en-GB"/>
        </w:rPr>
        <w:t xml:space="preserve">(11), 2201–2209. </w:t>
      </w:r>
      <w:hyperlink r:id="rId21" w:history="1">
        <w:r w:rsidRPr="005801CC">
          <w:rPr>
            <w:rStyle w:val="Hipervnculo"/>
            <w:rFonts w:ascii="Times New Roman" w:hAnsi="Times New Roman" w:cs="Times New Roman"/>
            <w:sz w:val="22"/>
            <w:szCs w:val="22"/>
            <w:lang w:val="en-GB"/>
          </w:rPr>
          <w:t>https://doi.org/10.1177/0956797613490749</w:t>
        </w:r>
      </w:hyperlink>
    </w:p>
    <w:p w14:paraId="1707F231" w14:textId="5F4D2D5C" w:rsidR="005801CC" w:rsidRDefault="005801CC" w:rsidP="00D82D8D">
      <w:pPr>
        <w:spacing w:line="360" w:lineRule="auto"/>
        <w:jc w:val="both"/>
        <w:rPr>
          <w:rFonts w:ascii="Times New Roman" w:hAnsi="Times New Roman" w:cs="Times New Roman"/>
          <w:sz w:val="22"/>
          <w:szCs w:val="22"/>
          <w:lang w:val="es-MX"/>
        </w:rPr>
      </w:pPr>
      <w:r w:rsidRPr="005801CC">
        <w:rPr>
          <w:rFonts w:ascii="Times New Roman" w:hAnsi="Times New Roman" w:cs="Times New Roman"/>
          <w:sz w:val="22"/>
          <w:szCs w:val="22"/>
          <w:lang w:val="en-GB"/>
        </w:rPr>
        <w:t xml:space="preserve">Carless, S. A., Wearing, A. J., &amp; Mann, L. (2000). A Short Measure of Transformational Leadership. </w:t>
      </w:r>
      <w:r w:rsidRPr="005801CC">
        <w:rPr>
          <w:rFonts w:ascii="Times New Roman" w:hAnsi="Times New Roman" w:cs="Times New Roman"/>
          <w:i/>
          <w:iCs/>
          <w:sz w:val="22"/>
          <w:szCs w:val="22"/>
          <w:lang w:val="es-MX"/>
        </w:rPr>
        <w:t>Journal of Business and Psychology</w:t>
      </w:r>
      <w:r w:rsidRPr="005801CC">
        <w:rPr>
          <w:rFonts w:ascii="Times New Roman" w:hAnsi="Times New Roman" w:cs="Times New Roman"/>
          <w:sz w:val="22"/>
          <w:szCs w:val="22"/>
          <w:lang w:val="es-MX"/>
        </w:rPr>
        <w:t xml:space="preserve">, </w:t>
      </w:r>
      <w:r w:rsidRPr="005801CC">
        <w:rPr>
          <w:rFonts w:ascii="Times New Roman" w:hAnsi="Times New Roman" w:cs="Times New Roman"/>
          <w:i/>
          <w:iCs/>
          <w:sz w:val="22"/>
          <w:szCs w:val="22"/>
          <w:lang w:val="es-MX"/>
        </w:rPr>
        <w:t>14</w:t>
      </w:r>
      <w:r w:rsidRPr="005801CC">
        <w:rPr>
          <w:rFonts w:ascii="Times New Roman" w:hAnsi="Times New Roman" w:cs="Times New Roman"/>
          <w:sz w:val="22"/>
          <w:szCs w:val="22"/>
          <w:lang w:val="es-MX"/>
        </w:rPr>
        <w:t xml:space="preserve">(3), 389–405. </w:t>
      </w:r>
      <w:hyperlink r:id="rId22" w:history="1">
        <w:r w:rsidRPr="005801CC">
          <w:rPr>
            <w:rStyle w:val="Hipervnculo"/>
            <w:rFonts w:ascii="Times New Roman" w:hAnsi="Times New Roman" w:cs="Times New Roman"/>
            <w:sz w:val="22"/>
            <w:szCs w:val="22"/>
            <w:lang w:val="es-MX"/>
          </w:rPr>
          <w:t>https://doi.org/10.1023/A:1022991115523</w:t>
        </w:r>
      </w:hyperlink>
    </w:p>
    <w:p w14:paraId="114D1CC2" w14:textId="64DD40B3" w:rsidR="00690FF0" w:rsidRPr="00220586" w:rsidRDefault="00690FF0"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s-MX"/>
        </w:rPr>
        <w:t xml:space="preserve">Cavero, O. (2017). </w:t>
      </w:r>
      <w:r w:rsidRPr="00220586">
        <w:rPr>
          <w:rFonts w:ascii="Times New Roman" w:hAnsi="Times New Roman" w:cs="Times New Roman"/>
          <w:i/>
          <w:iCs/>
          <w:sz w:val="22"/>
          <w:szCs w:val="22"/>
          <w:lang w:val="es-MX"/>
        </w:rPr>
        <w:t>El trabajo en una economía heterogénea y marginal: Un panorama general de la situación socio-económica de los trabajadores en el Perú</w:t>
      </w:r>
      <w:r w:rsidRPr="00220586">
        <w:rPr>
          <w:rFonts w:ascii="Times New Roman" w:hAnsi="Times New Roman" w:cs="Times New Roman"/>
          <w:sz w:val="22"/>
          <w:szCs w:val="22"/>
          <w:lang w:val="es-MX"/>
        </w:rPr>
        <w:t xml:space="preserve">. En O. Manky (Ed.), </w:t>
      </w:r>
      <w:r w:rsidRPr="00220586">
        <w:rPr>
          <w:rFonts w:ascii="Times New Roman" w:hAnsi="Times New Roman" w:cs="Times New Roman"/>
          <w:i/>
          <w:iCs/>
          <w:sz w:val="22"/>
          <w:szCs w:val="22"/>
          <w:lang w:val="es-MX"/>
        </w:rPr>
        <w:t>Trabajo y sociedad. Estudios sobre el mundo del trabajo en el Perú</w:t>
      </w:r>
      <w:r w:rsidRPr="00220586">
        <w:rPr>
          <w:rFonts w:ascii="Times New Roman" w:hAnsi="Times New Roman" w:cs="Times New Roman"/>
          <w:sz w:val="22"/>
          <w:szCs w:val="22"/>
          <w:lang w:val="es-MX"/>
        </w:rPr>
        <w:t xml:space="preserve"> (pp. 26–57). </w:t>
      </w:r>
      <w:r w:rsidRPr="00220586">
        <w:rPr>
          <w:rFonts w:ascii="Times New Roman" w:hAnsi="Times New Roman" w:cs="Times New Roman"/>
          <w:sz w:val="22"/>
          <w:szCs w:val="22"/>
          <w:lang w:val="en-GB"/>
        </w:rPr>
        <w:t xml:space="preserve">Lima: CISEPA-PUCP. </w:t>
      </w:r>
    </w:p>
    <w:p w14:paraId="3397440E" w14:textId="0279AF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Chatterjee, A., &amp; Hambrick, D. C. (2007). It’s All about Me: Narcissistic Chief Executive Officers and Their Effects on Company Strategy and Performance. </w:t>
      </w:r>
      <w:r w:rsidRPr="00220586">
        <w:rPr>
          <w:rFonts w:ascii="Times New Roman" w:hAnsi="Times New Roman" w:cs="Times New Roman"/>
          <w:i/>
          <w:iCs/>
          <w:sz w:val="22"/>
          <w:szCs w:val="22"/>
          <w:lang w:val="en-GB"/>
        </w:rPr>
        <w:t>Administrative Science Quarterly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52</w:t>
      </w:r>
      <w:r w:rsidRPr="00220586">
        <w:rPr>
          <w:rFonts w:ascii="Times New Roman" w:hAnsi="Times New Roman" w:cs="Times New Roman"/>
          <w:sz w:val="22"/>
          <w:szCs w:val="22"/>
          <w:lang w:val="en-GB"/>
        </w:rPr>
        <w:t xml:space="preserve">(3), 351–386. </w:t>
      </w:r>
      <w:hyperlink r:id="rId23" w:history="1">
        <w:r w:rsidRPr="00220586">
          <w:rPr>
            <w:rStyle w:val="Hipervnculo"/>
            <w:rFonts w:ascii="Times New Roman" w:hAnsi="Times New Roman" w:cs="Times New Roman"/>
            <w:sz w:val="22"/>
            <w:szCs w:val="22"/>
            <w:lang w:val="en-GB"/>
          </w:rPr>
          <w:t>https://doi.org/10.2189/asqu.52.3.351</w:t>
        </w:r>
      </w:hyperlink>
    </w:p>
    <w:p w14:paraId="4D1AAAAC"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lastRenderedPageBreak/>
        <w:t xml:space="preserve">Crawford, J. J., Smyth, C., Crossey, B. P., &amp; Waldeck, D. (2025). The Dark Five: A reconsideration of the Short Dark Tetrad (SD4). </w:t>
      </w:r>
      <w:r w:rsidRPr="00220586">
        <w:rPr>
          <w:rFonts w:ascii="Times New Roman" w:hAnsi="Times New Roman" w:cs="Times New Roman"/>
          <w:i/>
          <w:iCs/>
          <w:sz w:val="22"/>
          <w:szCs w:val="22"/>
          <w:lang w:val="en-GB"/>
        </w:rPr>
        <w:t>Personality and Individual Differences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235</w:t>
      </w:r>
      <w:r w:rsidRPr="00220586">
        <w:rPr>
          <w:rFonts w:ascii="Times New Roman" w:hAnsi="Times New Roman" w:cs="Times New Roman"/>
          <w:sz w:val="22"/>
          <w:szCs w:val="22"/>
          <w:lang w:val="en-GB"/>
        </w:rPr>
        <w:t xml:space="preserve">, 112971. </w:t>
      </w:r>
      <w:hyperlink r:id="rId24" w:history="1">
        <w:r w:rsidRPr="00220586">
          <w:rPr>
            <w:rStyle w:val="Hipervnculo"/>
            <w:rFonts w:ascii="Times New Roman" w:hAnsi="Times New Roman" w:cs="Times New Roman"/>
            <w:sz w:val="22"/>
            <w:szCs w:val="22"/>
            <w:lang w:val="en-GB"/>
          </w:rPr>
          <w:t>https://doi.org/10.1016/j.paid.2024.112971</w:t>
        </w:r>
      </w:hyperlink>
    </w:p>
    <w:p w14:paraId="131268CF"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Dahling, J. J., Whitaker, B. G., &amp; Levy, P. E. (2009). The Development and Validation of a New Machiavellianism Scale. </w:t>
      </w:r>
      <w:r w:rsidRPr="00220586">
        <w:rPr>
          <w:rFonts w:ascii="Times New Roman" w:hAnsi="Times New Roman" w:cs="Times New Roman"/>
          <w:i/>
          <w:iCs/>
          <w:sz w:val="22"/>
          <w:szCs w:val="22"/>
          <w:lang w:val="en-GB"/>
        </w:rPr>
        <w:t>Journal of Management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35</w:t>
      </w:r>
      <w:r w:rsidRPr="00220586">
        <w:rPr>
          <w:rFonts w:ascii="Times New Roman" w:hAnsi="Times New Roman" w:cs="Times New Roman"/>
          <w:sz w:val="22"/>
          <w:szCs w:val="22"/>
          <w:lang w:val="en-GB"/>
        </w:rPr>
        <w:t xml:space="preserve">(2), 219–257. </w:t>
      </w:r>
      <w:hyperlink r:id="rId25" w:history="1">
        <w:r w:rsidRPr="00220586">
          <w:rPr>
            <w:rStyle w:val="Hipervnculo"/>
            <w:rFonts w:ascii="Times New Roman" w:hAnsi="Times New Roman" w:cs="Times New Roman"/>
            <w:sz w:val="22"/>
            <w:szCs w:val="22"/>
            <w:lang w:val="en-GB"/>
          </w:rPr>
          <w:t>https://doi.org/10.1177/0149206308318618</w:t>
        </w:r>
      </w:hyperlink>
    </w:p>
    <w:p w14:paraId="444B809A" w14:textId="77777777" w:rsidR="000E5FBB" w:rsidRPr="007C73C9" w:rsidRDefault="000E5FBB" w:rsidP="00D82D8D">
      <w:pPr>
        <w:spacing w:line="360" w:lineRule="auto"/>
        <w:jc w:val="both"/>
        <w:rPr>
          <w:rFonts w:ascii="Times New Roman" w:hAnsi="Times New Roman" w:cs="Times New Roman"/>
          <w:sz w:val="22"/>
          <w:szCs w:val="22"/>
          <w:lang w:val="fr-FR"/>
        </w:rPr>
      </w:pPr>
      <w:r w:rsidRPr="00220586">
        <w:rPr>
          <w:rFonts w:ascii="Times New Roman" w:hAnsi="Times New Roman" w:cs="Times New Roman"/>
          <w:sz w:val="22"/>
          <w:szCs w:val="22"/>
          <w:lang w:val="en-GB"/>
        </w:rPr>
        <w:t xml:space="preserve">Dang-Van, T., Vo-Thanh, T., Usman, M., &amp; Nguyen, N. (2022). Investigating employees’ deviant work behavior in the hotel industry during COVID-19: Empirical evidence from an emerging country. </w:t>
      </w:r>
      <w:r w:rsidRPr="007C73C9">
        <w:rPr>
          <w:rFonts w:ascii="Times New Roman" w:hAnsi="Times New Roman" w:cs="Times New Roman"/>
          <w:i/>
          <w:iCs/>
          <w:sz w:val="22"/>
          <w:szCs w:val="22"/>
          <w:lang w:val="fr-FR"/>
        </w:rPr>
        <w:t>Tourism Management Perspectives</w:t>
      </w:r>
      <w:r w:rsidRPr="007C73C9">
        <w:rPr>
          <w:rFonts w:ascii="Times New Roman" w:hAnsi="Times New Roman" w:cs="Times New Roman"/>
          <w:sz w:val="22"/>
          <w:szCs w:val="22"/>
          <w:lang w:val="fr-FR"/>
        </w:rPr>
        <w:t xml:space="preserve">, </w:t>
      </w:r>
      <w:r w:rsidRPr="007C73C9">
        <w:rPr>
          <w:rFonts w:ascii="Times New Roman" w:hAnsi="Times New Roman" w:cs="Times New Roman"/>
          <w:i/>
          <w:iCs/>
          <w:sz w:val="22"/>
          <w:szCs w:val="22"/>
          <w:lang w:val="fr-FR"/>
        </w:rPr>
        <w:t>44</w:t>
      </w:r>
      <w:r w:rsidRPr="007C73C9">
        <w:rPr>
          <w:rFonts w:ascii="Times New Roman" w:hAnsi="Times New Roman" w:cs="Times New Roman"/>
          <w:sz w:val="22"/>
          <w:szCs w:val="22"/>
          <w:lang w:val="fr-FR"/>
        </w:rPr>
        <w:t xml:space="preserve">, 101042. </w:t>
      </w:r>
      <w:hyperlink r:id="rId26" w:history="1">
        <w:r w:rsidRPr="007C73C9">
          <w:rPr>
            <w:rStyle w:val="Hipervnculo"/>
            <w:rFonts w:ascii="Times New Roman" w:hAnsi="Times New Roman" w:cs="Times New Roman"/>
            <w:sz w:val="22"/>
            <w:szCs w:val="22"/>
            <w:lang w:val="fr-FR"/>
          </w:rPr>
          <w:t>https://doi.org/10.1016/j.tmp.2022.101042</w:t>
        </w:r>
      </w:hyperlink>
    </w:p>
    <w:p w14:paraId="483D6E38" w14:textId="4CBC2ABB" w:rsidR="005801CC" w:rsidRDefault="005801CC"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fr-FR"/>
        </w:rPr>
        <w:t xml:space="preserve">Douglas, H. (2000). </w:t>
      </w:r>
      <w:r w:rsidRPr="005801CC">
        <w:rPr>
          <w:rFonts w:ascii="Times New Roman" w:hAnsi="Times New Roman" w:cs="Times New Roman"/>
          <w:sz w:val="22"/>
          <w:szCs w:val="22"/>
          <w:lang w:val="en-GB"/>
        </w:rPr>
        <w:t xml:space="preserve">Inductive Risk and Values in Science. </w:t>
      </w:r>
      <w:r w:rsidRPr="005801CC">
        <w:rPr>
          <w:rFonts w:ascii="Times New Roman" w:hAnsi="Times New Roman" w:cs="Times New Roman"/>
          <w:i/>
          <w:iCs/>
          <w:sz w:val="22"/>
          <w:szCs w:val="22"/>
          <w:lang w:val="en-GB"/>
        </w:rPr>
        <w:t>Philosophy of Science</w:t>
      </w:r>
      <w:r w:rsidRPr="005801CC">
        <w:rPr>
          <w:rFonts w:ascii="Times New Roman" w:hAnsi="Times New Roman" w:cs="Times New Roman"/>
          <w:sz w:val="22"/>
          <w:szCs w:val="22"/>
          <w:lang w:val="en-GB"/>
        </w:rPr>
        <w:t xml:space="preserve">, </w:t>
      </w:r>
      <w:r w:rsidRPr="005801CC">
        <w:rPr>
          <w:rFonts w:ascii="Times New Roman" w:hAnsi="Times New Roman" w:cs="Times New Roman"/>
          <w:i/>
          <w:iCs/>
          <w:sz w:val="22"/>
          <w:szCs w:val="22"/>
          <w:lang w:val="en-GB"/>
        </w:rPr>
        <w:t>67</w:t>
      </w:r>
      <w:r w:rsidRPr="005801CC">
        <w:rPr>
          <w:rFonts w:ascii="Times New Roman" w:hAnsi="Times New Roman" w:cs="Times New Roman"/>
          <w:sz w:val="22"/>
          <w:szCs w:val="22"/>
          <w:lang w:val="en-GB"/>
        </w:rPr>
        <w:t xml:space="preserve">(4), 559–579. </w:t>
      </w:r>
      <w:hyperlink r:id="rId27" w:history="1">
        <w:r w:rsidRPr="005801CC">
          <w:rPr>
            <w:rStyle w:val="Hipervnculo"/>
            <w:rFonts w:ascii="Times New Roman" w:hAnsi="Times New Roman" w:cs="Times New Roman"/>
            <w:sz w:val="22"/>
            <w:szCs w:val="22"/>
            <w:lang w:val="en-GB"/>
          </w:rPr>
          <w:t>https://doi.org/10.1086/392855</w:t>
        </w:r>
      </w:hyperlink>
    </w:p>
    <w:p w14:paraId="1F915EA7" w14:textId="2ED1F8AA"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Dulović, A., Smyth, C., &amp; Waldeck, D. (2026). The Dark Five - statistical anomaly or persistent phenomena: An exploratory investigation into the factor structure of the SD4 in multiple samples. </w:t>
      </w:r>
      <w:r w:rsidRPr="00220586">
        <w:rPr>
          <w:rFonts w:ascii="Times New Roman" w:hAnsi="Times New Roman" w:cs="Times New Roman"/>
          <w:i/>
          <w:iCs/>
          <w:sz w:val="22"/>
          <w:szCs w:val="22"/>
          <w:lang w:val="en-GB"/>
        </w:rPr>
        <w:t>Personality and Individual Differences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250</w:t>
      </w:r>
      <w:r w:rsidRPr="00220586">
        <w:rPr>
          <w:rFonts w:ascii="Times New Roman" w:hAnsi="Times New Roman" w:cs="Times New Roman"/>
          <w:sz w:val="22"/>
          <w:szCs w:val="22"/>
          <w:lang w:val="en-GB"/>
        </w:rPr>
        <w:t xml:space="preserve">, 113529. </w:t>
      </w:r>
      <w:hyperlink r:id="rId28" w:history="1">
        <w:r w:rsidRPr="00220586">
          <w:rPr>
            <w:rStyle w:val="Hipervnculo"/>
            <w:rFonts w:ascii="Times New Roman" w:hAnsi="Times New Roman" w:cs="Times New Roman"/>
            <w:sz w:val="22"/>
            <w:szCs w:val="22"/>
            <w:lang w:val="en-GB"/>
          </w:rPr>
          <w:t>https://doi.org/10.1016/j.paid.2025.113529</w:t>
        </w:r>
      </w:hyperlink>
    </w:p>
    <w:p w14:paraId="26E8E3D1" w14:textId="77777777"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n-GB"/>
        </w:rPr>
        <w:t xml:space="preserve">Eid, M., Geiser, C., Koch, T., &amp; Heene, M. (2017). Anomalous results in G-factor models: Explanations and alternatives. </w:t>
      </w:r>
      <w:r w:rsidRPr="00220586">
        <w:rPr>
          <w:rFonts w:ascii="Times New Roman" w:hAnsi="Times New Roman" w:cs="Times New Roman"/>
          <w:i/>
          <w:iCs/>
          <w:sz w:val="22"/>
          <w:szCs w:val="22"/>
          <w:lang w:val="es-MX"/>
        </w:rPr>
        <w:t>Psychological Methods</w:t>
      </w:r>
      <w:r w:rsidRPr="00220586">
        <w:rPr>
          <w:rFonts w:ascii="Times New Roman" w:hAnsi="Times New Roman" w:cs="Times New Roman"/>
          <w:sz w:val="22"/>
          <w:szCs w:val="22"/>
          <w:lang w:val="es-MX"/>
        </w:rPr>
        <w:t xml:space="preserve">, </w:t>
      </w:r>
      <w:r w:rsidRPr="00220586">
        <w:rPr>
          <w:rFonts w:ascii="Times New Roman" w:hAnsi="Times New Roman" w:cs="Times New Roman"/>
          <w:i/>
          <w:iCs/>
          <w:sz w:val="22"/>
          <w:szCs w:val="22"/>
          <w:lang w:val="es-MX"/>
        </w:rPr>
        <w:t>22</w:t>
      </w:r>
      <w:r w:rsidRPr="00220586">
        <w:rPr>
          <w:rFonts w:ascii="Times New Roman" w:hAnsi="Times New Roman" w:cs="Times New Roman"/>
          <w:sz w:val="22"/>
          <w:szCs w:val="22"/>
          <w:lang w:val="es-MX"/>
        </w:rPr>
        <w:t xml:space="preserve">(3), 541–562. </w:t>
      </w:r>
      <w:hyperlink r:id="rId29" w:history="1">
        <w:r w:rsidRPr="00220586">
          <w:rPr>
            <w:rStyle w:val="Hipervnculo"/>
            <w:rFonts w:ascii="Times New Roman" w:hAnsi="Times New Roman" w:cs="Times New Roman"/>
            <w:sz w:val="22"/>
            <w:szCs w:val="22"/>
            <w:lang w:val="es-MX"/>
          </w:rPr>
          <w:t>https://doi.org/10.1037/met0000083</w:t>
        </w:r>
      </w:hyperlink>
    </w:p>
    <w:p w14:paraId="4B0B7D11" w14:textId="0FD916C1" w:rsidR="00690FF0" w:rsidRPr="00220586" w:rsidRDefault="00690FF0"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Francke, P. (2022, agosto). </w:t>
      </w:r>
      <w:r w:rsidRPr="00220586">
        <w:rPr>
          <w:rFonts w:ascii="Times New Roman" w:hAnsi="Times New Roman" w:cs="Times New Roman"/>
          <w:i/>
          <w:iCs/>
          <w:sz w:val="22"/>
          <w:szCs w:val="22"/>
          <w:lang w:val="es-MX"/>
        </w:rPr>
        <w:t>Pobreza, exclusión y desigualdades en el Perú</w:t>
      </w:r>
      <w:r w:rsidRPr="00220586">
        <w:rPr>
          <w:rFonts w:ascii="Times New Roman" w:hAnsi="Times New Roman" w:cs="Times New Roman"/>
          <w:sz w:val="22"/>
          <w:szCs w:val="22"/>
          <w:lang w:val="es-MX"/>
        </w:rPr>
        <w:t xml:space="preserve">. Presentación, IEEP–PUCP. </w:t>
      </w:r>
    </w:p>
    <w:p w14:paraId="4F7896C7" w14:textId="11DFA00B" w:rsidR="000E5FBB" w:rsidRPr="007C73C9" w:rsidRDefault="000E5FBB" w:rsidP="00D82D8D">
      <w:pPr>
        <w:spacing w:line="360" w:lineRule="auto"/>
        <w:jc w:val="both"/>
        <w:rPr>
          <w:lang w:val="en-GB"/>
        </w:rPr>
      </w:pPr>
      <w:r w:rsidRPr="00220586">
        <w:rPr>
          <w:rFonts w:ascii="Times New Roman" w:hAnsi="Times New Roman" w:cs="Times New Roman"/>
          <w:sz w:val="22"/>
          <w:szCs w:val="22"/>
          <w:lang w:val="es-MX"/>
        </w:rPr>
        <w:t xml:space="preserve">Gamache, D., Maheux-Caron, V., Théberge, D., Côté, A., Rancourt, M.-A., Hétu, S., &amp; Savard, C. (2023). </w:t>
      </w:r>
      <w:r w:rsidRPr="00220586">
        <w:rPr>
          <w:rFonts w:ascii="Times New Roman" w:hAnsi="Times New Roman" w:cs="Times New Roman"/>
          <w:sz w:val="22"/>
          <w:szCs w:val="22"/>
          <w:lang w:val="en-GB"/>
        </w:rPr>
        <w:t xml:space="preserve">Revisiting the vulnerable dark triad hypothesis using a bifactor model. </w:t>
      </w:r>
      <w:r w:rsidRPr="00220586">
        <w:rPr>
          <w:rFonts w:ascii="Times New Roman" w:hAnsi="Times New Roman" w:cs="Times New Roman"/>
          <w:i/>
          <w:iCs/>
          <w:sz w:val="22"/>
          <w:szCs w:val="22"/>
          <w:lang w:val="en-GB"/>
        </w:rPr>
        <w:t>Scandinavian Journal of Psychology, 64</w:t>
      </w:r>
      <w:r w:rsidRPr="00220586">
        <w:rPr>
          <w:rFonts w:ascii="Times New Roman" w:hAnsi="Times New Roman" w:cs="Times New Roman"/>
          <w:sz w:val="22"/>
          <w:szCs w:val="22"/>
          <w:lang w:val="en-GB"/>
        </w:rPr>
        <w:t xml:space="preserve">(5), 679–692. </w:t>
      </w:r>
      <w:hyperlink r:id="rId30" w:history="1">
        <w:r w:rsidRPr="00220586">
          <w:rPr>
            <w:rStyle w:val="Hipervnculo"/>
            <w:rFonts w:ascii="Times New Roman" w:hAnsi="Times New Roman" w:cs="Times New Roman"/>
            <w:sz w:val="22"/>
            <w:szCs w:val="22"/>
            <w:lang w:val="en-GB"/>
          </w:rPr>
          <w:t>https://doi.org/10.1111/sjop.12921</w:t>
        </w:r>
      </w:hyperlink>
    </w:p>
    <w:p w14:paraId="60176778" w14:textId="0AE48865" w:rsidR="005801CC" w:rsidRPr="007C73C9" w:rsidRDefault="005801CC" w:rsidP="00D82D8D">
      <w:pPr>
        <w:spacing w:line="360" w:lineRule="auto"/>
        <w:jc w:val="both"/>
        <w:rPr>
          <w:rFonts w:ascii="Times New Roman" w:hAnsi="Times New Roman" w:cs="Times New Roman"/>
          <w:sz w:val="22"/>
          <w:szCs w:val="22"/>
          <w:lang w:val="en-GB"/>
        </w:rPr>
      </w:pPr>
      <w:r w:rsidRPr="005801CC">
        <w:rPr>
          <w:rFonts w:ascii="Times New Roman" w:hAnsi="Times New Roman" w:cs="Times New Roman"/>
          <w:sz w:val="22"/>
          <w:szCs w:val="22"/>
          <w:lang w:val="en-GB"/>
        </w:rPr>
        <w:t xml:space="preserve">Gardiner, E., &amp; Jackson, C. J. (2015). Personality and learning processes underlying maverickism. </w:t>
      </w:r>
      <w:r w:rsidRPr="007C73C9">
        <w:rPr>
          <w:rFonts w:ascii="Times New Roman" w:hAnsi="Times New Roman" w:cs="Times New Roman"/>
          <w:i/>
          <w:iCs/>
          <w:sz w:val="22"/>
          <w:szCs w:val="22"/>
          <w:lang w:val="en-GB"/>
        </w:rPr>
        <w:t>Journal of Managerial Psychology</w:t>
      </w:r>
      <w:r w:rsidRPr="007C73C9">
        <w:rPr>
          <w:rFonts w:ascii="Times New Roman" w:hAnsi="Times New Roman" w:cs="Times New Roman"/>
          <w:sz w:val="22"/>
          <w:szCs w:val="22"/>
          <w:lang w:val="en-GB"/>
        </w:rPr>
        <w:t xml:space="preserve">, </w:t>
      </w:r>
      <w:r w:rsidRPr="007C73C9">
        <w:rPr>
          <w:rFonts w:ascii="Times New Roman" w:hAnsi="Times New Roman" w:cs="Times New Roman"/>
          <w:i/>
          <w:iCs/>
          <w:sz w:val="22"/>
          <w:szCs w:val="22"/>
          <w:lang w:val="en-GB"/>
        </w:rPr>
        <w:t>30</w:t>
      </w:r>
      <w:r w:rsidRPr="007C73C9">
        <w:rPr>
          <w:rFonts w:ascii="Times New Roman" w:hAnsi="Times New Roman" w:cs="Times New Roman"/>
          <w:sz w:val="22"/>
          <w:szCs w:val="22"/>
          <w:lang w:val="en-GB"/>
        </w:rPr>
        <w:t xml:space="preserve">(6), 726–740. </w:t>
      </w:r>
      <w:hyperlink r:id="rId31" w:history="1">
        <w:r w:rsidRPr="007C73C9">
          <w:rPr>
            <w:rStyle w:val="Hipervnculo"/>
            <w:rFonts w:ascii="Times New Roman" w:hAnsi="Times New Roman" w:cs="Times New Roman"/>
            <w:sz w:val="22"/>
            <w:szCs w:val="22"/>
            <w:lang w:val="en-GB"/>
          </w:rPr>
          <w:t>https://doi.org/10.1108/JMP-07-2012-0230</w:t>
        </w:r>
      </w:hyperlink>
    </w:p>
    <w:p w14:paraId="603D1F91" w14:textId="21FA8069" w:rsidR="000E5FBB" w:rsidRPr="00220586" w:rsidRDefault="000E5FBB"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en-GB"/>
        </w:rPr>
        <w:t xml:space="preserve">Gawke, J. C., Gorgievski, M. J., &amp; Bakker, A. B. (2017). </w:t>
      </w:r>
      <w:r w:rsidRPr="00220586">
        <w:rPr>
          <w:rFonts w:ascii="Times New Roman" w:hAnsi="Times New Roman" w:cs="Times New Roman"/>
          <w:sz w:val="22"/>
          <w:szCs w:val="22"/>
          <w:lang w:val="en-GB"/>
        </w:rPr>
        <w:t xml:space="preserve">Employee intrapreneurship and work engagement: A latent change score approach. </w:t>
      </w:r>
      <w:r w:rsidRPr="00220586">
        <w:rPr>
          <w:rFonts w:ascii="Times New Roman" w:hAnsi="Times New Roman" w:cs="Times New Roman"/>
          <w:i/>
          <w:iCs/>
          <w:sz w:val="22"/>
          <w:szCs w:val="22"/>
          <w:lang w:val="en-GB"/>
        </w:rPr>
        <w:t>Journal of Vocational Behavior</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100</w:t>
      </w:r>
      <w:r w:rsidRPr="00220586">
        <w:rPr>
          <w:rFonts w:ascii="Times New Roman" w:hAnsi="Times New Roman" w:cs="Times New Roman"/>
          <w:sz w:val="22"/>
          <w:szCs w:val="22"/>
          <w:lang w:val="en-GB"/>
        </w:rPr>
        <w:t xml:space="preserve">, 88–100. </w:t>
      </w:r>
      <w:hyperlink r:id="rId32" w:history="1">
        <w:r w:rsidRPr="00220586">
          <w:rPr>
            <w:rStyle w:val="Hipervnculo"/>
            <w:rFonts w:ascii="Times New Roman" w:hAnsi="Times New Roman" w:cs="Times New Roman"/>
            <w:sz w:val="22"/>
            <w:szCs w:val="22"/>
            <w:lang w:val="en-GB"/>
          </w:rPr>
          <w:t>https://doi.org/10.1016/j.jvb.2017.03.002</w:t>
        </w:r>
      </w:hyperlink>
    </w:p>
    <w:p w14:paraId="770DE2C1" w14:textId="27ADC776" w:rsidR="00F818E8" w:rsidRPr="00220586" w:rsidRDefault="00F818E8" w:rsidP="00D82D8D">
      <w:pPr>
        <w:spacing w:line="360" w:lineRule="auto"/>
        <w:jc w:val="both"/>
        <w:rPr>
          <w:rFonts w:ascii="Times New Roman" w:hAnsi="Times New Roman" w:cs="Times New Roman"/>
          <w:sz w:val="22"/>
          <w:szCs w:val="22"/>
          <w:lang w:val="fr-FR"/>
        </w:rPr>
      </w:pPr>
      <w:r w:rsidRPr="00220586">
        <w:rPr>
          <w:rFonts w:ascii="Times New Roman" w:hAnsi="Times New Roman" w:cs="Times New Roman"/>
          <w:sz w:val="22"/>
          <w:szCs w:val="22"/>
          <w:lang w:val="en-GB"/>
        </w:rPr>
        <w:t xml:space="preserve">Gawke, J. C., Gorgievski, M. J., &amp; Bakker, A. B. (2019). Measuring intrapreneurship at the individual level: Development and validation of the Employee Intrapreneurship Scale (EIS). </w:t>
      </w:r>
      <w:r w:rsidRPr="00220586">
        <w:rPr>
          <w:rFonts w:ascii="Times New Roman" w:hAnsi="Times New Roman" w:cs="Times New Roman"/>
          <w:i/>
          <w:iCs/>
          <w:sz w:val="22"/>
          <w:szCs w:val="22"/>
          <w:lang w:val="fr-FR"/>
        </w:rPr>
        <w:t>European Management Journal</w:t>
      </w:r>
      <w:r w:rsidRPr="00220586">
        <w:rPr>
          <w:rFonts w:ascii="Times New Roman" w:hAnsi="Times New Roman" w:cs="Times New Roman"/>
          <w:sz w:val="22"/>
          <w:szCs w:val="22"/>
          <w:lang w:val="fr-FR"/>
        </w:rPr>
        <w:t xml:space="preserve">, </w:t>
      </w:r>
      <w:r w:rsidRPr="00220586">
        <w:rPr>
          <w:rFonts w:ascii="Times New Roman" w:hAnsi="Times New Roman" w:cs="Times New Roman"/>
          <w:i/>
          <w:iCs/>
          <w:sz w:val="22"/>
          <w:szCs w:val="22"/>
          <w:lang w:val="fr-FR"/>
        </w:rPr>
        <w:t>37</w:t>
      </w:r>
      <w:r w:rsidRPr="00220586">
        <w:rPr>
          <w:rFonts w:ascii="Times New Roman" w:hAnsi="Times New Roman" w:cs="Times New Roman"/>
          <w:sz w:val="22"/>
          <w:szCs w:val="22"/>
          <w:lang w:val="fr-FR"/>
        </w:rPr>
        <w:t xml:space="preserve">(6), 806–817. </w:t>
      </w:r>
      <w:hyperlink r:id="rId33" w:history="1">
        <w:r w:rsidRPr="00220586">
          <w:rPr>
            <w:rStyle w:val="Hipervnculo"/>
            <w:rFonts w:ascii="Times New Roman" w:hAnsi="Times New Roman" w:cs="Times New Roman"/>
            <w:sz w:val="22"/>
            <w:szCs w:val="22"/>
            <w:lang w:val="fr-FR"/>
          </w:rPr>
          <w:t>https://doi.org/10.1016/j.emj.2019.03.001</w:t>
        </w:r>
      </w:hyperlink>
    </w:p>
    <w:p w14:paraId="23F0DE43" w14:textId="4EED0CB9"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fr-FR"/>
        </w:rPr>
        <w:lastRenderedPageBreak/>
        <w:t xml:space="preserve">Gojny-Zbierowska, M. (2024). </w:t>
      </w:r>
      <w:r w:rsidRPr="00220586">
        <w:rPr>
          <w:rFonts w:ascii="Times New Roman" w:hAnsi="Times New Roman" w:cs="Times New Roman"/>
          <w:sz w:val="22"/>
          <w:szCs w:val="22"/>
          <w:lang w:val="en-GB"/>
        </w:rPr>
        <w:t xml:space="preserve">When there is no justice, we need an old HERO. The trickle-down effect of psychological capital: the moderating role of organizational justice and leaders’ age. </w:t>
      </w:r>
      <w:r w:rsidRPr="00220586">
        <w:rPr>
          <w:rFonts w:ascii="Times New Roman" w:hAnsi="Times New Roman" w:cs="Times New Roman"/>
          <w:i/>
          <w:iCs/>
          <w:sz w:val="22"/>
          <w:szCs w:val="22"/>
          <w:lang w:val="en-GB"/>
        </w:rPr>
        <w:t>Frontiers in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15</w:t>
      </w:r>
      <w:r w:rsidRPr="00220586">
        <w:rPr>
          <w:rFonts w:ascii="Times New Roman" w:hAnsi="Times New Roman" w:cs="Times New Roman"/>
          <w:sz w:val="22"/>
          <w:szCs w:val="22"/>
          <w:lang w:val="en-GB"/>
        </w:rPr>
        <w:t xml:space="preserve">. </w:t>
      </w:r>
      <w:hyperlink r:id="rId34" w:history="1">
        <w:r w:rsidRPr="00220586">
          <w:rPr>
            <w:rStyle w:val="Hipervnculo"/>
            <w:rFonts w:ascii="Times New Roman" w:hAnsi="Times New Roman" w:cs="Times New Roman"/>
            <w:sz w:val="22"/>
            <w:szCs w:val="22"/>
            <w:lang w:val="en-GB"/>
          </w:rPr>
          <w:t>https://doi.org/10.3389/fpsyg.2024.1256721</w:t>
        </w:r>
      </w:hyperlink>
    </w:p>
    <w:p w14:paraId="70E4D79A" w14:textId="4C124DC5" w:rsidR="00E66A95" w:rsidRPr="00220586" w:rsidRDefault="00E66A95"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Guerrero-Alcedo, W. G., &amp; Espina-Romero, H. (2024). Psychometric properties of the Psychological Capital Questionnaire Short Version (PCQ-12) in Peruvian university students: A Bayesian structural equation modeling approach. </w:t>
      </w:r>
      <w:r w:rsidRPr="00220586">
        <w:rPr>
          <w:rFonts w:ascii="Times New Roman" w:hAnsi="Times New Roman" w:cs="Times New Roman"/>
          <w:i/>
          <w:iCs/>
          <w:sz w:val="22"/>
          <w:szCs w:val="22"/>
          <w:lang w:val="en-GB"/>
        </w:rPr>
        <w:t>Current Psychology.</w:t>
      </w:r>
      <w:r w:rsidRPr="00220586">
        <w:rPr>
          <w:rFonts w:ascii="Times New Roman" w:hAnsi="Times New Roman" w:cs="Times New Roman"/>
          <w:sz w:val="22"/>
          <w:szCs w:val="22"/>
          <w:lang w:val="en-GB"/>
        </w:rPr>
        <w:t xml:space="preserve"> Advance online publication. </w:t>
      </w:r>
      <w:hyperlink r:id="rId35" w:history="1">
        <w:r w:rsidRPr="00220586">
          <w:rPr>
            <w:rStyle w:val="Hipervnculo"/>
            <w:rFonts w:ascii="Times New Roman" w:hAnsi="Times New Roman" w:cs="Times New Roman"/>
            <w:sz w:val="22"/>
            <w:szCs w:val="22"/>
            <w:lang w:val="en-GB"/>
          </w:rPr>
          <w:t>https://doi.org/10.1007/s12144-024-05858-6</w:t>
        </w:r>
      </w:hyperlink>
    </w:p>
    <w:p w14:paraId="60878B84" w14:textId="2093A5B2" w:rsidR="005801CC" w:rsidRPr="007C73C9" w:rsidRDefault="005801CC" w:rsidP="005801CC">
      <w:pPr>
        <w:spacing w:line="360" w:lineRule="auto"/>
        <w:jc w:val="both"/>
        <w:rPr>
          <w:rFonts w:ascii="Times New Roman" w:hAnsi="Times New Roman" w:cs="Times New Roman"/>
          <w:sz w:val="22"/>
          <w:szCs w:val="22"/>
          <w:lang w:val="en-GB"/>
        </w:rPr>
      </w:pPr>
      <w:r w:rsidRPr="005801CC">
        <w:rPr>
          <w:rFonts w:ascii="Times New Roman" w:hAnsi="Times New Roman" w:cs="Times New Roman"/>
          <w:sz w:val="22"/>
          <w:szCs w:val="22"/>
          <w:lang w:val="en-GB"/>
        </w:rPr>
        <w:t xml:space="preserve">Haas, B. W., Campbell, W. K., Lou, X., &amp; Xia, R. J. (2025). All You Nonconformists Are (Not) All Alike: Dissociable Social Stereotypes of Mavericks and Contrarians. </w:t>
      </w:r>
      <w:r w:rsidRPr="007C73C9">
        <w:rPr>
          <w:rFonts w:ascii="Times New Roman" w:hAnsi="Times New Roman" w:cs="Times New Roman"/>
          <w:i/>
          <w:iCs/>
          <w:sz w:val="22"/>
          <w:szCs w:val="22"/>
          <w:lang w:val="en-GB"/>
        </w:rPr>
        <w:t>Personality and Social Psychology Bulletin</w:t>
      </w:r>
      <w:r w:rsidRPr="007C73C9">
        <w:rPr>
          <w:rFonts w:ascii="Times New Roman" w:hAnsi="Times New Roman" w:cs="Times New Roman"/>
          <w:sz w:val="22"/>
          <w:szCs w:val="22"/>
          <w:lang w:val="en-GB"/>
        </w:rPr>
        <w:t xml:space="preserve">, </w:t>
      </w:r>
      <w:r w:rsidRPr="007C73C9">
        <w:rPr>
          <w:rFonts w:ascii="Times New Roman" w:hAnsi="Times New Roman" w:cs="Times New Roman"/>
          <w:i/>
          <w:iCs/>
          <w:sz w:val="22"/>
          <w:szCs w:val="22"/>
          <w:lang w:val="en-GB"/>
        </w:rPr>
        <w:t>51</w:t>
      </w:r>
      <w:r w:rsidRPr="007C73C9">
        <w:rPr>
          <w:rFonts w:ascii="Times New Roman" w:hAnsi="Times New Roman" w:cs="Times New Roman"/>
          <w:sz w:val="22"/>
          <w:szCs w:val="22"/>
          <w:lang w:val="en-GB"/>
        </w:rPr>
        <w:t xml:space="preserve">(10), 1847–1864. </w:t>
      </w:r>
      <w:hyperlink r:id="rId36" w:history="1">
        <w:r w:rsidRPr="007C73C9">
          <w:rPr>
            <w:rStyle w:val="Hipervnculo"/>
            <w:rFonts w:ascii="Times New Roman" w:hAnsi="Times New Roman" w:cs="Times New Roman"/>
            <w:sz w:val="22"/>
            <w:szCs w:val="22"/>
            <w:lang w:val="en-GB"/>
          </w:rPr>
          <w:t>https://doi.org/10.1177/01461672231217630</w:t>
        </w:r>
      </w:hyperlink>
    </w:p>
    <w:p w14:paraId="7D53AF86" w14:textId="4D92B137" w:rsidR="005F2084" w:rsidRPr="00220586" w:rsidRDefault="005F2084"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en-GB"/>
        </w:rPr>
        <w:t xml:space="preserve">Han, J., Kamber, M., &amp; Pei, J. (2012). </w:t>
      </w:r>
      <w:r w:rsidRPr="00220586">
        <w:rPr>
          <w:rFonts w:ascii="Times New Roman" w:hAnsi="Times New Roman" w:cs="Times New Roman"/>
          <w:i/>
          <w:iCs/>
          <w:sz w:val="22"/>
          <w:szCs w:val="22"/>
          <w:lang w:val="en-GB"/>
        </w:rPr>
        <w:t>Data mining: Concepts and techniques</w:t>
      </w:r>
      <w:r w:rsidRPr="00220586">
        <w:rPr>
          <w:rFonts w:ascii="Times New Roman" w:hAnsi="Times New Roman" w:cs="Times New Roman"/>
          <w:sz w:val="22"/>
          <w:szCs w:val="22"/>
          <w:lang w:val="en-GB"/>
        </w:rPr>
        <w:t xml:space="preserve"> (3rd ed.). Morgan Kaufmann.</w:t>
      </w:r>
    </w:p>
    <w:p w14:paraId="37DDE617" w14:textId="2635E9B6" w:rsidR="007A1269" w:rsidRPr="00220586" w:rsidRDefault="007A126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Harms, P. D., Marbut, A., Johnston, A. C., Lester, P., &amp; Fezzey, T. (2022). Exposing the darkness within: A review of dark personality traits, models, and measures and their relationship to insider threats. </w:t>
      </w:r>
      <w:r w:rsidRPr="00220586">
        <w:rPr>
          <w:rFonts w:ascii="Times New Roman" w:hAnsi="Times New Roman" w:cs="Times New Roman"/>
          <w:i/>
          <w:iCs/>
          <w:sz w:val="22"/>
          <w:szCs w:val="22"/>
          <w:lang w:val="en-GB"/>
        </w:rPr>
        <w:t>Journal of Information Security and Applications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71</w:t>
      </w:r>
      <w:r w:rsidRPr="00220586">
        <w:rPr>
          <w:rFonts w:ascii="Times New Roman" w:hAnsi="Times New Roman" w:cs="Times New Roman"/>
          <w:sz w:val="22"/>
          <w:szCs w:val="22"/>
          <w:lang w:val="en-GB"/>
        </w:rPr>
        <w:t xml:space="preserve">, 103378. </w:t>
      </w:r>
      <w:hyperlink r:id="rId37" w:history="1">
        <w:r w:rsidRPr="00220586">
          <w:rPr>
            <w:rStyle w:val="Hipervnculo"/>
            <w:rFonts w:ascii="Times New Roman" w:hAnsi="Times New Roman" w:cs="Times New Roman"/>
            <w:sz w:val="22"/>
            <w:szCs w:val="22"/>
            <w:lang w:val="en-GB"/>
          </w:rPr>
          <w:t>https://doi.org/10.1016/j.jisa.2022.103378</w:t>
        </w:r>
      </w:hyperlink>
    </w:p>
    <w:p w14:paraId="1F281CFE" w14:textId="22EDF4AF" w:rsidR="002F732D" w:rsidRPr="00220586" w:rsidRDefault="002F732D" w:rsidP="002F732D">
      <w:pPr>
        <w:spacing w:line="360" w:lineRule="auto"/>
        <w:jc w:val="both"/>
        <w:rPr>
          <w:rFonts w:ascii="Times New Roman" w:hAnsi="Times New Roman" w:cs="Times New Roman"/>
          <w:sz w:val="22"/>
          <w:szCs w:val="22"/>
          <w:lang w:val="de-DE"/>
        </w:rPr>
      </w:pPr>
      <w:r w:rsidRPr="00220586">
        <w:rPr>
          <w:rFonts w:ascii="Times New Roman" w:hAnsi="Times New Roman" w:cs="Times New Roman"/>
          <w:sz w:val="22"/>
          <w:szCs w:val="22"/>
          <w:lang w:val="en-GB"/>
        </w:rPr>
        <w:t xml:space="preserve">Hayes, A. F. (2018). </w:t>
      </w:r>
      <w:r w:rsidRPr="00220586">
        <w:rPr>
          <w:rFonts w:ascii="Times New Roman" w:hAnsi="Times New Roman" w:cs="Times New Roman"/>
          <w:i/>
          <w:iCs/>
          <w:sz w:val="22"/>
          <w:szCs w:val="22"/>
          <w:lang w:val="en-GB"/>
        </w:rPr>
        <w:t>Introduction to mediation, moderation, and conditional process analysis: A regression-based approach</w:t>
      </w:r>
      <w:r w:rsidRPr="00220586">
        <w:rPr>
          <w:rFonts w:ascii="Times New Roman" w:hAnsi="Times New Roman" w:cs="Times New Roman"/>
          <w:sz w:val="22"/>
          <w:szCs w:val="22"/>
          <w:lang w:val="en-GB"/>
        </w:rPr>
        <w:t xml:space="preserve"> (2nd ed.). </w:t>
      </w:r>
      <w:r w:rsidRPr="00220586">
        <w:rPr>
          <w:rFonts w:ascii="Times New Roman" w:hAnsi="Times New Roman" w:cs="Times New Roman"/>
          <w:sz w:val="22"/>
          <w:szCs w:val="22"/>
          <w:lang w:val="de-DE"/>
        </w:rPr>
        <w:t>Guilford Press.</w:t>
      </w:r>
    </w:p>
    <w:p w14:paraId="6A8B68FC" w14:textId="2B7769F1" w:rsidR="000E5FBB" w:rsidRPr="00220586" w:rsidRDefault="000E5FBB" w:rsidP="00D82D8D">
      <w:pPr>
        <w:spacing w:line="360" w:lineRule="auto"/>
        <w:jc w:val="both"/>
        <w:rPr>
          <w:rFonts w:ascii="Times New Roman" w:hAnsi="Times New Roman" w:cs="Times New Roman"/>
          <w:lang w:val="en-GB"/>
        </w:rPr>
      </w:pPr>
      <w:r w:rsidRPr="00220586">
        <w:rPr>
          <w:rFonts w:ascii="Times New Roman" w:hAnsi="Times New Roman" w:cs="Times New Roman"/>
          <w:sz w:val="22"/>
          <w:szCs w:val="22"/>
          <w:lang w:val="de-DE"/>
        </w:rPr>
        <w:t xml:space="preserve">Hilbig, B. E., Thielmann, I., Klein, S. A., Moshagen, M., &amp; Zettler, I. (2021). </w:t>
      </w:r>
      <w:r w:rsidRPr="00220586">
        <w:rPr>
          <w:rFonts w:ascii="Times New Roman" w:hAnsi="Times New Roman" w:cs="Times New Roman"/>
          <w:sz w:val="22"/>
          <w:szCs w:val="22"/>
          <w:lang w:val="en-GB"/>
        </w:rPr>
        <w:t xml:space="preserve">The dark core of personality and socially aversive psychopathology. </w:t>
      </w:r>
      <w:r w:rsidRPr="00220586">
        <w:rPr>
          <w:rFonts w:ascii="Times New Roman" w:hAnsi="Times New Roman" w:cs="Times New Roman"/>
          <w:i/>
          <w:iCs/>
          <w:sz w:val="22"/>
          <w:szCs w:val="22"/>
          <w:lang w:val="en-GB"/>
        </w:rPr>
        <w:t>Journal of Personality, 89</w:t>
      </w:r>
      <w:r w:rsidRPr="00220586">
        <w:rPr>
          <w:rFonts w:ascii="Times New Roman" w:hAnsi="Times New Roman" w:cs="Times New Roman"/>
          <w:sz w:val="22"/>
          <w:szCs w:val="22"/>
          <w:lang w:val="en-GB"/>
        </w:rPr>
        <w:t xml:space="preserve">(2), 216–227. </w:t>
      </w:r>
      <w:hyperlink r:id="rId38" w:tgtFrame="_new" w:history="1">
        <w:r w:rsidRPr="00220586">
          <w:rPr>
            <w:rStyle w:val="Hipervnculo"/>
            <w:rFonts w:ascii="Times New Roman" w:hAnsi="Times New Roman" w:cs="Times New Roman"/>
            <w:sz w:val="22"/>
            <w:szCs w:val="22"/>
            <w:lang w:val="en-GB"/>
          </w:rPr>
          <w:t>https://doi.org/10.1111/jopy.12577</w:t>
        </w:r>
      </w:hyperlink>
    </w:p>
    <w:p w14:paraId="697FB511" w14:textId="7486A744" w:rsidR="00C87D97" w:rsidRPr="00220586" w:rsidRDefault="00C87D97"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Hilbig, B. E., &amp; Moshagen, M. (2025). Four big problems of big five agreeableness. </w:t>
      </w:r>
      <w:r w:rsidRPr="00220586">
        <w:rPr>
          <w:rFonts w:ascii="Times New Roman" w:hAnsi="Times New Roman" w:cs="Times New Roman"/>
          <w:i/>
          <w:iCs/>
          <w:sz w:val="22"/>
          <w:szCs w:val="22"/>
          <w:lang w:val="en-GB"/>
        </w:rPr>
        <w:t>Current Opinion in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65</w:t>
      </w:r>
      <w:r w:rsidRPr="00220586">
        <w:rPr>
          <w:rFonts w:ascii="Times New Roman" w:hAnsi="Times New Roman" w:cs="Times New Roman"/>
          <w:sz w:val="22"/>
          <w:szCs w:val="22"/>
          <w:lang w:val="en-GB"/>
        </w:rPr>
        <w:t xml:space="preserve">, 102086. </w:t>
      </w:r>
      <w:hyperlink r:id="rId39" w:history="1">
        <w:r w:rsidRPr="00220586">
          <w:rPr>
            <w:rStyle w:val="Hipervnculo"/>
            <w:rFonts w:ascii="Times New Roman" w:hAnsi="Times New Roman" w:cs="Times New Roman"/>
            <w:sz w:val="22"/>
            <w:szCs w:val="22"/>
            <w:lang w:val="en-GB"/>
          </w:rPr>
          <w:t>https://doi.org/10.1016/j.copsyc.2025.102086</w:t>
        </w:r>
      </w:hyperlink>
    </w:p>
    <w:p w14:paraId="014771AE"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Hochwarter, W. A., Kacmar, C., Perrewé, P. L., &amp; Johnson, D. (2003). Perceived organizational support as a mediator of the relationship between politics perceptions and work outcomes. </w:t>
      </w:r>
      <w:r w:rsidRPr="00220586">
        <w:rPr>
          <w:rFonts w:ascii="Times New Roman" w:hAnsi="Times New Roman" w:cs="Times New Roman"/>
          <w:i/>
          <w:iCs/>
          <w:sz w:val="22"/>
          <w:szCs w:val="22"/>
          <w:lang w:val="en-GB"/>
        </w:rPr>
        <w:t>Journal of Vocational Behavior</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63</w:t>
      </w:r>
      <w:r w:rsidRPr="00220586">
        <w:rPr>
          <w:rFonts w:ascii="Times New Roman" w:hAnsi="Times New Roman" w:cs="Times New Roman"/>
          <w:sz w:val="22"/>
          <w:szCs w:val="22"/>
          <w:lang w:val="en-GB"/>
        </w:rPr>
        <w:t xml:space="preserve">(3), 438–456. </w:t>
      </w:r>
      <w:hyperlink r:id="rId40" w:history="1">
        <w:r w:rsidRPr="00220586">
          <w:rPr>
            <w:rStyle w:val="Hipervnculo"/>
            <w:rFonts w:ascii="Times New Roman" w:hAnsi="Times New Roman" w:cs="Times New Roman"/>
            <w:sz w:val="22"/>
            <w:szCs w:val="22"/>
            <w:lang w:val="en-GB"/>
          </w:rPr>
          <w:t>https://doi.org/10.1016/S0001-8791(02)00048-9</w:t>
        </w:r>
      </w:hyperlink>
    </w:p>
    <w:p w14:paraId="2CE0C36E" w14:textId="77777777" w:rsidR="000E5FBB" w:rsidRPr="00220586" w:rsidRDefault="000E5FBB" w:rsidP="00D82D8D">
      <w:pPr>
        <w:spacing w:line="360" w:lineRule="auto"/>
        <w:jc w:val="both"/>
        <w:rPr>
          <w:rFonts w:ascii="Times New Roman" w:hAnsi="Times New Roman" w:cs="Times New Roman"/>
          <w:sz w:val="22"/>
          <w:szCs w:val="22"/>
          <w:lang w:val="de-DE"/>
        </w:rPr>
      </w:pPr>
      <w:r w:rsidRPr="00220586">
        <w:rPr>
          <w:rFonts w:ascii="Times New Roman" w:hAnsi="Times New Roman" w:cs="Times New Roman"/>
          <w:sz w:val="22"/>
          <w:szCs w:val="22"/>
          <w:lang w:val="en-GB"/>
        </w:rPr>
        <w:t xml:space="preserve">Hobfoll, S. E. (2001). The Influence of Culture, Community, and the Nested‐Self in the Stress Process: Advancing Conservation of Resources Theory. </w:t>
      </w:r>
      <w:r w:rsidRPr="00220586">
        <w:rPr>
          <w:rFonts w:ascii="Times New Roman" w:hAnsi="Times New Roman" w:cs="Times New Roman"/>
          <w:i/>
          <w:iCs/>
          <w:sz w:val="22"/>
          <w:szCs w:val="22"/>
          <w:lang w:val="de-DE"/>
        </w:rPr>
        <w:t>Applied Psychology</w:t>
      </w:r>
      <w:r w:rsidRPr="00220586">
        <w:rPr>
          <w:rFonts w:ascii="Times New Roman" w:hAnsi="Times New Roman" w:cs="Times New Roman"/>
          <w:sz w:val="22"/>
          <w:szCs w:val="22"/>
          <w:lang w:val="de-DE"/>
        </w:rPr>
        <w:t xml:space="preserve">, </w:t>
      </w:r>
      <w:r w:rsidRPr="00220586">
        <w:rPr>
          <w:rFonts w:ascii="Times New Roman" w:hAnsi="Times New Roman" w:cs="Times New Roman"/>
          <w:i/>
          <w:iCs/>
          <w:sz w:val="22"/>
          <w:szCs w:val="22"/>
          <w:lang w:val="de-DE"/>
        </w:rPr>
        <w:t>50</w:t>
      </w:r>
      <w:r w:rsidRPr="00220586">
        <w:rPr>
          <w:rFonts w:ascii="Times New Roman" w:hAnsi="Times New Roman" w:cs="Times New Roman"/>
          <w:sz w:val="22"/>
          <w:szCs w:val="22"/>
          <w:lang w:val="de-DE"/>
        </w:rPr>
        <w:t xml:space="preserve">(3), 337–421. </w:t>
      </w:r>
      <w:hyperlink r:id="rId41" w:history="1">
        <w:r w:rsidRPr="00220586">
          <w:rPr>
            <w:rStyle w:val="Hipervnculo"/>
            <w:rFonts w:ascii="Times New Roman" w:hAnsi="Times New Roman" w:cs="Times New Roman"/>
            <w:sz w:val="22"/>
            <w:szCs w:val="22"/>
            <w:lang w:val="de-DE"/>
          </w:rPr>
          <w:t>https://doi.org/10.1111/1464-0597.00062</w:t>
        </w:r>
      </w:hyperlink>
    </w:p>
    <w:p w14:paraId="52BE6E82" w14:textId="540CE0B5" w:rsidR="007A1269" w:rsidRPr="00220586" w:rsidRDefault="007A126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de-DE"/>
        </w:rPr>
        <w:lastRenderedPageBreak/>
        <w:t xml:space="preserve">Horsten, L. K., Moshagen, M., Zettler, I., &amp; Hilbig, B. E. (2021). </w:t>
      </w:r>
      <w:r w:rsidRPr="00220586">
        <w:rPr>
          <w:rFonts w:ascii="Times New Roman" w:hAnsi="Times New Roman" w:cs="Times New Roman"/>
          <w:sz w:val="22"/>
          <w:szCs w:val="22"/>
          <w:lang w:val="en-GB"/>
        </w:rPr>
        <w:t xml:space="preserve">Theoretical and empirical dissociations between the Dark Factor of Personality and low Honesty-Humility. </w:t>
      </w:r>
      <w:r w:rsidRPr="00220586">
        <w:rPr>
          <w:rFonts w:ascii="Times New Roman" w:hAnsi="Times New Roman" w:cs="Times New Roman"/>
          <w:i/>
          <w:iCs/>
          <w:sz w:val="22"/>
          <w:szCs w:val="22"/>
          <w:lang w:val="en-GB"/>
        </w:rPr>
        <w:t>Journal of Research in Personality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95</w:t>
      </w:r>
      <w:r w:rsidRPr="00220586">
        <w:rPr>
          <w:rFonts w:ascii="Times New Roman" w:hAnsi="Times New Roman" w:cs="Times New Roman"/>
          <w:sz w:val="22"/>
          <w:szCs w:val="22"/>
          <w:lang w:val="en-GB"/>
        </w:rPr>
        <w:t xml:space="preserve">, 104154. </w:t>
      </w:r>
      <w:hyperlink r:id="rId42" w:history="1">
        <w:r w:rsidRPr="00220586">
          <w:rPr>
            <w:rStyle w:val="Hipervnculo"/>
            <w:rFonts w:ascii="Times New Roman" w:hAnsi="Times New Roman" w:cs="Times New Roman"/>
            <w:sz w:val="22"/>
            <w:szCs w:val="22"/>
            <w:lang w:val="en-GB"/>
          </w:rPr>
          <w:t>https://doi.org/10.1016/j.jrp.2021.104154</w:t>
        </w:r>
      </w:hyperlink>
    </w:p>
    <w:p w14:paraId="32FC5E12" w14:textId="16213FE1" w:rsidR="007A1269" w:rsidRPr="00220586" w:rsidRDefault="007A1269"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de-DE"/>
        </w:rPr>
        <w:t xml:space="preserve">Horsten, L. K., Thielmann, I., Moshagen, M., Zettler, I., Scholz, D., &amp; Hilbig, B. E. (2024). </w:t>
      </w:r>
      <w:r w:rsidRPr="00220586">
        <w:rPr>
          <w:rFonts w:ascii="Times New Roman" w:hAnsi="Times New Roman" w:cs="Times New Roman"/>
          <w:sz w:val="22"/>
          <w:szCs w:val="22"/>
          <w:lang w:val="en-GB"/>
        </w:rPr>
        <w:t xml:space="preserve">Testing the equivalence of the aversive core of personality and a blend of agreeableness(‐related) items. </w:t>
      </w:r>
      <w:r w:rsidRPr="00220586">
        <w:rPr>
          <w:rFonts w:ascii="Times New Roman" w:hAnsi="Times New Roman" w:cs="Times New Roman"/>
          <w:i/>
          <w:iCs/>
          <w:sz w:val="22"/>
          <w:szCs w:val="22"/>
          <w:lang w:val="es-MX"/>
        </w:rPr>
        <w:t>Journal of Personality</w:t>
      </w:r>
      <w:r w:rsidRPr="00220586">
        <w:rPr>
          <w:rFonts w:ascii="Times New Roman" w:hAnsi="Times New Roman" w:cs="Times New Roman"/>
          <w:sz w:val="22"/>
          <w:szCs w:val="22"/>
          <w:lang w:val="es-MX"/>
        </w:rPr>
        <w:t xml:space="preserve">, </w:t>
      </w:r>
      <w:r w:rsidRPr="00220586">
        <w:rPr>
          <w:rFonts w:ascii="Times New Roman" w:hAnsi="Times New Roman" w:cs="Times New Roman"/>
          <w:i/>
          <w:iCs/>
          <w:sz w:val="22"/>
          <w:szCs w:val="22"/>
          <w:lang w:val="es-MX"/>
        </w:rPr>
        <w:t>92</w:t>
      </w:r>
      <w:r w:rsidRPr="00220586">
        <w:rPr>
          <w:rFonts w:ascii="Times New Roman" w:hAnsi="Times New Roman" w:cs="Times New Roman"/>
          <w:sz w:val="22"/>
          <w:szCs w:val="22"/>
          <w:lang w:val="es-MX"/>
        </w:rPr>
        <w:t xml:space="preserve">(2), 393–404. </w:t>
      </w:r>
      <w:hyperlink r:id="rId43" w:history="1">
        <w:r w:rsidRPr="00220586">
          <w:rPr>
            <w:rStyle w:val="Hipervnculo"/>
            <w:rFonts w:ascii="Times New Roman" w:hAnsi="Times New Roman" w:cs="Times New Roman"/>
            <w:sz w:val="22"/>
            <w:szCs w:val="22"/>
            <w:lang w:val="es-MX"/>
          </w:rPr>
          <w:t>https://doi.org/10.1111/jopy.12830</w:t>
        </w:r>
      </w:hyperlink>
    </w:p>
    <w:p w14:paraId="45B614AD" w14:textId="050F31F6" w:rsidR="000E5FBB"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Instituto Nacional de Estadística e Informática. </w:t>
      </w:r>
      <w:r w:rsidRPr="00220586">
        <w:rPr>
          <w:rFonts w:ascii="Times New Roman" w:hAnsi="Times New Roman" w:cs="Times New Roman"/>
          <w:sz w:val="22"/>
          <w:szCs w:val="22"/>
        </w:rPr>
        <w:t xml:space="preserve">(2024). </w:t>
      </w:r>
      <w:r w:rsidRPr="00220586">
        <w:rPr>
          <w:rFonts w:ascii="Times New Roman" w:hAnsi="Times New Roman" w:cs="Times New Roman"/>
          <w:i/>
          <w:iCs/>
          <w:sz w:val="22"/>
          <w:szCs w:val="22"/>
        </w:rPr>
        <w:t>[Informe sobre informalidad laboral en el sector servicios en Lima Metropolitana].</w:t>
      </w:r>
      <w:r w:rsidRPr="00220586">
        <w:rPr>
          <w:rFonts w:ascii="Times New Roman" w:hAnsi="Times New Roman" w:cs="Times New Roman"/>
          <w:sz w:val="22"/>
          <w:szCs w:val="22"/>
        </w:rPr>
        <w:t xml:space="preserve"> </w:t>
      </w:r>
      <w:r w:rsidRPr="00220586">
        <w:rPr>
          <w:rFonts w:ascii="Times New Roman" w:hAnsi="Times New Roman" w:cs="Times New Roman"/>
          <w:sz w:val="22"/>
          <w:szCs w:val="22"/>
          <w:lang w:val="es-MX"/>
        </w:rPr>
        <w:t>INEI.</w:t>
      </w:r>
    </w:p>
    <w:p w14:paraId="64425B0F" w14:textId="795D785E" w:rsidR="00690FF0" w:rsidRPr="00220586" w:rsidRDefault="00690FF0"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Jiménez, F. (2010). </w:t>
      </w:r>
      <w:r w:rsidRPr="00220586">
        <w:rPr>
          <w:rFonts w:ascii="Times New Roman" w:hAnsi="Times New Roman" w:cs="Times New Roman"/>
          <w:i/>
          <w:iCs/>
          <w:sz w:val="22"/>
          <w:szCs w:val="22"/>
          <w:lang w:val="es-MX"/>
        </w:rPr>
        <w:t>La economía peruana del último medio siglo: Ensayos de interpretación</w:t>
      </w:r>
      <w:r w:rsidRPr="00220586">
        <w:rPr>
          <w:rFonts w:ascii="Times New Roman" w:hAnsi="Times New Roman" w:cs="Times New Roman"/>
          <w:sz w:val="22"/>
          <w:szCs w:val="22"/>
          <w:lang w:val="es-MX"/>
        </w:rPr>
        <w:t xml:space="preserve">. Lima: Departamento de Economía – CISEPA, Pontificia Universidad Católica del Perú. </w:t>
      </w:r>
    </w:p>
    <w:p w14:paraId="778ABE7A" w14:textId="6F672D50" w:rsidR="005F2084" w:rsidRPr="00220586" w:rsidRDefault="005F2084"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de-DE"/>
        </w:rPr>
        <w:t xml:space="preserve">Johnson, R. A., &amp; Wichern, D. W. (2007). </w:t>
      </w:r>
      <w:r w:rsidRPr="00220586">
        <w:rPr>
          <w:rFonts w:ascii="Times New Roman" w:hAnsi="Times New Roman" w:cs="Times New Roman"/>
          <w:i/>
          <w:iCs/>
          <w:sz w:val="22"/>
          <w:szCs w:val="22"/>
          <w:lang w:val="en-GB"/>
        </w:rPr>
        <w:t>Applied multivariate statistical analysis</w:t>
      </w:r>
      <w:r w:rsidRPr="00220586">
        <w:rPr>
          <w:rFonts w:ascii="Times New Roman" w:hAnsi="Times New Roman" w:cs="Times New Roman"/>
          <w:sz w:val="22"/>
          <w:szCs w:val="22"/>
          <w:lang w:val="en-GB"/>
        </w:rPr>
        <w:t xml:space="preserve"> (6th ed.). Pearson Prentice Hall.</w:t>
      </w:r>
    </w:p>
    <w:p w14:paraId="7543FB49" w14:textId="10D5DCF8" w:rsidR="000E5FBB" w:rsidRPr="00220586" w:rsidRDefault="000E5FBB" w:rsidP="00D82D8D">
      <w:pPr>
        <w:spacing w:line="360" w:lineRule="auto"/>
        <w:jc w:val="both"/>
        <w:rPr>
          <w:rFonts w:ascii="Times New Roman" w:hAnsi="Times New Roman" w:cs="Times New Roman"/>
          <w:sz w:val="22"/>
          <w:szCs w:val="22"/>
          <w:lang w:val="fr-FR"/>
        </w:rPr>
      </w:pPr>
      <w:r w:rsidRPr="00220586">
        <w:rPr>
          <w:rFonts w:ascii="Times New Roman" w:hAnsi="Times New Roman" w:cs="Times New Roman"/>
          <w:sz w:val="22"/>
          <w:szCs w:val="22"/>
          <w:lang w:val="en-GB"/>
        </w:rPr>
        <w:t xml:space="preserve">Jonason, P. K., &amp; Webster, G. D. (2010). The dirty dozen: A concise measure of the dark triad. </w:t>
      </w:r>
      <w:r w:rsidRPr="00220586">
        <w:rPr>
          <w:rFonts w:ascii="Times New Roman" w:hAnsi="Times New Roman" w:cs="Times New Roman"/>
          <w:i/>
          <w:iCs/>
          <w:sz w:val="22"/>
          <w:szCs w:val="22"/>
          <w:lang w:val="fr-FR"/>
        </w:rPr>
        <w:t>Psychological Assessment</w:t>
      </w:r>
      <w:r w:rsidRPr="00220586">
        <w:rPr>
          <w:rFonts w:ascii="Times New Roman" w:hAnsi="Times New Roman" w:cs="Times New Roman"/>
          <w:sz w:val="22"/>
          <w:szCs w:val="22"/>
          <w:lang w:val="fr-FR"/>
        </w:rPr>
        <w:t xml:space="preserve">, </w:t>
      </w:r>
      <w:r w:rsidRPr="00220586">
        <w:rPr>
          <w:rFonts w:ascii="Times New Roman" w:hAnsi="Times New Roman" w:cs="Times New Roman"/>
          <w:i/>
          <w:iCs/>
          <w:sz w:val="22"/>
          <w:szCs w:val="22"/>
          <w:lang w:val="fr-FR"/>
        </w:rPr>
        <w:t>22</w:t>
      </w:r>
      <w:r w:rsidRPr="00220586">
        <w:rPr>
          <w:rFonts w:ascii="Times New Roman" w:hAnsi="Times New Roman" w:cs="Times New Roman"/>
          <w:sz w:val="22"/>
          <w:szCs w:val="22"/>
          <w:lang w:val="fr-FR"/>
        </w:rPr>
        <w:t xml:space="preserve">(2), 420–432. </w:t>
      </w:r>
      <w:hyperlink r:id="rId44" w:history="1">
        <w:r w:rsidRPr="00220586">
          <w:rPr>
            <w:rStyle w:val="Hipervnculo"/>
            <w:rFonts w:ascii="Times New Roman" w:hAnsi="Times New Roman" w:cs="Times New Roman"/>
            <w:sz w:val="22"/>
            <w:szCs w:val="22"/>
            <w:lang w:val="fr-FR"/>
          </w:rPr>
          <w:t>https://doi.org/10.1037/a0019265</w:t>
        </w:r>
      </w:hyperlink>
    </w:p>
    <w:p w14:paraId="4C0C1E26"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fr-FR"/>
        </w:rPr>
        <w:t xml:space="preserve">Jones, D. N., &amp; Paulhus, D. L. (2009). </w:t>
      </w:r>
      <w:r w:rsidRPr="00220586">
        <w:rPr>
          <w:rFonts w:ascii="Times New Roman" w:hAnsi="Times New Roman" w:cs="Times New Roman"/>
          <w:sz w:val="22"/>
          <w:szCs w:val="22"/>
          <w:lang w:val="en-GB"/>
        </w:rPr>
        <w:t xml:space="preserve">Machiavellianism. En M. R. Leary &amp; R. H. Hoyle (Eds.), </w:t>
      </w:r>
      <w:r w:rsidRPr="00220586">
        <w:rPr>
          <w:rFonts w:ascii="Times New Roman" w:hAnsi="Times New Roman" w:cs="Times New Roman"/>
          <w:i/>
          <w:iCs/>
          <w:sz w:val="22"/>
          <w:szCs w:val="22"/>
          <w:lang w:val="en-GB"/>
        </w:rPr>
        <w:t>Handbook of individual differences in social behavior</w:t>
      </w:r>
      <w:r w:rsidRPr="00220586">
        <w:rPr>
          <w:rFonts w:ascii="Times New Roman" w:hAnsi="Times New Roman" w:cs="Times New Roman"/>
          <w:sz w:val="22"/>
          <w:szCs w:val="22"/>
          <w:lang w:val="en-GB"/>
        </w:rPr>
        <w:t xml:space="preserve"> (pp. 93–108). Guilford Press.</w:t>
      </w:r>
    </w:p>
    <w:p w14:paraId="59D6912B" w14:textId="6077E615" w:rsidR="004018FB" w:rsidRPr="00220586" w:rsidRDefault="004018F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Jordan, R. (2019). </w:t>
      </w:r>
      <w:r w:rsidRPr="00220586">
        <w:rPr>
          <w:rFonts w:ascii="Times New Roman" w:hAnsi="Times New Roman" w:cs="Times New Roman"/>
          <w:i/>
          <w:iCs/>
          <w:sz w:val="22"/>
          <w:szCs w:val="22"/>
          <w:lang w:val="en-GB"/>
        </w:rPr>
        <w:t>Maverickism: round pegs in square holes - the who, what and why of mavericks in organisations</w:t>
      </w:r>
      <w:r w:rsidRPr="00220586">
        <w:rPr>
          <w:rFonts w:ascii="Times New Roman" w:hAnsi="Times New Roman" w:cs="Times New Roman"/>
          <w:sz w:val="22"/>
          <w:szCs w:val="22"/>
          <w:lang w:val="en-GB"/>
        </w:rPr>
        <w:t xml:space="preserve">. </w:t>
      </w:r>
      <w:hyperlink r:id="rId45" w:history="1">
        <w:r w:rsidRPr="00220586">
          <w:rPr>
            <w:rStyle w:val="Hipervnculo"/>
            <w:rFonts w:ascii="Times New Roman" w:hAnsi="Times New Roman" w:cs="Times New Roman"/>
            <w:sz w:val="22"/>
            <w:szCs w:val="22"/>
            <w:lang w:val="en-GB"/>
          </w:rPr>
          <w:t>https://doi.org/10.14264/uql.2019.795</w:t>
        </w:r>
      </w:hyperlink>
    </w:p>
    <w:p w14:paraId="10A56121" w14:textId="6653369A" w:rsidR="005801CC" w:rsidRPr="007C73C9" w:rsidRDefault="004018FB" w:rsidP="00D82D8D">
      <w:pPr>
        <w:spacing w:line="360" w:lineRule="auto"/>
        <w:jc w:val="both"/>
        <w:rPr>
          <w:lang w:val="en-GB"/>
        </w:rPr>
      </w:pPr>
      <w:r w:rsidRPr="00220586">
        <w:rPr>
          <w:rFonts w:ascii="Times New Roman" w:hAnsi="Times New Roman" w:cs="Times New Roman"/>
          <w:sz w:val="22"/>
          <w:szCs w:val="22"/>
          <w:lang w:val="en-GB"/>
        </w:rPr>
        <w:t xml:space="preserve">Jordan, R., Fitzsimmons, T. W., &amp; Callan, V. J. (2021). Fear Not Your Mavericks! Their Bounded Non-conformity and Positive Deviance Helps Organizations Drive Change and Innovation. In </w:t>
      </w:r>
      <w:r w:rsidRPr="00220586">
        <w:rPr>
          <w:rFonts w:ascii="Times New Roman" w:hAnsi="Times New Roman" w:cs="Times New Roman"/>
          <w:i/>
          <w:iCs/>
          <w:sz w:val="22"/>
          <w:szCs w:val="22"/>
          <w:lang w:val="en-GB"/>
        </w:rPr>
        <w:t>Strategic Responses for a Sustainable Future: New Research in International Management</w:t>
      </w:r>
      <w:r w:rsidRPr="00220586">
        <w:rPr>
          <w:rFonts w:ascii="Times New Roman" w:hAnsi="Times New Roman" w:cs="Times New Roman"/>
          <w:sz w:val="22"/>
          <w:szCs w:val="22"/>
          <w:lang w:val="en-GB"/>
        </w:rPr>
        <w:t xml:space="preserve"> (pp. 123–146). Emerald Publishing Limited. </w:t>
      </w:r>
      <w:hyperlink r:id="rId46" w:history="1">
        <w:r w:rsidRPr="00220586">
          <w:rPr>
            <w:rStyle w:val="Hipervnculo"/>
            <w:rFonts w:ascii="Times New Roman" w:hAnsi="Times New Roman" w:cs="Times New Roman"/>
            <w:sz w:val="22"/>
            <w:szCs w:val="22"/>
            <w:lang w:val="en-GB"/>
          </w:rPr>
          <w:t>https://doi.org/10.1108/978-1-80071-929-320214006</w:t>
        </w:r>
      </w:hyperlink>
    </w:p>
    <w:p w14:paraId="0D83B3EF" w14:textId="2597F9BD" w:rsidR="005801CC" w:rsidRPr="007C73C9" w:rsidRDefault="004018FB" w:rsidP="00D82D8D">
      <w:pPr>
        <w:spacing w:line="360" w:lineRule="auto"/>
        <w:jc w:val="both"/>
        <w:rPr>
          <w:lang w:val="en-GB"/>
        </w:rPr>
      </w:pPr>
      <w:r w:rsidRPr="00220586">
        <w:rPr>
          <w:rFonts w:ascii="Times New Roman" w:hAnsi="Times New Roman" w:cs="Times New Roman"/>
          <w:sz w:val="22"/>
          <w:szCs w:val="22"/>
          <w:lang w:val="en-GB"/>
        </w:rPr>
        <w:t xml:space="preserve">Jordan, R., Fitzsimmons, T. W., &amp; Callan, V. J. (2023). Positively Deviant: New Evidence for the Beneficial Capital of Maverickism to Organizations. </w:t>
      </w:r>
      <w:r w:rsidRPr="00220586">
        <w:rPr>
          <w:rFonts w:ascii="Times New Roman" w:hAnsi="Times New Roman" w:cs="Times New Roman"/>
          <w:i/>
          <w:iCs/>
          <w:sz w:val="22"/>
          <w:szCs w:val="22"/>
          <w:lang w:val="en-GB"/>
        </w:rPr>
        <w:t>Group &amp; Organization Management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48</w:t>
      </w:r>
      <w:r w:rsidRPr="00220586">
        <w:rPr>
          <w:rFonts w:ascii="Times New Roman" w:hAnsi="Times New Roman" w:cs="Times New Roman"/>
          <w:sz w:val="22"/>
          <w:szCs w:val="22"/>
          <w:lang w:val="en-GB"/>
        </w:rPr>
        <w:t xml:space="preserve">(5), 1254–1305. </w:t>
      </w:r>
      <w:hyperlink r:id="rId47" w:history="1">
        <w:r w:rsidRPr="00220586">
          <w:rPr>
            <w:rStyle w:val="Hipervnculo"/>
            <w:rFonts w:ascii="Times New Roman" w:hAnsi="Times New Roman" w:cs="Times New Roman"/>
            <w:sz w:val="22"/>
            <w:szCs w:val="22"/>
            <w:lang w:val="en-GB"/>
          </w:rPr>
          <w:t>https://doi.org/10.1177/10596011221102297</w:t>
        </w:r>
      </w:hyperlink>
    </w:p>
    <w:p w14:paraId="00D1924D" w14:textId="28DA1A6E" w:rsidR="004018FB" w:rsidRPr="00220586" w:rsidRDefault="004018F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Jordan, R., Fitzsimmons, T. W., &amp; Callan, V. J. (2025). The maverick factor: the role of positively deviant change agents in radical organizational change. </w:t>
      </w:r>
      <w:r w:rsidRPr="00220586">
        <w:rPr>
          <w:rFonts w:ascii="Times New Roman" w:hAnsi="Times New Roman" w:cs="Times New Roman"/>
          <w:i/>
          <w:iCs/>
          <w:sz w:val="22"/>
          <w:szCs w:val="22"/>
          <w:lang w:val="en-GB"/>
        </w:rPr>
        <w:t>Journal of Organizational Change Management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38</w:t>
      </w:r>
      <w:r w:rsidRPr="00220586">
        <w:rPr>
          <w:rFonts w:ascii="Times New Roman" w:hAnsi="Times New Roman" w:cs="Times New Roman"/>
          <w:sz w:val="22"/>
          <w:szCs w:val="22"/>
          <w:lang w:val="en-GB"/>
        </w:rPr>
        <w:t xml:space="preserve">(8), 30–49. </w:t>
      </w:r>
      <w:hyperlink r:id="rId48" w:history="1">
        <w:r w:rsidRPr="00220586">
          <w:rPr>
            <w:rStyle w:val="Hipervnculo"/>
            <w:rFonts w:ascii="Times New Roman" w:hAnsi="Times New Roman" w:cs="Times New Roman"/>
            <w:sz w:val="22"/>
            <w:szCs w:val="22"/>
            <w:lang w:val="en-GB"/>
          </w:rPr>
          <w:t>https://doi.org/10.1108/JOCM-05-2024-0241</w:t>
        </w:r>
      </w:hyperlink>
    </w:p>
    <w:p w14:paraId="07ED70C0" w14:textId="570F4B88"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lastRenderedPageBreak/>
        <w:t xml:space="preserve">Judge, T. A., &amp; Zapata, C. P. (2015). The Person–Situation Debate Revisited: Effect of Situation Strength and Trait Activation on the Validity of the Big Five Personality Traits in Predicting Job Performance. </w:t>
      </w:r>
      <w:r w:rsidRPr="00220586">
        <w:rPr>
          <w:rFonts w:ascii="Times New Roman" w:hAnsi="Times New Roman" w:cs="Times New Roman"/>
          <w:i/>
          <w:iCs/>
          <w:sz w:val="22"/>
          <w:szCs w:val="22"/>
          <w:lang w:val="en-GB"/>
        </w:rPr>
        <w:t>Academy of Management Journal</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58</w:t>
      </w:r>
      <w:r w:rsidRPr="00220586">
        <w:rPr>
          <w:rFonts w:ascii="Times New Roman" w:hAnsi="Times New Roman" w:cs="Times New Roman"/>
          <w:sz w:val="22"/>
          <w:szCs w:val="22"/>
          <w:lang w:val="en-GB"/>
        </w:rPr>
        <w:t xml:space="preserve">(4), 1149–1179. </w:t>
      </w:r>
      <w:hyperlink r:id="rId49" w:history="1">
        <w:r w:rsidRPr="00220586">
          <w:rPr>
            <w:rStyle w:val="Hipervnculo"/>
            <w:rFonts w:ascii="Times New Roman" w:hAnsi="Times New Roman" w:cs="Times New Roman"/>
            <w:sz w:val="22"/>
            <w:szCs w:val="22"/>
            <w:lang w:val="en-GB"/>
          </w:rPr>
          <w:t>https://doi.org/10.5465/amj.2010.0837</w:t>
        </w:r>
      </w:hyperlink>
    </w:p>
    <w:p w14:paraId="3FFF826B" w14:textId="0240D9FB" w:rsidR="00E66A95" w:rsidRPr="00220586" w:rsidRDefault="00E66A95" w:rsidP="00D82D8D">
      <w:pPr>
        <w:spacing w:line="360" w:lineRule="auto"/>
        <w:jc w:val="both"/>
        <w:rPr>
          <w:rFonts w:ascii="Times New Roman" w:hAnsi="Times New Roman" w:cs="Times New Roman"/>
          <w:lang w:val="en-GB"/>
        </w:rPr>
      </w:pPr>
      <w:r w:rsidRPr="00220586">
        <w:rPr>
          <w:rFonts w:ascii="Times New Roman" w:hAnsi="Times New Roman" w:cs="Times New Roman"/>
          <w:sz w:val="22"/>
          <w:szCs w:val="22"/>
          <w:lang w:val="en-GB"/>
        </w:rPr>
        <w:t xml:space="preserve">Kacmar, K. M., &amp; Carlson, D. S. (1997). Further validation of the Perceptions of Organizational Politics Scale (POPS): A multiple sample investigation. </w:t>
      </w:r>
      <w:r w:rsidRPr="00220586">
        <w:rPr>
          <w:rFonts w:ascii="Times New Roman" w:hAnsi="Times New Roman" w:cs="Times New Roman"/>
          <w:i/>
          <w:iCs/>
          <w:sz w:val="22"/>
          <w:szCs w:val="22"/>
          <w:lang w:val="en-GB"/>
        </w:rPr>
        <w:t>Journal of Management, 23</w:t>
      </w:r>
      <w:r w:rsidRPr="00220586">
        <w:rPr>
          <w:rFonts w:ascii="Times New Roman" w:hAnsi="Times New Roman" w:cs="Times New Roman"/>
          <w:sz w:val="22"/>
          <w:szCs w:val="22"/>
          <w:lang w:val="en-GB"/>
        </w:rPr>
        <w:t xml:space="preserve">(5), 627–658. </w:t>
      </w:r>
      <w:hyperlink r:id="rId50" w:history="1">
        <w:r w:rsidRPr="00220586">
          <w:rPr>
            <w:rStyle w:val="Hipervnculo"/>
            <w:rFonts w:ascii="Times New Roman" w:hAnsi="Times New Roman" w:cs="Times New Roman"/>
            <w:sz w:val="22"/>
            <w:szCs w:val="22"/>
            <w:lang w:val="en-GB"/>
          </w:rPr>
          <w:t>https://doi.org/10.1016/S0149-2063(97)90010-7</w:t>
        </w:r>
      </w:hyperlink>
    </w:p>
    <w:p w14:paraId="60114F72" w14:textId="0873A8F9" w:rsidR="00C87D97" w:rsidRPr="00220586" w:rsidRDefault="00C87D97"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n-GB"/>
        </w:rPr>
        <w:t xml:space="preserve">Kowalski, C. M., Vernon, P. A., &amp; Schermer, J. A. (2021). The Dark Triad and facets of personality. </w:t>
      </w:r>
      <w:r w:rsidRPr="00220586">
        <w:rPr>
          <w:rFonts w:ascii="Times New Roman" w:hAnsi="Times New Roman" w:cs="Times New Roman"/>
          <w:i/>
          <w:iCs/>
          <w:sz w:val="22"/>
          <w:szCs w:val="22"/>
          <w:lang w:val="es-MX"/>
        </w:rPr>
        <w:t>Current Psychology</w:t>
      </w:r>
      <w:r w:rsidRPr="00220586">
        <w:rPr>
          <w:rFonts w:ascii="Times New Roman" w:hAnsi="Times New Roman" w:cs="Times New Roman"/>
          <w:sz w:val="22"/>
          <w:szCs w:val="22"/>
          <w:lang w:val="es-MX"/>
        </w:rPr>
        <w:t xml:space="preserve">, </w:t>
      </w:r>
      <w:r w:rsidRPr="00220586">
        <w:rPr>
          <w:rFonts w:ascii="Times New Roman" w:hAnsi="Times New Roman" w:cs="Times New Roman"/>
          <w:i/>
          <w:iCs/>
          <w:sz w:val="22"/>
          <w:szCs w:val="22"/>
          <w:lang w:val="es-MX"/>
        </w:rPr>
        <w:t>40</w:t>
      </w:r>
      <w:r w:rsidRPr="00220586">
        <w:rPr>
          <w:rFonts w:ascii="Times New Roman" w:hAnsi="Times New Roman" w:cs="Times New Roman"/>
          <w:sz w:val="22"/>
          <w:szCs w:val="22"/>
          <w:lang w:val="es-MX"/>
        </w:rPr>
        <w:t xml:space="preserve">(11), 5547–5558. </w:t>
      </w:r>
      <w:hyperlink r:id="rId51" w:history="1">
        <w:r w:rsidRPr="00220586">
          <w:rPr>
            <w:rStyle w:val="Hipervnculo"/>
            <w:rFonts w:ascii="Times New Roman" w:hAnsi="Times New Roman" w:cs="Times New Roman"/>
            <w:sz w:val="22"/>
            <w:szCs w:val="22"/>
            <w:lang w:val="es-MX"/>
          </w:rPr>
          <w:t>https://doi.org/10.1007/s12144-019-00518-0</w:t>
        </w:r>
      </w:hyperlink>
    </w:p>
    <w:p w14:paraId="4758987A" w14:textId="41579688" w:rsidR="00E66A95" w:rsidRPr="007C73C9" w:rsidRDefault="00E66A95"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s-MX"/>
        </w:rPr>
        <w:t xml:space="preserve">León-Pérez, J. M., Antino, M., &amp; León-Rubio, J. M. (2016). </w:t>
      </w:r>
      <w:r w:rsidRPr="00220586">
        <w:rPr>
          <w:rFonts w:ascii="Times New Roman" w:hAnsi="Times New Roman" w:cs="Times New Roman"/>
          <w:sz w:val="22"/>
          <w:szCs w:val="22"/>
        </w:rPr>
        <w:t xml:space="preserve">Adaptación al español de la versión reducida del Cuestionario de Capital Psicológico (PCQ-12) en una muestra de trabajadores españoles. </w:t>
      </w:r>
      <w:r w:rsidRPr="007C73C9">
        <w:rPr>
          <w:rFonts w:ascii="Times New Roman" w:hAnsi="Times New Roman" w:cs="Times New Roman"/>
          <w:i/>
          <w:iCs/>
          <w:sz w:val="22"/>
          <w:szCs w:val="22"/>
          <w:lang w:val="es-MX"/>
        </w:rPr>
        <w:t>Revista de Psicología Social, 31</w:t>
      </w:r>
      <w:r w:rsidRPr="007C73C9">
        <w:rPr>
          <w:rFonts w:ascii="Times New Roman" w:hAnsi="Times New Roman" w:cs="Times New Roman"/>
          <w:sz w:val="22"/>
          <w:szCs w:val="22"/>
          <w:lang w:val="es-MX"/>
        </w:rPr>
        <w:t xml:space="preserve">(2), 333–361. </w:t>
      </w:r>
      <w:hyperlink r:id="rId52" w:tgtFrame="_new" w:history="1">
        <w:r w:rsidRPr="007C73C9">
          <w:rPr>
            <w:rStyle w:val="Hipervnculo"/>
            <w:rFonts w:ascii="Times New Roman" w:hAnsi="Times New Roman" w:cs="Times New Roman"/>
            <w:sz w:val="22"/>
            <w:szCs w:val="22"/>
            <w:lang w:val="es-MX"/>
          </w:rPr>
          <w:t>https://doi.org/10.1080/02134748.2016.1248024</w:t>
        </w:r>
      </w:hyperlink>
    </w:p>
    <w:p w14:paraId="74D7B68A" w14:textId="45A0BE32" w:rsidR="005801CC" w:rsidRPr="007C73C9" w:rsidRDefault="005801CC"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es-MX"/>
        </w:rPr>
        <w:t xml:space="preserve">Lerner, D. A. (2016). </w:t>
      </w:r>
      <w:r w:rsidRPr="005801CC">
        <w:rPr>
          <w:rFonts w:ascii="Times New Roman" w:hAnsi="Times New Roman" w:cs="Times New Roman"/>
          <w:sz w:val="22"/>
          <w:szCs w:val="22"/>
          <w:lang w:val="en-GB"/>
        </w:rPr>
        <w:t xml:space="preserve">Behavioral disinhibition and nascent venturing: Relevance and initial effects on potential resource providers. </w:t>
      </w:r>
      <w:r w:rsidRPr="007C73C9">
        <w:rPr>
          <w:rFonts w:ascii="Times New Roman" w:hAnsi="Times New Roman" w:cs="Times New Roman"/>
          <w:i/>
          <w:iCs/>
          <w:sz w:val="22"/>
          <w:szCs w:val="22"/>
          <w:lang w:val="en-GB"/>
        </w:rPr>
        <w:t>Journal of Business Venturing</w:t>
      </w:r>
      <w:r w:rsidRPr="007C73C9">
        <w:rPr>
          <w:rFonts w:ascii="Times New Roman" w:hAnsi="Times New Roman" w:cs="Times New Roman"/>
          <w:sz w:val="22"/>
          <w:szCs w:val="22"/>
          <w:lang w:val="en-GB"/>
        </w:rPr>
        <w:t xml:space="preserve">, </w:t>
      </w:r>
      <w:r w:rsidRPr="007C73C9">
        <w:rPr>
          <w:rFonts w:ascii="Times New Roman" w:hAnsi="Times New Roman" w:cs="Times New Roman"/>
          <w:i/>
          <w:iCs/>
          <w:sz w:val="22"/>
          <w:szCs w:val="22"/>
          <w:lang w:val="en-GB"/>
        </w:rPr>
        <w:t>31</w:t>
      </w:r>
      <w:r w:rsidRPr="007C73C9">
        <w:rPr>
          <w:rFonts w:ascii="Times New Roman" w:hAnsi="Times New Roman" w:cs="Times New Roman"/>
          <w:sz w:val="22"/>
          <w:szCs w:val="22"/>
          <w:lang w:val="en-GB"/>
        </w:rPr>
        <w:t xml:space="preserve">(2), 234–252. </w:t>
      </w:r>
      <w:hyperlink r:id="rId53" w:history="1">
        <w:r w:rsidRPr="007C73C9">
          <w:rPr>
            <w:rStyle w:val="Hipervnculo"/>
            <w:rFonts w:ascii="Times New Roman" w:hAnsi="Times New Roman" w:cs="Times New Roman"/>
            <w:sz w:val="22"/>
            <w:szCs w:val="22"/>
            <w:lang w:val="en-GB"/>
          </w:rPr>
          <w:t>https://doi.org/10.1016/j.jbusvent.2015.11.001</w:t>
        </w:r>
      </w:hyperlink>
    </w:p>
    <w:p w14:paraId="3B0B1A2A" w14:textId="3BA99C23" w:rsidR="000E5FBB" w:rsidRPr="00220586" w:rsidRDefault="000E5FBB" w:rsidP="00D82D8D">
      <w:pPr>
        <w:spacing w:line="360" w:lineRule="auto"/>
        <w:jc w:val="both"/>
        <w:rPr>
          <w:rFonts w:ascii="Times New Roman" w:hAnsi="Times New Roman" w:cs="Times New Roman"/>
          <w:sz w:val="22"/>
          <w:szCs w:val="22"/>
          <w:lang w:val="it-IT"/>
        </w:rPr>
      </w:pPr>
      <w:r w:rsidRPr="00220586">
        <w:rPr>
          <w:rFonts w:ascii="Times New Roman" w:hAnsi="Times New Roman" w:cs="Times New Roman"/>
          <w:sz w:val="22"/>
          <w:szCs w:val="22"/>
          <w:lang w:val="en-GB"/>
        </w:rPr>
        <w:t xml:space="preserve">Luo, Y. (2022). A general theory of institutional complexity. </w:t>
      </w:r>
      <w:r w:rsidRPr="00220586">
        <w:rPr>
          <w:rFonts w:ascii="Times New Roman" w:hAnsi="Times New Roman" w:cs="Times New Roman"/>
          <w:i/>
          <w:iCs/>
          <w:sz w:val="22"/>
          <w:szCs w:val="22"/>
          <w:lang w:val="en-GB"/>
        </w:rPr>
        <w:t>Journal of International Business Studies, 53</w:t>
      </w:r>
      <w:r w:rsidRPr="00220586">
        <w:rPr>
          <w:rFonts w:ascii="Times New Roman" w:hAnsi="Times New Roman" w:cs="Times New Roman"/>
          <w:sz w:val="22"/>
          <w:szCs w:val="22"/>
          <w:lang w:val="en-GB"/>
        </w:rPr>
        <w:t xml:space="preserve">(5), 886–913. </w:t>
      </w:r>
      <w:hyperlink r:id="rId54" w:history="1">
        <w:r w:rsidRPr="00220586">
          <w:rPr>
            <w:rStyle w:val="Hipervnculo"/>
            <w:rFonts w:ascii="Times New Roman" w:hAnsi="Times New Roman" w:cs="Times New Roman"/>
            <w:sz w:val="22"/>
            <w:szCs w:val="22"/>
            <w:lang w:val="it-IT"/>
          </w:rPr>
          <w:t>https://doi.org/10.1057/s41267-021-00488-x</w:t>
        </w:r>
      </w:hyperlink>
    </w:p>
    <w:p w14:paraId="33F7A1BD"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it-IT"/>
        </w:rPr>
        <w:t xml:space="preserve">Luthans, F., Avolio, B. J., Avey, J. B., &amp; Norman, S. M. (2007). </w:t>
      </w:r>
      <w:r w:rsidRPr="00220586">
        <w:rPr>
          <w:rFonts w:ascii="Times New Roman" w:hAnsi="Times New Roman" w:cs="Times New Roman"/>
          <w:sz w:val="22"/>
          <w:szCs w:val="22"/>
          <w:lang w:val="en-GB"/>
        </w:rPr>
        <w:t xml:space="preserve">Positive psychological capital: Measurement and relationship with performance and satisfaction. </w:t>
      </w:r>
      <w:r w:rsidRPr="00220586">
        <w:rPr>
          <w:rFonts w:ascii="Times New Roman" w:hAnsi="Times New Roman" w:cs="Times New Roman"/>
          <w:i/>
          <w:iCs/>
          <w:sz w:val="22"/>
          <w:szCs w:val="22"/>
          <w:lang w:val="en-GB"/>
        </w:rPr>
        <w:t>Personnel Psychology, 60</w:t>
      </w:r>
      <w:r w:rsidRPr="00220586">
        <w:rPr>
          <w:rFonts w:ascii="Times New Roman" w:hAnsi="Times New Roman" w:cs="Times New Roman"/>
          <w:sz w:val="22"/>
          <w:szCs w:val="22"/>
          <w:lang w:val="en-GB"/>
        </w:rPr>
        <w:t xml:space="preserve">(3), 541–572. </w:t>
      </w:r>
      <w:hyperlink r:id="rId55" w:history="1">
        <w:r w:rsidRPr="00220586">
          <w:rPr>
            <w:rStyle w:val="Hipervnculo"/>
            <w:rFonts w:ascii="Times New Roman" w:hAnsi="Times New Roman" w:cs="Times New Roman"/>
            <w:sz w:val="22"/>
            <w:szCs w:val="22"/>
            <w:lang w:val="en-GB"/>
          </w:rPr>
          <w:t>https://doi.org/10.1111/j.1744-6570.2007.00083.x</w:t>
        </w:r>
      </w:hyperlink>
    </w:p>
    <w:p w14:paraId="62CA5D2A" w14:textId="4F582D20" w:rsidR="0015769E" w:rsidRPr="00220586" w:rsidRDefault="0015769E"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Ma, G. X., Born, M. P., Petrou, P., &amp; Bakker, A. B. (2021). Bright sides of dark personality? A cross‐cultural study on the dark triad and work outcomes. </w:t>
      </w:r>
      <w:r w:rsidRPr="00220586">
        <w:rPr>
          <w:rFonts w:ascii="Times New Roman" w:hAnsi="Times New Roman" w:cs="Times New Roman"/>
          <w:i/>
          <w:iCs/>
          <w:sz w:val="22"/>
          <w:szCs w:val="22"/>
          <w:lang w:val="en-GB"/>
        </w:rPr>
        <w:t>International Journal of Selection and Assessment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29</w:t>
      </w:r>
      <w:r w:rsidRPr="00220586">
        <w:rPr>
          <w:rFonts w:ascii="Times New Roman" w:hAnsi="Times New Roman" w:cs="Times New Roman"/>
          <w:sz w:val="22"/>
          <w:szCs w:val="22"/>
          <w:lang w:val="en-GB"/>
        </w:rPr>
        <w:t xml:space="preserve">(3–4), 510–518. </w:t>
      </w:r>
      <w:hyperlink r:id="rId56" w:history="1">
        <w:r w:rsidRPr="00220586">
          <w:rPr>
            <w:rStyle w:val="Hipervnculo"/>
            <w:rFonts w:ascii="Times New Roman" w:hAnsi="Times New Roman" w:cs="Times New Roman"/>
            <w:sz w:val="22"/>
            <w:szCs w:val="22"/>
            <w:lang w:val="en-GB"/>
          </w:rPr>
          <w:t>https://doi.org/10.1111/ijsa.12342</w:t>
        </w:r>
      </w:hyperlink>
    </w:p>
    <w:p w14:paraId="3E049964" w14:textId="4F8CACB4"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Mair, J., &amp; Martí, I. (2009). Entrepreneurship in and around institutional voids: A case study from Bangladesh. </w:t>
      </w:r>
      <w:r w:rsidRPr="00220586">
        <w:rPr>
          <w:rFonts w:ascii="Times New Roman" w:hAnsi="Times New Roman" w:cs="Times New Roman"/>
          <w:i/>
          <w:iCs/>
          <w:sz w:val="22"/>
          <w:szCs w:val="22"/>
          <w:lang w:val="en-GB"/>
        </w:rPr>
        <w:t>Journal of Business Venturing, 24</w:t>
      </w:r>
      <w:r w:rsidRPr="00220586">
        <w:rPr>
          <w:rFonts w:ascii="Times New Roman" w:hAnsi="Times New Roman" w:cs="Times New Roman"/>
          <w:sz w:val="22"/>
          <w:szCs w:val="22"/>
          <w:lang w:val="en-GB"/>
        </w:rPr>
        <w:t xml:space="preserve">(5), 419–435. </w:t>
      </w:r>
      <w:hyperlink r:id="rId57" w:history="1">
        <w:r w:rsidRPr="00220586">
          <w:rPr>
            <w:rStyle w:val="Hipervnculo"/>
            <w:rFonts w:ascii="Times New Roman" w:hAnsi="Times New Roman" w:cs="Times New Roman"/>
            <w:sz w:val="22"/>
            <w:szCs w:val="22"/>
            <w:lang w:val="en-GB"/>
          </w:rPr>
          <w:t>https://doi.org/10.1016/j.jbusvent.2008.04.006</w:t>
        </w:r>
      </w:hyperlink>
    </w:p>
    <w:p w14:paraId="517D60FA"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Malisetty, S., &amp; Kumari, K. V. (2018). Exploring entrepreneurship as deviant behaviour. </w:t>
      </w:r>
      <w:r w:rsidRPr="00220586">
        <w:rPr>
          <w:rFonts w:ascii="Times New Roman" w:hAnsi="Times New Roman" w:cs="Times New Roman"/>
          <w:i/>
          <w:iCs/>
          <w:sz w:val="22"/>
          <w:szCs w:val="22"/>
          <w:lang w:val="en-GB"/>
        </w:rPr>
        <w:t>International Journal of Entrepreneurial Behavior &amp; Research, 24</w:t>
      </w:r>
      <w:r w:rsidRPr="00220586">
        <w:rPr>
          <w:rFonts w:ascii="Times New Roman" w:hAnsi="Times New Roman" w:cs="Times New Roman"/>
          <w:sz w:val="22"/>
          <w:szCs w:val="22"/>
          <w:lang w:val="en-GB"/>
        </w:rPr>
        <w:t>(3), 644–662.</w:t>
      </w:r>
    </w:p>
    <w:p w14:paraId="2415698E" w14:textId="77777777" w:rsidR="005F2084" w:rsidRPr="00220586" w:rsidRDefault="005F2084"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Mardia, K. V., Kent, J. T., &amp; Bibby, J. M. (1979). </w:t>
      </w:r>
      <w:r w:rsidRPr="00220586">
        <w:rPr>
          <w:rFonts w:ascii="Times New Roman" w:hAnsi="Times New Roman" w:cs="Times New Roman"/>
          <w:i/>
          <w:iCs/>
          <w:sz w:val="22"/>
          <w:szCs w:val="22"/>
          <w:lang w:val="en-GB"/>
        </w:rPr>
        <w:t>Multivariate analysis</w:t>
      </w:r>
      <w:r w:rsidRPr="00220586">
        <w:rPr>
          <w:rFonts w:ascii="Times New Roman" w:hAnsi="Times New Roman" w:cs="Times New Roman"/>
          <w:sz w:val="22"/>
          <w:szCs w:val="22"/>
          <w:lang w:val="en-GB"/>
        </w:rPr>
        <w:t>. Academic Press.</w:t>
      </w:r>
    </w:p>
    <w:p w14:paraId="568D3E19" w14:textId="3EE9A2C0" w:rsidR="00927396" w:rsidRPr="007C73C9" w:rsidRDefault="00927396" w:rsidP="00D82D8D">
      <w:pPr>
        <w:spacing w:line="360" w:lineRule="auto"/>
        <w:jc w:val="both"/>
        <w:rPr>
          <w:rFonts w:ascii="Times New Roman" w:hAnsi="Times New Roman" w:cs="Times New Roman"/>
          <w:sz w:val="22"/>
          <w:szCs w:val="22"/>
          <w:lang w:val="nl-NL"/>
        </w:rPr>
      </w:pPr>
      <w:r w:rsidRPr="00220586">
        <w:rPr>
          <w:rFonts w:ascii="Times New Roman" w:hAnsi="Times New Roman" w:cs="Times New Roman"/>
          <w:sz w:val="22"/>
          <w:szCs w:val="22"/>
          <w:lang w:val="en-GB"/>
        </w:rPr>
        <w:lastRenderedPageBreak/>
        <w:t xml:space="preserve">Marsh, H. W., Wen, Z., &amp; Hau, K.-T. (2004). Structural Equation Models of Latent Interactions: Evaluation of Alternative Estimation Strategies and Indicator Construction. </w:t>
      </w:r>
      <w:r w:rsidRPr="007C73C9">
        <w:rPr>
          <w:rFonts w:ascii="Times New Roman" w:hAnsi="Times New Roman" w:cs="Times New Roman"/>
          <w:i/>
          <w:iCs/>
          <w:sz w:val="22"/>
          <w:szCs w:val="22"/>
          <w:lang w:val="nl-NL"/>
        </w:rPr>
        <w:t>Psychological Methods</w:t>
      </w:r>
      <w:r w:rsidRPr="007C73C9">
        <w:rPr>
          <w:rFonts w:ascii="Times New Roman" w:hAnsi="Times New Roman" w:cs="Times New Roman"/>
          <w:sz w:val="22"/>
          <w:szCs w:val="22"/>
          <w:lang w:val="nl-NL"/>
        </w:rPr>
        <w:t xml:space="preserve">, </w:t>
      </w:r>
      <w:r w:rsidRPr="007C73C9">
        <w:rPr>
          <w:rFonts w:ascii="Times New Roman" w:hAnsi="Times New Roman" w:cs="Times New Roman"/>
          <w:i/>
          <w:iCs/>
          <w:sz w:val="22"/>
          <w:szCs w:val="22"/>
          <w:lang w:val="nl-NL"/>
        </w:rPr>
        <w:t>9</w:t>
      </w:r>
      <w:r w:rsidRPr="007C73C9">
        <w:rPr>
          <w:rFonts w:ascii="Times New Roman" w:hAnsi="Times New Roman" w:cs="Times New Roman"/>
          <w:sz w:val="22"/>
          <w:szCs w:val="22"/>
          <w:lang w:val="nl-NL"/>
        </w:rPr>
        <w:t xml:space="preserve">(3), 275–300. </w:t>
      </w:r>
      <w:hyperlink r:id="rId58" w:history="1">
        <w:r w:rsidRPr="007C73C9">
          <w:rPr>
            <w:rStyle w:val="Hipervnculo"/>
            <w:rFonts w:ascii="Times New Roman" w:hAnsi="Times New Roman" w:cs="Times New Roman"/>
            <w:sz w:val="22"/>
            <w:szCs w:val="22"/>
            <w:lang w:val="nl-NL"/>
          </w:rPr>
          <w:t>https://doi.org/10.1037/1082-989X.9.3.275</w:t>
        </w:r>
      </w:hyperlink>
    </w:p>
    <w:p w14:paraId="0F02094A" w14:textId="57C3957F" w:rsidR="005801CC" w:rsidRPr="007C73C9" w:rsidRDefault="005801CC"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nl-NL"/>
        </w:rPr>
        <w:t xml:space="preserve">Merani, A. L. (n.d.). </w:t>
      </w:r>
      <w:r w:rsidRPr="005801CC">
        <w:rPr>
          <w:rFonts w:ascii="Times New Roman" w:hAnsi="Times New Roman" w:cs="Times New Roman"/>
          <w:sz w:val="22"/>
          <w:szCs w:val="22"/>
          <w:lang w:val="es-MX"/>
        </w:rPr>
        <w:t xml:space="preserve">Paradojas del análisis factorial y de la cibernética. </w:t>
      </w:r>
      <w:r w:rsidRPr="007C73C9">
        <w:rPr>
          <w:rFonts w:ascii="Times New Roman" w:hAnsi="Times New Roman" w:cs="Times New Roman"/>
          <w:sz w:val="22"/>
          <w:szCs w:val="22"/>
          <w:lang w:val="en-GB"/>
        </w:rPr>
        <w:t xml:space="preserve">En </w:t>
      </w:r>
      <w:r w:rsidRPr="007C73C9">
        <w:rPr>
          <w:rFonts w:ascii="Times New Roman" w:hAnsi="Times New Roman" w:cs="Times New Roman"/>
          <w:i/>
          <w:iCs/>
          <w:sz w:val="22"/>
          <w:szCs w:val="22"/>
          <w:lang w:val="en-GB"/>
        </w:rPr>
        <w:t>La dialéctica en la psicología</w:t>
      </w:r>
      <w:r w:rsidRPr="007C73C9">
        <w:rPr>
          <w:rFonts w:ascii="Times New Roman" w:hAnsi="Times New Roman" w:cs="Times New Roman"/>
          <w:sz w:val="22"/>
          <w:szCs w:val="22"/>
          <w:lang w:val="en-GB"/>
        </w:rPr>
        <w:t>.</w:t>
      </w:r>
    </w:p>
    <w:p w14:paraId="51FE33E1" w14:textId="42AD577C"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Miller, J. D. (2015). </w:t>
      </w:r>
      <w:r w:rsidRPr="00220586">
        <w:rPr>
          <w:rFonts w:ascii="Times New Roman" w:hAnsi="Times New Roman" w:cs="Times New Roman"/>
          <w:i/>
          <w:iCs/>
          <w:sz w:val="22"/>
          <w:szCs w:val="22"/>
          <w:lang w:val="en-GB"/>
        </w:rPr>
        <w:t>Examining the role of narcissism in leadership and organizational outcomes.</w:t>
      </w:r>
      <w:r w:rsidRPr="00220586">
        <w:rPr>
          <w:rFonts w:ascii="Times New Roman" w:hAnsi="Times New Roman" w:cs="Times New Roman"/>
          <w:sz w:val="22"/>
          <w:szCs w:val="22"/>
          <w:lang w:val="en-GB"/>
        </w:rPr>
        <w:t xml:space="preserve"> En V. Zeigler-Hill, L. L. M. Welling, &amp; T. K. Shackelford (Eds.), </w:t>
      </w:r>
      <w:r w:rsidRPr="00220586">
        <w:rPr>
          <w:rFonts w:ascii="Times New Roman" w:hAnsi="Times New Roman" w:cs="Times New Roman"/>
          <w:i/>
          <w:iCs/>
          <w:sz w:val="22"/>
          <w:szCs w:val="22"/>
          <w:lang w:val="en-GB"/>
        </w:rPr>
        <w:t>Evolutionary perspectives on social psychology</w:t>
      </w:r>
      <w:r w:rsidRPr="00220586">
        <w:rPr>
          <w:rFonts w:ascii="Times New Roman" w:hAnsi="Times New Roman" w:cs="Times New Roman"/>
          <w:sz w:val="22"/>
          <w:szCs w:val="22"/>
          <w:lang w:val="en-GB"/>
        </w:rPr>
        <w:t xml:space="preserve"> (pp. 321–335). Springer.</w:t>
      </w:r>
    </w:p>
    <w:p w14:paraId="20192F82"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Milosevic, I., Bass, A. E., &amp; Milosevic, D. (2017). Leveraging Positive Psychological Capital (PsyCap) in Crisis: A Multiphase Framework. </w:t>
      </w:r>
      <w:r w:rsidRPr="00220586">
        <w:rPr>
          <w:rFonts w:ascii="Times New Roman" w:hAnsi="Times New Roman" w:cs="Times New Roman"/>
          <w:i/>
          <w:iCs/>
          <w:sz w:val="22"/>
          <w:szCs w:val="22"/>
          <w:lang w:val="en-GB"/>
        </w:rPr>
        <w:t>Organization Management Journal</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14</w:t>
      </w:r>
      <w:r w:rsidRPr="00220586">
        <w:rPr>
          <w:rFonts w:ascii="Times New Roman" w:hAnsi="Times New Roman" w:cs="Times New Roman"/>
          <w:sz w:val="22"/>
          <w:szCs w:val="22"/>
          <w:lang w:val="en-GB"/>
        </w:rPr>
        <w:t>(3), 127–146. https://doi.org/10.1080/15416518.2017.1353898</w:t>
      </w:r>
    </w:p>
    <w:p w14:paraId="01404FDE"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Moshagen, M., Hilbig, B. E., &amp; Zettler, I. (2018). The dark core of personality. </w:t>
      </w:r>
      <w:r w:rsidRPr="00220586">
        <w:rPr>
          <w:rFonts w:ascii="Times New Roman" w:hAnsi="Times New Roman" w:cs="Times New Roman"/>
          <w:i/>
          <w:iCs/>
          <w:sz w:val="22"/>
          <w:szCs w:val="22"/>
          <w:lang w:val="en-GB"/>
        </w:rPr>
        <w:t>Psychological Review, 125</w:t>
      </w:r>
      <w:r w:rsidRPr="00220586">
        <w:rPr>
          <w:rFonts w:ascii="Times New Roman" w:hAnsi="Times New Roman" w:cs="Times New Roman"/>
          <w:sz w:val="22"/>
          <w:szCs w:val="22"/>
          <w:lang w:val="en-GB"/>
        </w:rPr>
        <w:t xml:space="preserve">(5), 656–688. </w:t>
      </w:r>
      <w:hyperlink r:id="rId59" w:history="1">
        <w:r w:rsidRPr="00220586">
          <w:rPr>
            <w:rStyle w:val="Hipervnculo"/>
            <w:rFonts w:ascii="Times New Roman" w:hAnsi="Times New Roman" w:cs="Times New Roman"/>
            <w:sz w:val="22"/>
            <w:szCs w:val="22"/>
            <w:lang w:val="en-GB"/>
          </w:rPr>
          <w:t>https://doi.org/10.1037/rev0000111</w:t>
        </w:r>
      </w:hyperlink>
    </w:p>
    <w:p w14:paraId="56F2A00F" w14:textId="4DA28F2D" w:rsidR="00927396" w:rsidRPr="00220586" w:rsidRDefault="00927396"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Muthen, B., &amp; Asparouhov, T. (2006). Item response mixture modeling: Application to tobacco dependence criteria. </w:t>
      </w:r>
      <w:r w:rsidRPr="00220586">
        <w:rPr>
          <w:rFonts w:ascii="Times New Roman" w:hAnsi="Times New Roman" w:cs="Times New Roman"/>
          <w:i/>
          <w:iCs/>
          <w:sz w:val="22"/>
          <w:szCs w:val="22"/>
          <w:lang w:val="en-GB"/>
        </w:rPr>
        <w:t>Addictive Behaviors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31</w:t>
      </w:r>
      <w:r w:rsidRPr="00220586">
        <w:rPr>
          <w:rFonts w:ascii="Times New Roman" w:hAnsi="Times New Roman" w:cs="Times New Roman"/>
          <w:sz w:val="22"/>
          <w:szCs w:val="22"/>
          <w:lang w:val="en-GB"/>
        </w:rPr>
        <w:t xml:space="preserve">(6), 1050–1066. </w:t>
      </w:r>
      <w:hyperlink r:id="rId60" w:history="1">
        <w:r w:rsidRPr="00220586">
          <w:rPr>
            <w:rStyle w:val="Hipervnculo"/>
            <w:rFonts w:ascii="Times New Roman" w:hAnsi="Times New Roman" w:cs="Times New Roman"/>
            <w:sz w:val="22"/>
            <w:szCs w:val="22"/>
            <w:lang w:val="en-GB"/>
          </w:rPr>
          <w:t>https://doi.org/10.1016/j.addbeh.2006.03.026</w:t>
        </w:r>
      </w:hyperlink>
    </w:p>
    <w:p w14:paraId="0167F417" w14:textId="727B4460" w:rsidR="00927396" w:rsidRPr="00220586" w:rsidRDefault="000E5FBB" w:rsidP="00D82D8D">
      <w:pPr>
        <w:spacing w:line="360" w:lineRule="auto"/>
        <w:jc w:val="both"/>
        <w:rPr>
          <w:rFonts w:ascii="Times New Roman" w:hAnsi="Times New Roman" w:cs="Times New Roman"/>
          <w:lang w:val="en-GB"/>
        </w:rPr>
      </w:pPr>
      <w:r w:rsidRPr="00220586">
        <w:rPr>
          <w:rFonts w:ascii="Times New Roman" w:hAnsi="Times New Roman" w:cs="Times New Roman"/>
          <w:sz w:val="22"/>
          <w:szCs w:val="22"/>
          <w:lang w:val="en-GB"/>
        </w:rPr>
        <w:t xml:space="preserve">Nylund, K. L., Asparouhov, T., &amp; Muthén, B. O. (2007). Deciding on the number of classes in latent class analysis and growth mixture modeling: A Monte Carlo simulation study. </w:t>
      </w:r>
      <w:r w:rsidRPr="00220586">
        <w:rPr>
          <w:rFonts w:ascii="Times New Roman" w:hAnsi="Times New Roman" w:cs="Times New Roman"/>
          <w:i/>
          <w:iCs/>
          <w:sz w:val="22"/>
          <w:szCs w:val="22"/>
          <w:lang w:val="en-GB"/>
        </w:rPr>
        <w:t>Structural Equation Modeling, 14</w:t>
      </w:r>
      <w:r w:rsidRPr="00220586">
        <w:rPr>
          <w:rFonts w:ascii="Times New Roman" w:hAnsi="Times New Roman" w:cs="Times New Roman"/>
          <w:sz w:val="22"/>
          <w:szCs w:val="22"/>
          <w:lang w:val="en-GB"/>
        </w:rPr>
        <w:t xml:space="preserve">(4), 535–569. </w:t>
      </w:r>
      <w:hyperlink r:id="rId61" w:history="1">
        <w:r w:rsidRPr="00220586">
          <w:rPr>
            <w:rStyle w:val="Hipervnculo"/>
            <w:rFonts w:ascii="Times New Roman" w:hAnsi="Times New Roman" w:cs="Times New Roman"/>
            <w:sz w:val="22"/>
            <w:szCs w:val="22"/>
            <w:lang w:val="en-GB"/>
          </w:rPr>
          <w:t>https://doi.org/10.1080/10705510701575396</w:t>
        </w:r>
      </w:hyperlink>
    </w:p>
    <w:p w14:paraId="3512348A"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Paulhus, D. L., &amp; Williams, K. M. (2002). The Dark Triad of personality: Narcissism, Machiavellianism, and psychopathy. </w:t>
      </w:r>
      <w:r w:rsidRPr="00220586">
        <w:rPr>
          <w:rFonts w:ascii="Times New Roman" w:hAnsi="Times New Roman" w:cs="Times New Roman"/>
          <w:i/>
          <w:iCs/>
          <w:sz w:val="22"/>
          <w:szCs w:val="22"/>
          <w:lang w:val="en-GB"/>
        </w:rPr>
        <w:t>Journal of Research in Personality, 36</w:t>
      </w:r>
      <w:r w:rsidRPr="00220586">
        <w:rPr>
          <w:rFonts w:ascii="Times New Roman" w:hAnsi="Times New Roman" w:cs="Times New Roman"/>
          <w:sz w:val="22"/>
          <w:szCs w:val="22"/>
          <w:lang w:val="en-GB"/>
        </w:rPr>
        <w:t xml:space="preserve">(6), 556–563. </w:t>
      </w:r>
      <w:hyperlink r:id="rId62" w:history="1">
        <w:r w:rsidRPr="00220586">
          <w:rPr>
            <w:rStyle w:val="Hipervnculo"/>
            <w:rFonts w:ascii="Times New Roman" w:hAnsi="Times New Roman" w:cs="Times New Roman"/>
            <w:sz w:val="22"/>
            <w:szCs w:val="22"/>
            <w:lang w:val="en-GB"/>
          </w:rPr>
          <w:t>https://doi.org/10.1016/S0092-6566(02)00505-6</w:t>
        </w:r>
      </w:hyperlink>
    </w:p>
    <w:p w14:paraId="3FF276CD" w14:textId="5B41FF4C" w:rsidR="00F83F5C" w:rsidRPr="00220586" w:rsidRDefault="000E5FBB"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n-GB"/>
        </w:rPr>
        <w:t xml:space="preserve">Paulhus, D. L., Buckels, E. E., Trapnell, P. D., &amp; Jones, D. N. (2021). Development and validation of the Short Dark Tetrad (SD4). </w:t>
      </w:r>
      <w:r w:rsidRPr="00220586">
        <w:rPr>
          <w:rFonts w:ascii="Times New Roman" w:hAnsi="Times New Roman" w:cs="Times New Roman"/>
          <w:i/>
          <w:iCs/>
          <w:sz w:val="22"/>
          <w:szCs w:val="22"/>
          <w:lang w:val="en-GB"/>
        </w:rPr>
        <w:t>Assessment, 28</w:t>
      </w:r>
      <w:r w:rsidRPr="00220586">
        <w:rPr>
          <w:rFonts w:ascii="Times New Roman" w:hAnsi="Times New Roman" w:cs="Times New Roman"/>
          <w:sz w:val="22"/>
          <w:szCs w:val="22"/>
          <w:lang w:val="en-GB"/>
        </w:rPr>
        <w:t xml:space="preserve">(1), 234–259. </w:t>
      </w:r>
      <w:hyperlink r:id="rId63" w:history="1">
        <w:r w:rsidRPr="00220586">
          <w:rPr>
            <w:rStyle w:val="Hipervnculo"/>
            <w:rFonts w:ascii="Times New Roman" w:hAnsi="Times New Roman" w:cs="Times New Roman"/>
            <w:sz w:val="22"/>
            <w:szCs w:val="22"/>
            <w:lang w:val="es-MX"/>
          </w:rPr>
          <w:t>https://doi.org/10.1177/1073191120922611</w:t>
        </w:r>
      </w:hyperlink>
    </w:p>
    <w:p w14:paraId="3B6C729A" w14:textId="77777777" w:rsidR="00F83F5C" w:rsidRPr="00220586" w:rsidRDefault="00F83F5C"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rPr>
        <w:t xml:space="preserve">Pinto, A. (1970). Naturaleza e implicancias de la “heterogeneidad estructural” de la economía latinoamericana. </w:t>
      </w:r>
      <w:r w:rsidRPr="00220586">
        <w:rPr>
          <w:rFonts w:ascii="Times New Roman" w:hAnsi="Times New Roman" w:cs="Times New Roman"/>
          <w:i/>
          <w:iCs/>
          <w:sz w:val="22"/>
          <w:szCs w:val="22"/>
        </w:rPr>
        <w:t>El Trimestre Económico, 37</w:t>
      </w:r>
      <w:r w:rsidRPr="00220586">
        <w:rPr>
          <w:rFonts w:ascii="Times New Roman" w:hAnsi="Times New Roman" w:cs="Times New Roman"/>
          <w:sz w:val="22"/>
          <w:szCs w:val="22"/>
        </w:rPr>
        <w:t>(145), 83–100.</w:t>
      </w:r>
    </w:p>
    <w:p w14:paraId="4716B7D5" w14:textId="24E68AED" w:rsidR="00690FF0" w:rsidRPr="00220586" w:rsidRDefault="00690FF0"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s-MX"/>
        </w:rPr>
        <w:t xml:space="preserve">Pinto, A., &amp; Di Filippo, A. (1979). Desarrollo y pobreza en la América Latina: un enfoque histórico–estructural. </w:t>
      </w:r>
      <w:r w:rsidRPr="00220586">
        <w:rPr>
          <w:rFonts w:ascii="Times New Roman" w:hAnsi="Times New Roman" w:cs="Times New Roman"/>
          <w:i/>
          <w:iCs/>
          <w:sz w:val="22"/>
          <w:szCs w:val="22"/>
          <w:lang w:val="en-GB"/>
        </w:rPr>
        <w:t>El Trimestre Económico, 183</w:t>
      </w:r>
      <w:r w:rsidRPr="00220586">
        <w:rPr>
          <w:rFonts w:ascii="Times New Roman" w:hAnsi="Times New Roman" w:cs="Times New Roman"/>
          <w:sz w:val="22"/>
          <w:szCs w:val="22"/>
          <w:lang w:val="en-GB"/>
        </w:rPr>
        <w:t xml:space="preserve">(3), 569–590. </w:t>
      </w:r>
    </w:p>
    <w:p w14:paraId="57319B8A" w14:textId="164A9A86"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lastRenderedPageBreak/>
        <w:t xml:space="preserve">Pletzer, J. L. (2021). Why do dark personalities predict counterproductive work behavior? A meta-analysis of indirect effects. </w:t>
      </w:r>
      <w:r w:rsidRPr="00220586">
        <w:rPr>
          <w:rFonts w:ascii="Times New Roman" w:hAnsi="Times New Roman" w:cs="Times New Roman"/>
          <w:i/>
          <w:iCs/>
          <w:sz w:val="22"/>
          <w:szCs w:val="22"/>
          <w:lang w:val="en-GB"/>
        </w:rPr>
        <w:t>European Journal of Work and Organizational Psychology, 30</w:t>
      </w:r>
      <w:r w:rsidRPr="00220586">
        <w:rPr>
          <w:rFonts w:ascii="Times New Roman" w:hAnsi="Times New Roman" w:cs="Times New Roman"/>
          <w:sz w:val="22"/>
          <w:szCs w:val="22"/>
          <w:lang w:val="en-GB"/>
        </w:rPr>
        <w:t xml:space="preserve">(6), 868–888. </w:t>
      </w:r>
      <w:hyperlink r:id="rId64" w:history="1">
        <w:r w:rsidRPr="00220586">
          <w:rPr>
            <w:rStyle w:val="Hipervnculo"/>
            <w:rFonts w:ascii="Times New Roman" w:hAnsi="Times New Roman" w:cs="Times New Roman"/>
            <w:sz w:val="22"/>
            <w:szCs w:val="22"/>
            <w:lang w:val="en-GB"/>
          </w:rPr>
          <w:t>https://doi.org/10.1080/1359432X.2021.1919955</w:t>
        </w:r>
      </w:hyperlink>
    </w:p>
    <w:p w14:paraId="2528DC2E"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Podsakoff, P. M., MacKenzie, S. B., Lee, J. Y., &amp; Podsakoff, N. P. (2003). Common method biases in behavioral research: A critical review of the literature and recommended remedies. </w:t>
      </w:r>
      <w:r w:rsidRPr="00220586">
        <w:rPr>
          <w:rFonts w:ascii="Times New Roman" w:hAnsi="Times New Roman" w:cs="Times New Roman"/>
          <w:i/>
          <w:iCs/>
          <w:sz w:val="22"/>
          <w:szCs w:val="22"/>
          <w:lang w:val="en-GB"/>
        </w:rPr>
        <w:t>Journal of Applied Psychology, 88</w:t>
      </w:r>
      <w:r w:rsidRPr="00220586">
        <w:rPr>
          <w:rFonts w:ascii="Times New Roman" w:hAnsi="Times New Roman" w:cs="Times New Roman"/>
          <w:sz w:val="22"/>
          <w:szCs w:val="22"/>
          <w:lang w:val="en-GB"/>
        </w:rPr>
        <w:t xml:space="preserve">(5), 879–903. </w:t>
      </w:r>
      <w:hyperlink r:id="rId65" w:tgtFrame="_new" w:history="1">
        <w:r w:rsidRPr="00220586">
          <w:rPr>
            <w:rStyle w:val="Hipervnculo"/>
            <w:rFonts w:ascii="Times New Roman" w:hAnsi="Times New Roman" w:cs="Times New Roman"/>
            <w:sz w:val="22"/>
            <w:szCs w:val="22"/>
            <w:lang w:val="en-GB"/>
          </w:rPr>
          <w:t>https://doi.org/10.1037/0021-9010.88.5.879</w:t>
        </w:r>
      </w:hyperlink>
    </w:p>
    <w:p w14:paraId="69D862F1" w14:textId="01F92C22" w:rsidR="00E66A95" w:rsidRPr="00220586" w:rsidRDefault="00E66A95" w:rsidP="00D82D8D">
      <w:pPr>
        <w:spacing w:line="360" w:lineRule="auto"/>
        <w:jc w:val="both"/>
        <w:rPr>
          <w:rFonts w:ascii="Times New Roman" w:hAnsi="Times New Roman" w:cs="Times New Roman"/>
          <w:sz w:val="22"/>
          <w:szCs w:val="22"/>
          <w:lang w:val="es-MX"/>
        </w:rPr>
      </w:pPr>
      <w:r w:rsidRPr="00220586">
        <w:rPr>
          <w:rFonts w:ascii="Times New Roman" w:hAnsi="Times New Roman" w:cs="Times New Roman"/>
          <w:sz w:val="22"/>
          <w:szCs w:val="22"/>
          <w:lang w:val="en-GB"/>
        </w:rPr>
        <w:t xml:space="preserve">Ramírez-Vilca, S. (2022). </w:t>
      </w:r>
      <w:r w:rsidRPr="00220586">
        <w:rPr>
          <w:rFonts w:ascii="Times New Roman" w:hAnsi="Times New Roman" w:cs="Times New Roman"/>
          <w:i/>
          <w:iCs/>
          <w:sz w:val="22"/>
          <w:szCs w:val="22"/>
          <w:lang w:val="es-MX"/>
        </w:rPr>
        <w:t>[Tesis de maestría sobre clima ético, percepción de política organizacional y conducta desviada en trabajadores de Lima Metropolitana]</w:t>
      </w:r>
      <w:r w:rsidRPr="00220586">
        <w:rPr>
          <w:rFonts w:ascii="Times New Roman" w:hAnsi="Times New Roman" w:cs="Times New Roman"/>
          <w:sz w:val="22"/>
          <w:szCs w:val="22"/>
          <w:lang w:val="es-MX"/>
        </w:rPr>
        <w:t>. Tesis de maestría no publicada, Universidad ESAN, Lima, Perú.</w:t>
      </w:r>
    </w:p>
    <w:p w14:paraId="63A9E29E" w14:textId="74C548F4" w:rsidR="0015769E" w:rsidRPr="00220586" w:rsidRDefault="0015769E"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s-MX"/>
        </w:rPr>
        <w:t xml:space="preserve">Ramos-Vera, C., Calle, D., Calizaya-Milla, Y. E., &amp; Saintila, J. (2023). </w:t>
      </w:r>
      <w:r w:rsidRPr="00220586">
        <w:rPr>
          <w:rFonts w:ascii="Times New Roman" w:hAnsi="Times New Roman" w:cs="Times New Roman"/>
          <w:sz w:val="22"/>
          <w:szCs w:val="22"/>
          <w:lang w:val="en-GB"/>
        </w:rPr>
        <w:t xml:space="preserve">Network Analysis of Dark Triad Traits and Emotional Intelligence in Peruvian Adults. </w:t>
      </w:r>
      <w:r w:rsidRPr="00220586">
        <w:rPr>
          <w:rFonts w:ascii="Times New Roman" w:hAnsi="Times New Roman" w:cs="Times New Roman"/>
          <w:i/>
          <w:iCs/>
          <w:sz w:val="22"/>
          <w:szCs w:val="22"/>
          <w:lang w:val="en-GB"/>
        </w:rPr>
        <w:t>Psychology Research and Behavior Management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Volume 16</w:t>
      </w:r>
      <w:r w:rsidRPr="00220586">
        <w:rPr>
          <w:rFonts w:ascii="Times New Roman" w:hAnsi="Times New Roman" w:cs="Times New Roman"/>
          <w:sz w:val="22"/>
          <w:szCs w:val="22"/>
          <w:lang w:val="en-GB"/>
        </w:rPr>
        <w:t xml:space="preserve">, 4043–4056. </w:t>
      </w:r>
      <w:hyperlink r:id="rId66" w:history="1">
        <w:r w:rsidRPr="00220586">
          <w:rPr>
            <w:rStyle w:val="Hipervnculo"/>
            <w:rFonts w:ascii="Times New Roman" w:hAnsi="Times New Roman" w:cs="Times New Roman"/>
            <w:sz w:val="22"/>
            <w:szCs w:val="22"/>
            <w:lang w:val="en-GB"/>
          </w:rPr>
          <w:t>https://doi.org/10.2147/PRBM.S417541</w:t>
        </w:r>
      </w:hyperlink>
    </w:p>
    <w:p w14:paraId="77BEDEE9" w14:textId="4EBDD53A" w:rsidR="000E2181" w:rsidRPr="00220586" w:rsidRDefault="000E2181"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Ramos-Vera, C., O’Diana, A. G., Villena, A. S., Bonfá-Araujo, B., Barros, L. de O., Noronha, A. P. P., Gómez-Acosta, A., Sierra-Barón, W., Gerymski, R., Ogundokun, R. O., Babatunde, A. N., Abdulahi, A. T., &amp; Adeniyi, E. A. (2023). Dark and Light Triad: A cross-cultural comparison of network analysis in 5 countries. </w:t>
      </w:r>
      <w:r w:rsidRPr="00220586">
        <w:rPr>
          <w:rFonts w:ascii="Times New Roman" w:hAnsi="Times New Roman" w:cs="Times New Roman"/>
          <w:i/>
          <w:iCs/>
          <w:sz w:val="22"/>
          <w:szCs w:val="22"/>
          <w:lang w:val="en-GB"/>
        </w:rPr>
        <w:t>Personality and Individual Differences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215</w:t>
      </w:r>
      <w:r w:rsidRPr="00220586">
        <w:rPr>
          <w:rFonts w:ascii="Times New Roman" w:hAnsi="Times New Roman" w:cs="Times New Roman"/>
          <w:sz w:val="22"/>
          <w:szCs w:val="22"/>
          <w:lang w:val="en-GB"/>
        </w:rPr>
        <w:t xml:space="preserve">, 112377. </w:t>
      </w:r>
      <w:hyperlink r:id="rId67" w:history="1">
        <w:r w:rsidRPr="00220586">
          <w:rPr>
            <w:rStyle w:val="Hipervnculo"/>
            <w:rFonts w:ascii="Times New Roman" w:hAnsi="Times New Roman" w:cs="Times New Roman"/>
            <w:sz w:val="22"/>
            <w:szCs w:val="22"/>
            <w:lang w:val="en-GB"/>
          </w:rPr>
          <w:t>https://doi.org/10.1016/j.paid.2023.112377</w:t>
        </w:r>
      </w:hyperlink>
    </w:p>
    <w:p w14:paraId="7F28A10A" w14:textId="11AA871F" w:rsidR="007A1269" w:rsidRPr="00220586" w:rsidRDefault="007A126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Rauthmann, J. F., &amp; Kuper, N. (2025). The landscape of personality psychology in the new millennium: A systematic keyword analysis of journal articles from 2000 to 2021. </w:t>
      </w:r>
      <w:r w:rsidRPr="00220586">
        <w:rPr>
          <w:rFonts w:ascii="Times New Roman" w:hAnsi="Times New Roman" w:cs="Times New Roman"/>
          <w:i/>
          <w:iCs/>
          <w:sz w:val="22"/>
          <w:szCs w:val="22"/>
          <w:lang w:val="en-GB"/>
        </w:rPr>
        <w:t>Journal of Personality and Social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128</w:t>
      </w:r>
      <w:r w:rsidRPr="00220586">
        <w:rPr>
          <w:rFonts w:ascii="Times New Roman" w:hAnsi="Times New Roman" w:cs="Times New Roman"/>
          <w:sz w:val="22"/>
          <w:szCs w:val="22"/>
          <w:lang w:val="en-GB"/>
        </w:rPr>
        <w:t xml:space="preserve">(3), 722–763. </w:t>
      </w:r>
      <w:hyperlink r:id="rId68" w:history="1">
        <w:r w:rsidRPr="00220586">
          <w:rPr>
            <w:rStyle w:val="Hipervnculo"/>
            <w:rFonts w:ascii="Times New Roman" w:hAnsi="Times New Roman" w:cs="Times New Roman"/>
            <w:sz w:val="22"/>
            <w:szCs w:val="22"/>
            <w:lang w:val="en-GB"/>
          </w:rPr>
          <w:t>https://doi.org/10.1037/pspp0000532</w:t>
        </w:r>
      </w:hyperlink>
    </w:p>
    <w:p w14:paraId="2B93A72E" w14:textId="116BA652"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Robinson, S. L., &amp; Bennett, R. J. (1995). A typology of deviant workplace behaviors: A multidimensional scaling study. </w:t>
      </w:r>
      <w:r w:rsidRPr="00220586">
        <w:rPr>
          <w:rFonts w:ascii="Times New Roman" w:hAnsi="Times New Roman" w:cs="Times New Roman"/>
          <w:i/>
          <w:iCs/>
          <w:sz w:val="22"/>
          <w:szCs w:val="22"/>
          <w:lang w:val="en-GB"/>
        </w:rPr>
        <w:t>Academy of Management Journal, 38</w:t>
      </w:r>
      <w:r w:rsidRPr="00220586">
        <w:rPr>
          <w:rFonts w:ascii="Times New Roman" w:hAnsi="Times New Roman" w:cs="Times New Roman"/>
          <w:sz w:val="22"/>
          <w:szCs w:val="22"/>
          <w:lang w:val="en-GB"/>
        </w:rPr>
        <w:t xml:space="preserve">(2), 555–572. </w:t>
      </w:r>
      <w:hyperlink r:id="rId69" w:history="1">
        <w:r w:rsidRPr="00220586">
          <w:rPr>
            <w:rStyle w:val="Hipervnculo"/>
            <w:rFonts w:ascii="Times New Roman" w:hAnsi="Times New Roman" w:cs="Times New Roman"/>
            <w:sz w:val="22"/>
            <w:szCs w:val="22"/>
            <w:lang w:val="en-GB"/>
          </w:rPr>
          <w:t>https://doi.org/10.5465/256693</w:t>
        </w:r>
      </w:hyperlink>
    </w:p>
    <w:p w14:paraId="4F38CD30" w14:textId="1338E4F4" w:rsidR="005F2084" w:rsidRPr="00220586" w:rsidRDefault="005F2084"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Rodriguez, A., Reise, S. P., &amp; Haviland, M. G. (2016). Evaluating bifactor models: Calculating and interpreting statistical indices. </w:t>
      </w:r>
      <w:r w:rsidRPr="00220586">
        <w:rPr>
          <w:rFonts w:ascii="Times New Roman" w:hAnsi="Times New Roman" w:cs="Times New Roman"/>
          <w:i/>
          <w:iCs/>
          <w:sz w:val="22"/>
          <w:szCs w:val="22"/>
          <w:lang w:val="en-GB"/>
        </w:rPr>
        <w:t>Psychological Methods</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21</w:t>
      </w:r>
      <w:r w:rsidRPr="00220586">
        <w:rPr>
          <w:rFonts w:ascii="Times New Roman" w:hAnsi="Times New Roman" w:cs="Times New Roman"/>
          <w:sz w:val="22"/>
          <w:szCs w:val="22"/>
          <w:lang w:val="en-GB"/>
        </w:rPr>
        <w:t xml:space="preserve">(2), 137–150. </w:t>
      </w:r>
      <w:hyperlink r:id="rId70" w:history="1">
        <w:r w:rsidRPr="00220586">
          <w:rPr>
            <w:rStyle w:val="Hipervnculo"/>
            <w:rFonts w:ascii="Times New Roman" w:hAnsi="Times New Roman" w:cs="Times New Roman"/>
            <w:sz w:val="22"/>
            <w:szCs w:val="22"/>
            <w:lang w:val="en-GB"/>
          </w:rPr>
          <w:t>https://doi.org/10.1037/met0000045</w:t>
        </w:r>
      </w:hyperlink>
    </w:p>
    <w:p w14:paraId="7C5C0FD8" w14:textId="647F4333" w:rsidR="007A1269" w:rsidRPr="00220586" w:rsidRDefault="007A126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Rose, L., Sleep, C. E., Lynam, D. R., &amp; Miller, J. D. (2023). Welcome to the Jangle: Comparing the Empirical Profiles of the “Dark” Factor and Antagonism. </w:t>
      </w:r>
      <w:r w:rsidRPr="00220586">
        <w:rPr>
          <w:rFonts w:ascii="Times New Roman" w:hAnsi="Times New Roman" w:cs="Times New Roman"/>
          <w:i/>
          <w:iCs/>
          <w:sz w:val="22"/>
          <w:szCs w:val="22"/>
          <w:lang w:val="en-GB"/>
        </w:rPr>
        <w:t>Assessment</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30</w:t>
      </w:r>
      <w:r w:rsidRPr="00220586">
        <w:rPr>
          <w:rFonts w:ascii="Times New Roman" w:hAnsi="Times New Roman" w:cs="Times New Roman"/>
          <w:sz w:val="22"/>
          <w:szCs w:val="22"/>
          <w:lang w:val="en-GB"/>
        </w:rPr>
        <w:t xml:space="preserve">(8), 2626–2643. </w:t>
      </w:r>
      <w:hyperlink r:id="rId71" w:history="1">
        <w:r w:rsidRPr="00220586">
          <w:rPr>
            <w:rStyle w:val="Hipervnculo"/>
            <w:rFonts w:ascii="Times New Roman" w:hAnsi="Times New Roman" w:cs="Times New Roman"/>
            <w:sz w:val="22"/>
            <w:szCs w:val="22"/>
            <w:lang w:val="en-GB"/>
          </w:rPr>
          <w:t>https://doi.org/10.1177/10731911221124847</w:t>
        </w:r>
      </w:hyperlink>
    </w:p>
    <w:p w14:paraId="21B58FC4" w14:textId="33812100" w:rsidR="0031641A" w:rsidRPr="00220586" w:rsidRDefault="0031641A" w:rsidP="00D82D8D">
      <w:pPr>
        <w:spacing w:line="360" w:lineRule="auto"/>
        <w:jc w:val="both"/>
        <w:rPr>
          <w:rFonts w:ascii="Times New Roman" w:hAnsi="Times New Roman" w:cs="Times New Roman"/>
          <w:sz w:val="22"/>
          <w:szCs w:val="22"/>
          <w:lang w:val="fr-FR"/>
        </w:rPr>
      </w:pPr>
      <w:r w:rsidRPr="00220586">
        <w:rPr>
          <w:rFonts w:ascii="Times New Roman" w:hAnsi="Times New Roman" w:cs="Times New Roman"/>
          <w:sz w:val="22"/>
          <w:szCs w:val="22"/>
          <w:lang w:val="en-GB"/>
        </w:rPr>
        <w:lastRenderedPageBreak/>
        <w:t xml:space="preserve">Schreiber, A., &amp; Marcus, B. (2020). The place of the “Dark Triad” in general models of personality: Some meta-analytic clarification. </w:t>
      </w:r>
      <w:r w:rsidRPr="00220586">
        <w:rPr>
          <w:rFonts w:ascii="Times New Roman" w:hAnsi="Times New Roman" w:cs="Times New Roman"/>
          <w:i/>
          <w:iCs/>
          <w:sz w:val="22"/>
          <w:szCs w:val="22"/>
          <w:lang w:val="fr-FR"/>
        </w:rPr>
        <w:t>Psychological Bulletin</w:t>
      </w:r>
      <w:r w:rsidRPr="00220586">
        <w:rPr>
          <w:rFonts w:ascii="Times New Roman" w:hAnsi="Times New Roman" w:cs="Times New Roman"/>
          <w:sz w:val="22"/>
          <w:szCs w:val="22"/>
          <w:lang w:val="fr-FR"/>
        </w:rPr>
        <w:t xml:space="preserve">, </w:t>
      </w:r>
      <w:r w:rsidRPr="00220586">
        <w:rPr>
          <w:rFonts w:ascii="Times New Roman" w:hAnsi="Times New Roman" w:cs="Times New Roman"/>
          <w:i/>
          <w:iCs/>
          <w:sz w:val="22"/>
          <w:szCs w:val="22"/>
          <w:lang w:val="fr-FR"/>
        </w:rPr>
        <w:t>146</w:t>
      </w:r>
      <w:r w:rsidRPr="00220586">
        <w:rPr>
          <w:rFonts w:ascii="Times New Roman" w:hAnsi="Times New Roman" w:cs="Times New Roman"/>
          <w:sz w:val="22"/>
          <w:szCs w:val="22"/>
          <w:lang w:val="fr-FR"/>
        </w:rPr>
        <w:t xml:space="preserve">(11), 1021–1041. </w:t>
      </w:r>
      <w:hyperlink r:id="rId72" w:history="1">
        <w:r w:rsidRPr="00220586">
          <w:rPr>
            <w:rStyle w:val="Hipervnculo"/>
            <w:rFonts w:ascii="Times New Roman" w:hAnsi="Times New Roman" w:cs="Times New Roman"/>
            <w:sz w:val="22"/>
            <w:szCs w:val="22"/>
            <w:lang w:val="fr-FR"/>
          </w:rPr>
          <w:t>https://doi.org/10.1037/bul0000299</w:t>
        </w:r>
      </w:hyperlink>
    </w:p>
    <w:p w14:paraId="7901DAD1" w14:textId="7D903E5E" w:rsidR="007A1269" w:rsidRPr="00220586" w:rsidRDefault="007A1269"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fr-FR"/>
        </w:rPr>
        <w:t xml:space="preserve">Sharpe, B. M., Collison, K. L., Lynam, D. R., &amp; Miller, J. D. (2021). </w:t>
      </w:r>
      <w:r w:rsidRPr="00220586">
        <w:rPr>
          <w:rFonts w:ascii="Times New Roman" w:hAnsi="Times New Roman" w:cs="Times New Roman"/>
          <w:sz w:val="22"/>
          <w:szCs w:val="22"/>
          <w:lang w:val="en-GB"/>
        </w:rPr>
        <w:t xml:space="preserve">Does Machiavellianism meaningfully differ from psychopathy? It depends. </w:t>
      </w:r>
      <w:r w:rsidRPr="00220586">
        <w:rPr>
          <w:rFonts w:ascii="Times New Roman" w:hAnsi="Times New Roman" w:cs="Times New Roman"/>
          <w:i/>
          <w:iCs/>
          <w:sz w:val="22"/>
          <w:szCs w:val="22"/>
          <w:lang w:val="en-GB"/>
        </w:rPr>
        <w:t>Behavioral Sciences &amp; the Law</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39</w:t>
      </w:r>
      <w:r w:rsidRPr="00220586">
        <w:rPr>
          <w:rFonts w:ascii="Times New Roman" w:hAnsi="Times New Roman" w:cs="Times New Roman"/>
          <w:sz w:val="22"/>
          <w:szCs w:val="22"/>
          <w:lang w:val="en-GB"/>
        </w:rPr>
        <w:t xml:space="preserve">(5), 663–677. </w:t>
      </w:r>
      <w:hyperlink r:id="rId73" w:history="1">
        <w:r w:rsidRPr="00220586">
          <w:rPr>
            <w:rStyle w:val="Hipervnculo"/>
            <w:rFonts w:ascii="Times New Roman" w:hAnsi="Times New Roman" w:cs="Times New Roman"/>
            <w:sz w:val="22"/>
            <w:szCs w:val="22"/>
            <w:lang w:val="en-GB"/>
          </w:rPr>
          <w:t>https://doi.org/10.1002/bsl.2538</w:t>
        </w:r>
      </w:hyperlink>
    </w:p>
    <w:p w14:paraId="5A815AB6" w14:textId="5C1A537D"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Spector, P. E. (2006). Method variance in organizational research: Truth or urban legend? </w:t>
      </w:r>
      <w:r w:rsidRPr="00220586">
        <w:rPr>
          <w:rFonts w:ascii="Times New Roman" w:hAnsi="Times New Roman" w:cs="Times New Roman"/>
          <w:i/>
          <w:iCs/>
          <w:sz w:val="22"/>
          <w:szCs w:val="22"/>
          <w:lang w:val="en-GB"/>
        </w:rPr>
        <w:t>Organizational Research Methods, 9</w:t>
      </w:r>
      <w:r w:rsidRPr="00220586">
        <w:rPr>
          <w:rFonts w:ascii="Times New Roman" w:hAnsi="Times New Roman" w:cs="Times New Roman"/>
          <w:sz w:val="22"/>
          <w:szCs w:val="22"/>
          <w:lang w:val="en-GB"/>
        </w:rPr>
        <w:t xml:space="preserve">(2), 221–232. </w:t>
      </w:r>
      <w:hyperlink r:id="rId74" w:history="1">
        <w:r w:rsidRPr="00220586">
          <w:rPr>
            <w:rStyle w:val="Hipervnculo"/>
            <w:rFonts w:ascii="Times New Roman" w:hAnsi="Times New Roman" w:cs="Times New Roman"/>
            <w:sz w:val="22"/>
            <w:szCs w:val="22"/>
            <w:lang w:val="en-GB"/>
          </w:rPr>
          <w:t>https://doi.org/10.1177/1094428105284955</w:t>
        </w:r>
      </w:hyperlink>
    </w:p>
    <w:p w14:paraId="21224BE4" w14:textId="3BC625EC" w:rsidR="005801CC" w:rsidRPr="005801CC" w:rsidRDefault="005801CC" w:rsidP="00D82D8D">
      <w:pPr>
        <w:spacing w:line="360" w:lineRule="auto"/>
        <w:jc w:val="both"/>
        <w:rPr>
          <w:rFonts w:ascii="Times New Roman" w:hAnsi="Times New Roman" w:cs="Times New Roman"/>
          <w:sz w:val="22"/>
          <w:szCs w:val="22"/>
        </w:rPr>
      </w:pPr>
      <w:r w:rsidRPr="007C73C9">
        <w:rPr>
          <w:rFonts w:ascii="Times New Roman" w:hAnsi="Times New Roman" w:cs="Times New Roman"/>
          <w:sz w:val="22"/>
          <w:szCs w:val="22"/>
          <w:lang w:val="en-GB"/>
        </w:rPr>
        <w:t xml:space="preserve">Kedrov, M., &amp; Spirkin, A. (1967). </w:t>
      </w:r>
      <w:r w:rsidRPr="005801CC">
        <w:rPr>
          <w:rFonts w:ascii="Times New Roman" w:hAnsi="Times New Roman" w:cs="Times New Roman"/>
          <w:i/>
          <w:iCs/>
          <w:sz w:val="22"/>
          <w:szCs w:val="22"/>
        </w:rPr>
        <w:t>La ciencia</w:t>
      </w:r>
      <w:r w:rsidRPr="005801CC">
        <w:rPr>
          <w:rFonts w:ascii="Times New Roman" w:hAnsi="Times New Roman" w:cs="Times New Roman"/>
          <w:sz w:val="22"/>
          <w:szCs w:val="22"/>
        </w:rPr>
        <w:t>.</w:t>
      </w:r>
    </w:p>
    <w:p w14:paraId="2F81F181" w14:textId="7C513061" w:rsidR="000E5FBB" w:rsidRPr="00220586" w:rsidRDefault="000E5FBB" w:rsidP="00D82D8D">
      <w:pPr>
        <w:spacing w:line="360" w:lineRule="auto"/>
        <w:jc w:val="both"/>
        <w:rPr>
          <w:rFonts w:ascii="Times New Roman" w:hAnsi="Times New Roman" w:cs="Times New Roman"/>
          <w:sz w:val="22"/>
          <w:szCs w:val="22"/>
          <w:lang w:val="en-GB"/>
        </w:rPr>
      </w:pPr>
      <w:r w:rsidRPr="007C73C9">
        <w:rPr>
          <w:rFonts w:ascii="Times New Roman" w:hAnsi="Times New Roman" w:cs="Times New Roman"/>
          <w:sz w:val="22"/>
          <w:szCs w:val="22"/>
          <w:lang w:val="es-MX"/>
        </w:rPr>
        <w:t xml:space="preserve">Tang, J., Kacmar, K. M., &amp; Busenitz, L. (2012). </w:t>
      </w:r>
      <w:r w:rsidRPr="00220586">
        <w:rPr>
          <w:rFonts w:ascii="Times New Roman" w:hAnsi="Times New Roman" w:cs="Times New Roman"/>
          <w:sz w:val="22"/>
          <w:szCs w:val="22"/>
          <w:lang w:val="en-GB"/>
        </w:rPr>
        <w:t xml:space="preserve">Entrepreneurial alertness in the pursuit of new opportunities. </w:t>
      </w:r>
      <w:r w:rsidRPr="00220586">
        <w:rPr>
          <w:rFonts w:ascii="Times New Roman" w:hAnsi="Times New Roman" w:cs="Times New Roman"/>
          <w:i/>
          <w:iCs/>
          <w:sz w:val="22"/>
          <w:szCs w:val="22"/>
          <w:lang w:val="en-GB"/>
        </w:rPr>
        <w:t>Entrepreneurship Theory and Practice, 36</w:t>
      </w:r>
      <w:r w:rsidRPr="00220586">
        <w:rPr>
          <w:rFonts w:ascii="Times New Roman" w:hAnsi="Times New Roman" w:cs="Times New Roman"/>
          <w:sz w:val="22"/>
          <w:szCs w:val="22"/>
          <w:lang w:val="en-GB"/>
        </w:rPr>
        <w:t xml:space="preserve">(5), 1053–1079. </w:t>
      </w:r>
      <w:hyperlink r:id="rId75" w:history="1">
        <w:r w:rsidRPr="00220586">
          <w:rPr>
            <w:rStyle w:val="Hipervnculo"/>
            <w:rFonts w:ascii="Times New Roman" w:hAnsi="Times New Roman" w:cs="Times New Roman"/>
            <w:sz w:val="22"/>
            <w:szCs w:val="22"/>
            <w:lang w:val="en-GB"/>
          </w:rPr>
          <w:t>https://doi.org/10.1111/j.1540-6520.2011.00452.x</w:t>
        </w:r>
      </w:hyperlink>
    </w:p>
    <w:p w14:paraId="271A9F3B"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Tang, J.-J. (2020). Psychological Capital and Entrepreneurship Sustainability. </w:t>
      </w:r>
      <w:r w:rsidRPr="00220586">
        <w:rPr>
          <w:rFonts w:ascii="Times New Roman" w:hAnsi="Times New Roman" w:cs="Times New Roman"/>
          <w:i/>
          <w:iCs/>
          <w:sz w:val="22"/>
          <w:szCs w:val="22"/>
          <w:lang w:val="en-GB"/>
        </w:rPr>
        <w:t>Frontiers in Psychology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11</w:t>
      </w:r>
      <w:r w:rsidRPr="00220586">
        <w:rPr>
          <w:rFonts w:ascii="Times New Roman" w:hAnsi="Times New Roman" w:cs="Times New Roman"/>
          <w:sz w:val="22"/>
          <w:szCs w:val="22"/>
          <w:lang w:val="en-GB"/>
        </w:rPr>
        <w:t xml:space="preserve">. </w:t>
      </w:r>
      <w:hyperlink r:id="rId76" w:history="1">
        <w:r w:rsidRPr="00220586">
          <w:rPr>
            <w:rStyle w:val="Hipervnculo"/>
            <w:rFonts w:ascii="Times New Roman" w:hAnsi="Times New Roman" w:cs="Times New Roman"/>
            <w:sz w:val="22"/>
            <w:szCs w:val="22"/>
            <w:lang w:val="en-GB"/>
          </w:rPr>
          <w:t>https://doi.org/10.3389/fpsyg.2020.00866</w:t>
        </w:r>
      </w:hyperlink>
    </w:p>
    <w:p w14:paraId="435B6B35"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Tett, R. P., &amp; Burnett, D. D. (2003). A personality trait–based interactionist model of job performance. </w:t>
      </w:r>
      <w:r w:rsidRPr="00220586">
        <w:rPr>
          <w:rFonts w:ascii="Times New Roman" w:hAnsi="Times New Roman" w:cs="Times New Roman"/>
          <w:i/>
          <w:iCs/>
          <w:sz w:val="22"/>
          <w:szCs w:val="22"/>
          <w:lang w:val="en-GB"/>
        </w:rPr>
        <w:t>Journal of Applied Psychology, 88</w:t>
      </w:r>
      <w:r w:rsidRPr="00220586">
        <w:rPr>
          <w:rFonts w:ascii="Times New Roman" w:hAnsi="Times New Roman" w:cs="Times New Roman"/>
          <w:sz w:val="22"/>
          <w:szCs w:val="22"/>
          <w:lang w:val="en-GB"/>
        </w:rPr>
        <w:t xml:space="preserve">(3), 500–517. </w:t>
      </w:r>
      <w:hyperlink r:id="rId77" w:history="1">
        <w:r w:rsidRPr="00220586">
          <w:rPr>
            <w:rStyle w:val="Hipervnculo"/>
            <w:rFonts w:ascii="Times New Roman" w:hAnsi="Times New Roman" w:cs="Times New Roman"/>
            <w:sz w:val="22"/>
            <w:szCs w:val="22"/>
            <w:lang w:val="en-GB"/>
          </w:rPr>
          <w:t>https://doi.org/10.1037/0021-9010.88.3.500</w:t>
        </w:r>
      </w:hyperlink>
    </w:p>
    <w:p w14:paraId="517789D9" w14:textId="04CEE939" w:rsidR="005F2084" w:rsidRPr="00220586" w:rsidRDefault="005F2084" w:rsidP="005F2084">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Torgo, L. (2017). </w:t>
      </w:r>
      <w:r w:rsidRPr="00220586">
        <w:rPr>
          <w:rFonts w:ascii="Times New Roman" w:hAnsi="Times New Roman" w:cs="Times New Roman"/>
          <w:i/>
          <w:iCs/>
          <w:sz w:val="22"/>
          <w:szCs w:val="22"/>
          <w:lang w:val="en-GB"/>
        </w:rPr>
        <w:t>Data mining with R: Learning with case studies</w:t>
      </w:r>
      <w:r w:rsidRPr="00220586">
        <w:rPr>
          <w:rFonts w:ascii="Times New Roman" w:hAnsi="Times New Roman" w:cs="Times New Roman"/>
          <w:sz w:val="22"/>
          <w:szCs w:val="22"/>
          <w:lang w:val="en-GB"/>
        </w:rPr>
        <w:t xml:space="preserve"> (2nd ed.). Chapman &amp; Hall/CRC.</w:t>
      </w:r>
    </w:p>
    <w:p w14:paraId="252CA2C0" w14:textId="196BA3CC" w:rsidR="000E5FBB" w:rsidRPr="00220586" w:rsidRDefault="000E5FBB" w:rsidP="007A1269">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Transparency International. (2024). </w:t>
      </w:r>
      <w:r w:rsidRPr="00220586">
        <w:rPr>
          <w:rFonts w:ascii="Times New Roman" w:hAnsi="Times New Roman" w:cs="Times New Roman"/>
          <w:i/>
          <w:iCs/>
          <w:sz w:val="22"/>
          <w:szCs w:val="22"/>
          <w:lang w:val="en-GB"/>
        </w:rPr>
        <w:t>Corruption Perceptions Index 2024.</w:t>
      </w:r>
      <w:r w:rsidRPr="00220586">
        <w:rPr>
          <w:rFonts w:ascii="Times New Roman" w:hAnsi="Times New Roman" w:cs="Times New Roman"/>
          <w:sz w:val="22"/>
          <w:szCs w:val="22"/>
          <w:lang w:val="en-GB"/>
        </w:rPr>
        <w:t xml:space="preserve"> Transparency International.</w:t>
      </w:r>
    </w:p>
    <w:p w14:paraId="21FABB96" w14:textId="77777777" w:rsidR="007A1269" w:rsidRPr="00220586" w:rsidRDefault="00E66A95" w:rsidP="007A1269">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Victor, B., &amp; Cullen, J. B. (1988). The Organizational Bases of Ethical Work Climates. </w:t>
      </w:r>
      <w:r w:rsidRPr="00220586">
        <w:rPr>
          <w:rFonts w:ascii="Times New Roman" w:hAnsi="Times New Roman" w:cs="Times New Roman"/>
          <w:i/>
          <w:iCs/>
          <w:sz w:val="22"/>
          <w:szCs w:val="22"/>
          <w:lang w:val="en-GB"/>
        </w:rPr>
        <w:t>Administrative Science Quarterly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33</w:t>
      </w:r>
      <w:r w:rsidRPr="00220586">
        <w:rPr>
          <w:rFonts w:ascii="Times New Roman" w:hAnsi="Times New Roman" w:cs="Times New Roman"/>
          <w:sz w:val="22"/>
          <w:szCs w:val="22"/>
          <w:lang w:val="en-GB"/>
        </w:rPr>
        <w:t xml:space="preserve">(1), 101. </w:t>
      </w:r>
      <w:hyperlink r:id="rId78" w:history="1">
        <w:r w:rsidR="007A1269" w:rsidRPr="00220586">
          <w:rPr>
            <w:rStyle w:val="Hipervnculo"/>
            <w:rFonts w:ascii="Times New Roman" w:hAnsi="Times New Roman" w:cs="Times New Roman"/>
            <w:sz w:val="22"/>
            <w:szCs w:val="22"/>
            <w:lang w:val="en-GB"/>
          </w:rPr>
          <w:t>https://doi.org/10.2307/2392857</w:t>
        </w:r>
      </w:hyperlink>
    </w:p>
    <w:p w14:paraId="3C6C7911" w14:textId="1CE89722" w:rsidR="000E5FBB" w:rsidRPr="00220586" w:rsidRDefault="000E5FBB" w:rsidP="007A1269">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Vize, C. E., Collison, K. L., Miller, J. D., &amp; Lynam, D. R. (2020). The “core” of the dark triad: A test of competing hypotheses. </w:t>
      </w:r>
      <w:r w:rsidRPr="00220586">
        <w:rPr>
          <w:rFonts w:ascii="Times New Roman" w:hAnsi="Times New Roman" w:cs="Times New Roman"/>
          <w:i/>
          <w:iCs/>
          <w:sz w:val="22"/>
          <w:szCs w:val="22"/>
          <w:lang w:val="en-GB"/>
        </w:rPr>
        <w:t>Personality Disorders: Theory, Research, and Treatment, 11</w:t>
      </w:r>
      <w:r w:rsidRPr="00220586">
        <w:rPr>
          <w:rFonts w:ascii="Times New Roman" w:hAnsi="Times New Roman" w:cs="Times New Roman"/>
          <w:sz w:val="22"/>
          <w:szCs w:val="22"/>
          <w:lang w:val="en-GB"/>
        </w:rPr>
        <w:t xml:space="preserve">(2), 91–99. </w:t>
      </w:r>
      <w:hyperlink r:id="rId79" w:history="1">
        <w:r w:rsidRPr="00220586">
          <w:rPr>
            <w:rStyle w:val="Hipervnculo"/>
            <w:rFonts w:ascii="Times New Roman" w:hAnsi="Times New Roman" w:cs="Times New Roman"/>
            <w:sz w:val="22"/>
            <w:szCs w:val="22"/>
            <w:lang w:val="en-GB"/>
          </w:rPr>
          <w:t>https://doi.org/10.1037/per0000386</w:t>
        </w:r>
      </w:hyperlink>
    </w:p>
    <w:p w14:paraId="03713CAD" w14:textId="0C3B8EA7" w:rsidR="007A1269" w:rsidRPr="00220586" w:rsidRDefault="007A1269" w:rsidP="007A1269">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Vize, C. E., &amp; Lynam, D. R. (2021). On the importance of the assessment and conceptualization of Agreeableness: A commentary on “Agreeableness and the common core of dark traits are functionally different constructs.” </w:t>
      </w:r>
      <w:r w:rsidRPr="00220586">
        <w:rPr>
          <w:rFonts w:ascii="Times New Roman" w:hAnsi="Times New Roman" w:cs="Times New Roman"/>
          <w:i/>
          <w:iCs/>
          <w:sz w:val="22"/>
          <w:szCs w:val="22"/>
          <w:lang w:val="en-GB"/>
        </w:rPr>
        <w:t>Journal of Research in Personality</w:t>
      </w:r>
      <w:r w:rsidRPr="00220586">
        <w:rPr>
          <w:rFonts w:ascii="Times New Roman" w:hAnsi="Times New Roman" w:cs="Times New Roman"/>
          <w:sz w:val="22"/>
          <w:szCs w:val="22"/>
          <w:lang w:val="en-GB"/>
        </w:rPr>
        <w:t xml:space="preserve">, </w:t>
      </w:r>
      <w:r w:rsidRPr="00220586">
        <w:rPr>
          <w:rFonts w:ascii="Times New Roman" w:hAnsi="Times New Roman" w:cs="Times New Roman"/>
          <w:i/>
          <w:iCs/>
          <w:sz w:val="22"/>
          <w:szCs w:val="22"/>
          <w:lang w:val="en-GB"/>
        </w:rPr>
        <w:t>90</w:t>
      </w:r>
      <w:r w:rsidRPr="00220586">
        <w:rPr>
          <w:rFonts w:ascii="Times New Roman" w:hAnsi="Times New Roman" w:cs="Times New Roman"/>
          <w:sz w:val="22"/>
          <w:szCs w:val="22"/>
          <w:lang w:val="en-GB"/>
        </w:rPr>
        <w:t xml:space="preserve">, 104059. </w:t>
      </w:r>
      <w:hyperlink r:id="rId80" w:history="1">
        <w:r w:rsidRPr="00220586">
          <w:rPr>
            <w:rStyle w:val="Hipervnculo"/>
            <w:rFonts w:ascii="Times New Roman" w:hAnsi="Times New Roman" w:cs="Times New Roman"/>
            <w:sz w:val="22"/>
            <w:szCs w:val="22"/>
            <w:lang w:val="en-GB"/>
          </w:rPr>
          <w:t>https://doi.org/10.1016/j.jrp.2020.104059</w:t>
        </w:r>
      </w:hyperlink>
    </w:p>
    <w:p w14:paraId="286D486F"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lastRenderedPageBreak/>
        <w:t xml:space="preserve">Webb, J. W., Khoury, T. A., &amp; Hitt, M. A. (2013). The influence of formal and informal institutional voids on entrepreneurship. </w:t>
      </w:r>
      <w:r w:rsidRPr="00220586">
        <w:rPr>
          <w:rFonts w:ascii="Times New Roman" w:hAnsi="Times New Roman" w:cs="Times New Roman"/>
          <w:i/>
          <w:iCs/>
          <w:sz w:val="22"/>
          <w:szCs w:val="22"/>
          <w:lang w:val="en-GB"/>
        </w:rPr>
        <w:t>Journal of Business Venturing, 28</w:t>
      </w:r>
      <w:r w:rsidRPr="00220586">
        <w:rPr>
          <w:rFonts w:ascii="Times New Roman" w:hAnsi="Times New Roman" w:cs="Times New Roman"/>
          <w:sz w:val="22"/>
          <w:szCs w:val="22"/>
          <w:lang w:val="en-GB"/>
        </w:rPr>
        <w:t xml:space="preserve">(5), 598–614. </w:t>
      </w:r>
      <w:hyperlink r:id="rId81" w:history="1">
        <w:r w:rsidRPr="00220586">
          <w:rPr>
            <w:rStyle w:val="Hipervnculo"/>
            <w:rFonts w:ascii="Times New Roman" w:hAnsi="Times New Roman" w:cs="Times New Roman"/>
            <w:sz w:val="22"/>
            <w:szCs w:val="22"/>
            <w:lang w:val="en-GB"/>
          </w:rPr>
          <w:t>https://doi.org/10.1016/j.jbusvent.2012.05.003</w:t>
        </w:r>
      </w:hyperlink>
    </w:p>
    <w:p w14:paraId="03809A34"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Webster, G. D., Blötner, C., Wongsomboon, V., Rodriguez-Boerwinkle, R., &amp; Silvia, P. J. (2025). </w:t>
      </w:r>
      <w:r w:rsidRPr="00220586">
        <w:rPr>
          <w:rFonts w:ascii="Times New Roman" w:hAnsi="Times New Roman" w:cs="Times New Roman"/>
          <w:i/>
          <w:iCs/>
          <w:sz w:val="22"/>
          <w:szCs w:val="22"/>
          <w:lang w:val="en-GB"/>
        </w:rPr>
        <w:t>The Hateful Eight: An Efficient Multifaceted Short Dark Tetrad Measure</w:t>
      </w:r>
      <w:r w:rsidRPr="00220586">
        <w:rPr>
          <w:rFonts w:ascii="Times New Roman" w:hAnsi="Times New Roman" w:cs="Times New Roman"/>
          <w:sz w:val="22"/>
          <w:szCs w:val="22"/>
          <w:lang w:val="en-GB"/>
        </w:rPr>
        <w:t xml:space="preserve">. </w:t>
      </w:r>
      <w:hyperlink r:id="rId82" w:history="1">
        <w:r w:rsidRPr="00220586">
          <w:rPr>
            <w:rStyle w:val="Hipervnculo"/>
            <w:rFonts w:ascii="Times New Roman" w:hAnsi="Times New Roman" w:cs="Times New Roman"/>
            <w:sz w:val="22"/>
            <w:szCs w:val="22"/>
            <w:lang w:val="en-GB"/>
          </w:rPr>
          <w:t>https://doi.org/10.31234/osf.io/pr4u6_v4</w:t>
        </w:r>
      </w:hyperlink>
    </w:p>
    <w:p w14:paraId="77A86220"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Welter, F., &amp; Smallbone, D. (2011). Institutional perspectives on entrepreneurial behavior in challenging environments. </w:t>
      </w:r>
      <w:r w:rsidRPr="00220586">
        <w:rPr>
          <w:rFonts w:ascii="Times New Roman" w:hAnsi="Times New Roman" w:cs="Times New Roman"/>
          <w:i/>
          <w:iCs/>
          <w:sz w:val="22"/>
          <w:szCs w:val="22"/>
          <w:lang w:val="en-GB"/>
        </w:rPr>
        <w:t>Journal of Small Business Management, 49</w:t>
      </w:r>
      <w:r w:rsidRPr="00220586">
        <w:rPr>
          <w:rFonts w:ascii="Times New Roman" w:hAnsi="Times New Roman" w:cs="Times New Roman"/>
          <w:sz w:val="22"/>
          <w:szCs w:val="22"/>
          <w:lang w:val="en-GB"/>
        </w:rPr>
        <w:t xml:space="preserve">(1), 107–125. </w:t>
      </w:r>
      <w:hyperlink r:id="rId83" w:tgtFrame="_new" w:history="1">
        <w:r w:rsidRPr="00220586">
          <w:rPr>
            <w:rStyle w:val="Hipervnculo"/>
            <w:rFonts w:ascii="Times New Roman" w:hAnsi="Times New Roman" w:cs="Times New Roman"/>
            <w:sz w:val="22"/>
            <w:szCs w:val="22"/>
            <w:lang w:val="en-GB"/>
          </w:rPr>
          <w:t>https://doi.org/10.1111/j.1540-627X.2010.00317.x</w:t>
        </w:r>
      </w:hyperlink>
    </w:p>
    <w:p w14:paraId="11C97065"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Williams, L. J., Hartman, N., &amp; Cavazotte, F. (2010). Method variance and marker variables: A review and comprehensive CFA marker technique. </w:t>
      </w:r>
      <w:r w:rsidRPr="00220586">
        <w:rPr>
          <w:rFonts w:ascii="Times New Roman" w:hAnsi="Times New Roman" w:cs="Times New Roman"/>
          <w:i/>
          <w:iCs/>
          <w:sz w:val="22"/>
          <w:szCs w:val="22"/>
          <w:lang w:val="en-GB"/>
        </w:rPr>
        <w:t>Organizational Research Methods, 13</w:t>
      </w:r>
      <w:r w:rsidRPr="00220586">
        <w:rPr>
          <w:rFonts w:ascii="Times New Roman" w:hAnsi="Times New Roman" w:cs="Times New Roman"/>
          <w:sz w:val="22"/>
          <w:szCs w:val="22"/>
          <w:lang w:val="en-GB"/>
        </w:rPr>
        <w:t xml:space="preserve">(3), 477–514. </w:t>
      </w:r>
      <w:hyperlink r:id="rId84" w:history="1">
        <w:r w:rsidRPr="00220586">
          <w:rPr>
            <w:rStyle w:val="Hipervnculo"/>
            <w:rFonts w:ascii="Times New Roman" w:hAnsi="Times New Roman" w:cs="Times New Roman"/>
            <w:sz w:val="22"/>
            <w:szCs w:val="22"/>
            <w:lang w:val="en-GB"/>
          </w:rPr>
          <w:t>https://doi.org/10.1177/1094428110366036</w:t>
        </w:r>
      </w:hyperlink>
    </w:p>
    <w:p w14:paraId="77E99573" w14:textId="77777777"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Wolf, E. J., Harrington, K. M., Clark, S. L., &amp; Miller, M. W. (2013). Sample size requirements for structural equation models: An evaluation of power, bias, and solution propriety. </w:t>
      </w:r>
      <w:r w:rsidRPr="00220586">
        <w:rPr>
          <w:rFonts w:ascii="Times New Roman" w:hAnsi="Times New Roman" w:cs="Times New Roman"/>
          <w:i/>
          <w:iCs/>
          <w:sz w:val="22"/>
          <w:szCs w:val="22"/>
          <w:lang w:val="en-GB"/>
        </w:rPr>
        <w:t>Educational and Psychological Measurement, 73</w:t>
      </w:r>
      <w:r w:rsidRPr="00220586">
        <w:rPr>
          <w:rFonts w:ascii="Times New Roman" w:hAnsi="Times New Roman" w:cs="Times New Roman"/>
          <w:sz w:val="22"/>
          <w:szCs w:val="22"/>
          <w:lang w:val="en-GB"/>
        </w:rPr>
        <w:t xml:space="preserve">(6), 913–934. </w:t>
      </w:r>
      <w:hyperlink r:id="rId85" w:history="1">
        <w:r w:rsidRPr="00220586">
          <w:rPr>
            <w:rStyle w:val="Hipervnculo"/>
            <w:rFonts w:ascii="Times New Roman" w:hAnsi="Times New Roman" w:cs="Times New Roman"/>
            <w:sz w:val="22"/>
            <w:szCs w:val="22"/>
            <w:lang w:val="en-GB"/>
          </w:rPr>
          <w:t>https://doi.org/10.1177/0013164413495237</w:t>
        </w:r>
      </w:hyperlink>
    </w:p>
    <w:p w14:paraId="44DEA8D7" w14:textId="2D26BB8E" w:rsidR="000E5FBB" w:rsidRPr="00220586" w:rsidRDefault="000E5FBB" w:rsidP="00D82D8D">
      <w:pPr>
        <w:spacing w:line="360" w:lineRule="auto"/>
        <w:jc w:val="both"/>
        <w:rPr>
          <w:rFonts w:ascii="Times New Roman" w:hAnsi="Times New Roman" w:cs="Times New Roman"/>
          <w:sz w:val="22"/>
          <w:szCs w:val="22"/>
          <w:lang w:val="en-GB"/>
        </w:rPr>
      </w:pPr>
      <w:r w:rsidRPr="00220586">
        <w:rPr>
          <w:rFonts w:ascii="Times New Roman" w:hAnsi="Times New Roman" w:cs="Times New Roman"/>
          <w:sz w:val="22"/>
          <w:szCs w:val="22"/>
          <w:lang w:val="en-GB"/>
        </w:rPr>
        <w:t xml:space="preserve">World Justice Project. (2024). </w:t>
      </w:r>
      <w:r w:rsidRPr="00220586">
        <w:rPr>
          <w:rFonts w:ascii="Times New Roman" w:hAnsi="Times New Roman" w:cs="Times New Roman"/>
          <w:i/>
          <w:iCs/>
          <w:sz w:val="22"/>
          <w:szCs w:val="22"/>
          <w:lang w:val="en-GB"/>
        </w:rPr>
        <w:t>World Justice Project Rule of Law Index 2024.</w:t>
      </w:r>
      <w:r w:rsidRPr="00220586">
        <w:rPr>
          <w:rFonts w:ascii="Times New Roman" w:hAnsi="Times New Roman" w:cs="Times New Roman"/>
          <w:sz w:val="22"/>
          <w:szCs w:val="22"/>
          <w:lang w:val="en-GB"/>
        </w:rPr>
        <w:t xml:space="preserve"> World Justice Project. URL del informe.</w:t>
      </w:r>
    </w:p>
    <w:p w14:paraId="1F041176" w14:textId="5C87D8A8" w:rsidR="009B68B0" w:rsidRPr="00220586" w:rsidRDefault="009B68B0" w:rsidP="009B68B0">
      <w:pPr>
        <w:spacing w:line="360" w:lineRule="auto"/>
        <w:jc w:val="both"/>
        <w:rPr>
          <w:rFonts w:ascii="Times New Roman" w:hAnsi="Times New Roman" w:cs="Times New Roman"/>
        </w:rPr>
      </w:pPr>
      <w:r w:rsidRPr="00220586">
        <w:rPr>
          <w:rFonts w:ascii="Times New Roman" w:hAnsi="Times New Roman" w:cs="Times New Roman"/>
          <w:sz w:val="22"/>
          <w:szCs w:val="22"/>
          <w:lang w:val="en-GB"/>
        </w:rPr>
        <w:t>Zegarra-López, A. C., Uribe-Bravo, K. A., Berrocal-Aragonés, G., Prieto-Molinari, D. E., &amp; López, M. C. (2024). Adaptation and psychometric properties of the Short Dark Tetrad in a Peruvian sample. </w:t>
      </w:r>
      <w:r w:rsidRPr="00220586">
        <w:rPr>
          <w:rFonts w:ascii="Times New Roman" w:hAnsi="Times New Roman" w:cs="Times New Roman"/>
          <w:i/>
          <w:iCs/>
          <w:sz w:val="22"/>
          <w:szCs w:val="22"/>
          <w:lang w:val="en-GB"/>
        </w:rPr>
        <w:t>TPM: Testing, Psychometrics, Methodology in Applied Psychology</w:t>
      </w:r>
      <w:r w:rsidRPr="00220586">
        <w:rPr>
          <w:rFonts w:ascii="Times New Roman" w:hAnsi="Times New Roman" w:cs="Times New Roman"/>
          <w:sz w:val="22"/>
          <w:szCs w:val="22"/>
          <w:lang w:val="en-GB"/>
        </w:rPr>
        <w:t>, </w:t>
      </w:r>
      <w:r w:rsidRPr="00220586">
        <w:rPr>
          <w:rFonts w:ascii="Times New Roman" w:hAnsi="Times New Roman" w:cs="Times New Roman"/>
          <w:i/>
          <w:iCs/>
          <w:sz w:val="22"/>
          <w:szCs w:val="22"/>
          <w:lang w:val="en-GB"/>
        </w:rPr>
        <w:t>31</w:t>
      </w:r>
      <w:r w:rsidRPr="00220586">
        <w:rPr>
          <w:rFonts w:ascii="Times New Roman" w:hAnsi="Times New Roman" w:cs="Times New Roman"/>
          <w:sz w:val="22"/>
          <w:szCs w:val="22"/>
          <w:lang w:val="en-GB"/>
        </w:rPr>
        <w:t xml:space="preserve">(2). </w:t>
      </w:r>
      <w:hyperlink r:id="rId86" w:history="1">
        <w:r w:rsidRPr="00220586">
          <w:rPr>
            <w:rStyle w:val="Hipervnculo"/>
            <w:rFonts w:ascii="Times New Roman" w:hAnsi="Times New Roman" w:cs="Times New Roman"/>
            <w:sz w:val="22"/>
            <w:szCs w:val="22"/>
          </w:rPr>
          <w:t>https://doi.org/10.4473/TPM31.2.3</w:t>
        </w:r>
      </w:hyperlink>
    </w:p>
    <w:p w14:paraId="099A609B" w14:textId="7A1EAD50" w:rsidR="009B68B0" w:rsidRPr="00220586" w:rsidRDefault="009B68B0" w:rsidP="00D82D8D">
      <w:pPr>
        <w:spacing w:line="360" w:lineRule="auto"/>
        <w:jc w:val="both"/>
        <w:rPr>
          <w:rFonts w:ascii="Times New Roman" w:hAnsi="Times New Roman" w:cs="Times New Roman"/>
          <w:sz w:val="22"/>
          <w:szCs w:val="22"/>
        </w:rPr>
      </w:pPr>
    </w:p>
    <w:sectPr w:rsidR="009B68B0" w:rsidRPr="0022058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CBF5" w14:textId="77777777" w:rsidR="00ED65F8" w:rsidRDefault="00ED65F8" w:rsidP="00D82D8D">
      <w:pPr>
        <w:spacing w:after="0" w:line="240" w:lineRule="auto"/>
      </w:pPr>
      <w:r>
        <w:separator/>
      </w:r>
    </w:p>
  </w:endnote>
  <w:endnote w:type="continuationSeparator" w:id="0">
    <w:p w14:paraId="3599E03E" w14:textId="77777777" w:rsidR="00ED65F8" w:rsidRDefault="00ED65F8" w:rsidP="00D82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CFF2" w14:textId="77777777" w:rsidR="00ED65F8" w:rsidRDefault="00ED65F8" w:rsidP="00D82D8D">
      <w:pPr>
        <w:spacing w:after="0" w:line="240" w:lineRule="auto"/>
      </w:pPr>
      <w:r>
        <w:separator/>
      </w:r>
    </w:p>
  </w:footnote>
  <w:footnote w:type="continuationSeparator" w:id="0">
    <w:p w14:paraId="63BE93AD" w14:textId="77777777" w:rsidR="00ED65F8" w:rsidRDefault="00ED65F8" w:rsidP="00D82D8D">
      <w:pPr>
        <w:spacing w:after="0" w:line="240" w:lineRule="auto"/>
      </w:pPr>
      <w:r>
        <w:continuationSeparator/>
      </w:r>
    </w:p>
  </w:footnote>
  <w:footnote w:id="1">
    <w:p w14:paraId="48EB9F88" w14:textId="6772D3B7" w:rsidR="00D82D8D" w:rsidRPr="000A7749" w:rsidRDefault="00D82D8D" w:rsidP="00D82D8D">
      <w:pPr>
        <w:pStyle w:val="Textonotapie"/>
        <w:jc w:val="center"/>
        <w:rPr>
          <w:rFonts w:ascii="Times New Roman" w:hAnsi="Times New Roman" w:cs="Times New Roman"/>
        </w:rPr>
      </w:pPr>
      <w:r>
        <w:rPr>
          <w:rStyle w:val="Refdenotaalpie"/>
        </w:rPr>
        <w:footnoteRef/>
      </w:r>
      <w:r>
        <w:t xml:space="preserve"> </w:t>
      </w:r>
      <w:r w:rsidRPr="000A7749">
        <w:rPr>
          <w:rFonts w:ascii="Times New Roman" w:hAnsi="Times New Roman" w:cs="Times New Roman"/>
        </w:rPr>
        <w:t xml:space="preserve"> </w:t>
      </w:r>
      <w:hyperlink r:id="rId1" w:history="1">
        <w:r w:rsidRPr="00014B11">
          <w:rPr>
            <w:rStyle w:val="Hipervnculo"/>
            <w:rFonts w:ascii="Times New Roman" w:hAnsi="Times New Roman" w:cs="Times New Roman"/>
          </w:rPr>
          <w:t>https://orcid.org/0009-0006-2690-2207</w:t>
        </w:r>
      </w:hyperlink>
    </w:p>
    <w:p w14:paraId="2318F4BE" w14:textId="1253EF6A" w:rsidR="00D82D8D" w:rsidRPr="00D82D8D" w:rsidRDefault="00D82D8D">
      <w:pPr>
        <w:pStyle w:val="Textonotapie"/>
        <w:rPr>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634"/>
    <w:multiLevelType w:val="multilevel"/>
    <w:tmpl w:val="C6A8B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B2C"/>
    <w:multiLevelType w:val="multilevel"/>
    <w:tmpl w:val="9DF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2540"/>
    <w:multiLevelType w:val="multilevel"/>
    <w:tmpl w:val="7F3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1EEB"/>
    <w:multiLevelType w:val="multilevel"/>
    <w:tmpl w:val="C9287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657D4"/>
    <w:multiLevelType w:val="multilevel"/>
    <w:tmpl w:val="2E3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F6303"/>
    <w:multiLevelType w:val="multilevel"/>
    <w:tmpl w:val="4B9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0643E"/>
    <w:multiLevelType w:val="multilevel"/>
    <w:tmpl w:val="B5D6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C3876"/>
    <w:multiLevelType w:val="multilevel"/>
    <w:tmpl w:val="9A44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D2C79"/>
    <w:multiLevelType w:val="multilevel"/>
    <w:tmpl w:val="AED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925FF"/>
    <w:multiLevelType w:val="multilevel"/>
    <w:tmpl w:val="E18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C4DE3"/>
    <w:multiLevelType w:val="multilevel"/>
    <w:tmpl w:val="715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F63F0"/>
    <w:multiLevelType w:val="multilevel"/>
    <w:tmpl w:val="5B4E5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76432"/>
    <w:multiLevelType w:val="multilevel"/>
    <w:tmpl w:val="47A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47DB1"/>
    <w:multiLevelType w:val="multilevel"/>
    <w:tmpl w:val="9D2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1354B"/>
    <w:multiLevelType w:val="multilevel"/>
    <w:tmpl w:val="697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643A7"/>
    <w:multiLevelType w:val="multilevel"/>
    <w:tmpl w:val="24B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85276"/>
    <w:multiLevelType w:val="multilevel"/>
    <w:tmpl w:val="5CE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57A76"/>
    <w:multiLevelType w:val="multilevel"/>
    <w:tmpl w:val="A47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B0ED7"/>
    <w:multiLevelType w:val="multilevel"/>
    <w:tmpl w:val="DC10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632FA"/>
    <w:multiLevelType w:val="multilevel"/>
    <w:tmpl w:val="A58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A0B4F"/>
    <w:multiLevelType w:val="multilevel"/>
    <w:tmpl w:val="05D4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42A0F"/>
    <w:multiLevelType w:val="multilevel"/>
    <w:tmpl w:val="692AC9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E0056"/>
    <w:multiLevelType w:val="multilevel"/>
    <w:tmpl w:val="45E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17DF0"/>
    <w:multiLevelType w:val="multilevel"/>
    <w:tmpl w:val="78A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51EA3"/>
    <w:multiLevelType w:val="multilevel"/>
    <w:tmpl w:val="350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605394">
    <w:abstractNumId w:val="24"/>
  </w:num>
  <w:num w:numId="2" w16cid:durableId="31620095">
    <w:abstractNumId w:val="8"/>
  </w:num>
  <w:num w:numId="3" w16cid:durableId="213738642">
    <w:abstractNumId w:val="6"/>
  </w:num>
  <w:num w:numId="4" w16cid:durableId="655230063">
    <w:abstractNumId w:val="20"/>
  </w:num>
  <w:num w:numId="5" w16cid:durableId="1351449811">
    <w:abstractNumId w:val="11"/>
  </w:num>
  <w:num w:numId="6" w16cid:durableId="1254246667">
    <w:abstractNumId w:val="21"/>
  </w:num>
  <w:num w:numId="7" w16cid:durableId="905341215">
    <w:abstractNumId w:val="18"/>
  </w:num>
  <w:num w:numId="8" w16cid:durableId="938028621">
    <w:abstractNumId w:val="7"/>
  </w:num>
  <w:num w:numId="9" w16cid:durableId="132336985">
    <w:abstractNumId w:val="1"/>
  </w:num>
  <w:num w:numId="10" w16cid:durableId="198670563">
    <w:abstractNumId w:val="2"/>
  </w:num>
  <w:num w:numId="11" w16cid:durableId="1929540624">
    <w:abstractNumId w:val="19"/>
  </w:num>
  <w:num w:numId="12" w16cid:durableId="1601256597">
    <w:abstractNumId w:val="14"/>
  </w:num>
  <w:num w:numId="13" w16cid:durableId="1416976786">
    <w:abstractNumId w:val="16"/>
  </w:num>
  <w:num w:numId="14" w16cid:durableId="985622753">
    <w:abstractNumId w:val="23"/>
  </w:num>
  <w:num w:numId="15" w16cid:durableId="2033604366">
    <w:abstractNumId w:val="22"/>
  </w:num>
  <w:num w:numId="16" w16cid:durableId="1334410927">
    <w:abstractNumId w:val="0"/>
  </w:num>
  <w:num w:numId="17" w16cid:durableId="1403210065">
    <w:abstractNumId w:val="12"/>
  </w:num>
  <w:num w:numId="18" w16cid:durableId="268587491">
    <w:abstractNumId w:val="17"/>
  </w:num>
  <w:num w:numId="19" w16cid:durableId="89858039">
    <w:abstractNumId w:val="10"/>
  </w:num>
  <w:num w:numId="20" w16cid:durableId="978076811">
    <w:abstractNumId w:val="3"/>
  </w:num>
  <w:num w:numId="21" w16cid:durableId="145323100">
    <w:abstractNumId w:val="9"/>
  </w:num>
  <w:num w:numId="22" w16cid:durableId="221916444">
    <w:abstractNumId w:val="4"/>
  </w:num>
  <w:num w:numId="23" w16cid:durableId="2104764784">
    <w:abstractNumId w:val="13"/>
  </w:num>
  <w:num w:numId="24" w16cid:durableId="595745653">
    <w:abstractNumId w:val="5"/>
  </w:num>
  <w:num w:numId="25" w16cid:durableId="1507402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0C1"/>
    <w:rsid w:val="00006438"/>
    <w:rsid w:val="00021E57"/>
    <w:rsid w:val="00056E3B"/>
    <w:rsid w:val="000C3DD4"/>
    <w:rsid w:val="000D13F5"/>
    <w:rsid w:val="000E2181"/>
    <w:rsid w:val="000E5FBB"/>
    <w:rsid w:val="0015769E"/>
    <w:rsid w:val="001B320F"/>
    <w:rsid w:val="001E0CFD"/>
    <w:rsid w:val="001E217D"/>
    <w:rsid w:val="00220586"/>
    <w:rsid w:val="0023705F"/>
    <w:rsid w:val="00277456"/>
    <w:rsid w:val="002C3F76"/>
    <w:rsid w:val="002F732D"/>
    <w:rsid w:val="0031641A"/>
    <w:rsid w:val="00353C04"/>
    <w:rsid w:val="004018FB"/>
    <w:rsid w:val="00402797"/>
    <w:rsid w:val="004F4216"/>
    <w:rsid w:val="005370FA"/>
    <w:rsid w:val="00540333"/>
    <w:rsid w:val="00545E8A"/>
    <w:rsid w:val="005801CC"/>
    <w:rsid w:val="0058639B"/>
    <w:rsid w:val="005A6377"/>
    <w:rsid w:val="005B08EC"/>
    <w:rsid w:val="005F2084"/>
    <w:rsid w:val="005F4C0A"/>
    <w:rsid w:val="00600E10"/>
    <w:rsid w:val="00630E5C"/>
    <w:rsid w:val="00652E3B"/>
    <w:rsid w:val="00690FF0"/>
    <w:rsid w:val="006C7B56"/>
    <w:rsid w:val="006E4862"/>
    <w:rsid w:val="007073C9"/>
    <w:rsid w:val="00733157"/>
    <w:rsid w:val="00772EF4"/>
    <w:rsid w:val="0078601B"/>
    <w:rsid w:val="007A1269"/>
    <w:rsid w:val="007C526A"/>
    <w:rsid w:val="007C73C9"/>
    <w:rsid w:val="007D709B"/>
    <w:rsid w:val="007E001E"/>
    <w:rsid w:val="0088180C"/>
    <w:rsid w:val="00884DD2"/>
    <w:rsid w:val="008C56D1"/>
    <w:rsid w:val="008C64C7"/>
    <w:rsid w:val="00925634"/>
    <w:rsid w:val="00927396"/>
    <w:rsid w:val="00942CFA"/>
    <w:rsid w:val="00955F2F"/>
    <w:rsid w:val="00966C9E"/>
    <w:rsid w:val="009B68B0"/>
    <w:rsid w:val="00A260AA"/>
    <w:rsid w:val="00AA399D"/>
    <w:rsid w:val="00AB2D23"/>
    <w:rsid w:val="00B16A1F"/>
    <w:rsid w:val="00B22446"/>
    <w:rsid w:val="00B979A7"/>
    <w:rsid w:val="00BE3AEF"/>
    <w:rsid w:val="00BE6888"/>
    <w:rsid w:val="00BF6E85"/>
    <w:rsid w:val="00C109D9"/>
    <w:rsid w:val="00C202D7"/>
    <w:rsid w:val="00C32FCF"/>
    <w:rsid w:val="00C73758"/>
    <w:rsid w:val="00C87D97"/>
    <w:rsid w:val="00CB70C1"/>
    <w:rsid w:val="00CD4EB2"/>
    <w:rsid w:val="00D12AE7"/>
    <w:rsid w:val="00D12D8B"/>
    <w:rsid w:val="00D31E4B"/>
    <w:rsid w:val="00D566B9"/>
    <w:rsid w:val="00D77E88"/>
    <w:rsid w:val="00D82D8D"/>
    <w:rsid w:val="00E6216C"/>
    <w:rsid w:val="00E66A95"/>
    <w:rsid w:val="00ED554E"/>
    <w:rsid w:val="00ED65F8"/>
    <w:rsid w:val="00F07408"/>
    <w:rsid w:val="00F21A54"/>
    <w:rsid w:val="00F31F19"/>
    <w:rsid w:val="00F37438"/>
    <w:rsid w:val="00F818E8"/>
    <w:rsid w:val="00F83F5C"/>
    <w:rsid w:val="00FA3DFA"/>
    <w:rsid w:val="00FB68E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ED54"/>
  <w15:chartTrackingRefBased/>
  <w15:docId w15:val="{3FFFC97A-0949-4504-A280-41D7D4584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CB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70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70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70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70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70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70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70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70C1"/>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CB70C1"/>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rsid w:val="00CB70C1"/>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CB70C1"/>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CB70C1"/>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CB70C1"/>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CB70C1"/>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CB70C1"/>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CB70C1"/>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CB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70C1"/>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CB70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70C1"/>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CB70C1"/>
    <w:pPr>
      <w:spacing w:before="160"/>
      <w:jc w:val="center"/>
    </w:pPr>
    <w:rPr>
      <w:i/>
      <w:iCs/>
      <w:color w:val="404040" w:themeColor="text1" w:themeTint="BF"/>
    </w:rPr>
  </w:style>
  <w:style w:type="character" w:customStyle="1" w:styleId="CitaCar">
    <w:name w:val="Cita Car"/>
    <w:basedOn w:val="Fuentedeprrafopredeter"/>
    <w:link w:val="Cita"/>
    <w:uiPriority w:val="29"/>
    <w:rsid w:val="00CB70C1"/>
    <w:rPr>
      <w:i/>
      <w:iCs/>
      <w:color w:val="404040" w:themeColor="text1" w:themeTint="BF"/>
      <w:lang w:val="es-PE"/>
    </w:rPr>
  </w:style>
  <w:style w:type="paragraph" w:styleId="Prrafodelista">
    <w:name w:val="List Paragraph"/>
    <w:basedOn w:val="Normal"/>
    <w:uiPriority w:val="34"/>
    <w:qFormat/>
    <w:rsid w:val="00CB70C1"/>
    <w:pPr>
      <w:ind w:left="720"/>
      <w:contextualSpacing/>
    </w:pPr>
  </w:style>
  <w:style w:type="character" w:styleId="nfasisintenso">
    <w:name w:val="Intense Emphasis"/>
    <w:basedOn w:val="Fuentedeprrafopredeter"/>
    <w:uiPriority w:val="21"/>
    <w:qFormat/>
    <w:rsid w:val="00CB70C1"/>
    <w:rPr>
      <w:i/>
      <w:iCs/>
      <w:color w:val="0F4761" w:themeColor="accent1" w:themeShade="BF"/>
    </w:rPr>
  </w:style>
  <w:style w:type="paragraph" w:styleId="Citadestacada">
    <w:name w:val="Intense Quote"/>
    <w:basedOn w:val="Normal"/>
    <w:next w:val="Normal"/>
    <w:link w:val="CitadestacadaCar"/>
    <w:uiPriority w:val="30"/>
    <w:qFormat/>
    <w:rsid w:val="00CB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70C1"/>
    <w:rPr>
      <w:i/>
      <w:iCs/>
      <w:color w:val="0F4761" w:themeColor="accent1" w:themeShade="BF"/>
      <w:lang w:val="es-PE"/>
    </w:rPr>
  </w:style>
  <w:style w:type="character" w:styleId="Referenciaintensa">
    <w:name w:val="Intense Reference"/>
    <w:basedOn w:val="Fuentedeprrafopredeter"/>
    <w:uiPriority w:val="32"/>
    <w:qFormat/>
    <w:rsid w:val="00CB70C1"/>
    <w:rPr>
      <w:b/>
      <w:bCs/>
      <w:smallCaps/>
      <w:color w:val="0F4761" w:themeColor="accent1" w:themeShade="BF"/>
      <w:spacing w:val="5"/>
    </w:rPr>
  </w:style>
  <w:style w:type="character" w:styleId="Hipervnculo">
    <w:name w:val="Hyperlink"/>
    <w:basedOn w:val="Fuentedeprrafopredeter"/>
    <w:uiPriority w:val="99"/>
    <w:unhideWhenUsed/>
    <w:rsid w:val="000E5FBB"/>
    <w:rPr>
      <w:color w:val="467886" w:themeColor="hyperlink"/>
      <w:u w:val="single"/>
    </w:rPr>
  </w:style>
  <w:style w:type="character" w:styleId="Mencinsinresolver">
    <w:name w:val="Unresolved Mention"/>
    <w:basedOn w:val="Fuentedeprrafopredeter"/>
    <w:uiPriority w:val="99"/>
    <w:semiHidden/>
    <w:unhideWhenUsed/>
    <w:rsid w:val="004018FB"/>
    <w:rPr>
      <w:color w:val="605E5C"/>
      <w:shd w:val="clear" w:color="auto" w:fill="E1DFDD"/>
    </w:rPr>
  </w:style>
  <w:style w:type="paragraph" w:styleId="Textonotapie">
    <w:name w:val="footnote text"/>
    <w:basedOn w:val="Normal"/>
    <w:link w:val="TextonotapieCar"/>
    <w:uiPriority w:val="99"/>
    <w:semiHidden/>
    <w:unhideWhenUsed/>
    <w:rsid w:val="00D82D8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82D8D"/>
    <w:rPr>
      <w:sz w:val="20"/>
      <w:szCs w:val="20"/>
      <w:lang w:val="es-PE"/>
    </w:rPr>
  </w:style>
  <w:style w:type="character" w:styleId="Refdenotaalpie">
    <w:name w:val="footnote reference"/>
    <w:basedOn w:val="Fuentedeprrafopredeter"/>
    <w:uiPriority w:val="99"/>
    <w:semiHidden/>
    <w:unhideWhenUsed/>
    <w:rsid w:val="00D82D8D"/>
    <w:rPr>
      <w:vertAlign w:val="superscript"/>
    </w:rPr>
  </w:style>
  <w:style w:type="character" w:styleId="Textodelmarcadordeposicin">
    <w:name w:val="Placeholder Text"/>
    <w:basedOn w:val="Fuentedeprrafopredeter"/>
    <w:uiPriority w:val="99"/>
    <w:semiHidden/>
    <w:rsid w:val="00884DD2"/>
    <w:rPr>
      <w:color w:val="666666"/>
    </w:rPr>
  </w:style>
  <w:style w:type="paragraph" w:styleId="NormalWeb">
    <w:name w:val="Normal (Web)"/>
    <w:basedOn w:val="Normal"/>
    <w:uiPriority w:val="99"/>
    <w:semiHidden/>
    <w:unhideWhenUsed/>
    <w:rsid w:val="00884D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tmp.2022.101042" TargetMode="External"/><Relationship Id="rId21" Type="http://schemas.openxmlformats.org/officeDocument/2006/relationships/hyperlink" Target="https://doi.org/10.1177/0956797613490749" TargetMode="External"/><Relationship Id="rId42" Type="http://schemas.openxmlformats.org/officeDocument/2006/relationships/hyperlink" Target="https://doi.org/10.1016/j.jrp.2021.104154" TargetMode="External"/><Relationship Id="rId47" Type="http://schemas.openxmlformats.org/officeDocument/2006/relationships/hyperlink" Target="https://doi.org/10.1177/10596011221102297" TargetMode="External"/><Relationship Id="rId63" Type="http://schemas.openxmlformats.org/officeDocument/2006/relationships/hyperlink" Target="https://doi.org/10.1177/1073191120922611" TargetMode="External"/><Relationship Id="rId68" Type="http://schemas.openxmlformats.org/officeDocument/2006/relationships/hyperlink" Target="https://doi.org/10.1037/pspp0000532" TargetMode="External"/><Relationship Id="rId84" Type="http://schemas.openxmlformats.org/officeDocument/2006/relationships/hyperlink" Target="https://doi.org/10.1177/1094428110366036" TargetMode="External"/><Relationship Id="rId16" Type="http://schemas.openxmlformats.org/officeDocument/2006/relationships/hyperlink" Target="https://doi.org/10.1086/261712" TargetMode="External"/><Relationship Id="rId11" Type="http://schemas.openxmlformats.org/officeDocument/2006/relationships/hyperlink" Target="https://doi.org/10.1037/0021-9010.81.2.199" TargetMode="External"/><Relationship Id="rId32" Type="http://schemas.openxmlformats.org/officeDocument/2006/relationships/hyperlink" Target="https://doi.org/10.1016/j.jvb.2017.03.002" TargetMode="External"/><Relationship Id="rId37" Type="http://schemas.openxmlformats.org/officeDocument/2006/relationships/hyperlink" Target="https://doi.org/10.1016/j.jisa.2022.103378" TargetMode="External"/><Relationship Id="rId53" Type="http://schemas.openxmlformats.org/officeDocument/2006/relationships/hyperlink" Target="https://doi.org/10.1016/j.jbusvent.2015.11.001" TargetMode="External"/><Relationship Id="rId58" Type="http://schemas.openxmlformats.org/officeDocument/2006/relationships/hyperlink" Target="https://doi.org/10.1037/1082-989X.9.3.275" TargetMode="External"/><Relationship Id="rId74" Type="http://schemas.openxmlformats.org/officeDocument/2006/relationships/hyperlink" Target="https://doi.org/10.1177/1094428105284955" TargetMode="External"/><Relationship Id="rId79" Type="http://schemas.openxmlformats.org/officeDocument/2006/relationships/hyperlink" Target="https://doi.org/10.1037/per0000386" TargetMode="External"/><Relationship Id="rId5" Type="http://schemas.openxmlformats.org/officeDocument/2006/relationships/webSettings" Target="webSettings.xml"/><Relationship Id="rId19" Type="http://schemas.openxmlformats.org/officeDocument/2006/relationships/hyperlink" Target="https://doi.org/10.1007/s12124-024-09842-y" TargetMode="External"/><Relationship Id="rId14" Type="http://schemas.openxmlformats.org/officeDocument/2006/relationships/hyperlink" Target="https://doi.org/10.2189/asqu.2005.50.3.329" TargetMode="External"/><Relationship Id="rId22" Type="http://schemas.openxmlformats.org/officeDocument/2006/relationships/hyperlink" Target="https://doi.org/10.1023/A:1022991115523" TargetMode="External"/><Relationship Id="rId27" Type="http://schemas.openxmlformats.org/officeDocument/2006/relationships/hyperlink" Target="https://doi.org/10.1086/392855" TargetMode="External"/><Relationship Id="rId30" Type="http://schemas.openxmlformats.org/officeDocument/2006/relationships/hyperlink" Target="https://doi.org/10.1111/sjop.12921" TargetMode="External"/><Relationship Id="rId35" Type="http://schemas.openxmlformats.org/officeDocument/2006/relationships/hyperlink" Target="https://doi.org/10.1007/s12144-024-05858-6" TargetMode="External"/><Relationship Id="rId43" Type="http://schemas.openxmlformats.org/officeDocument/2006/relationships/hyperlink" Target="https://doi.org/10.1111/jopy.12830" TargetMode="External"/><Relationship Id="rId48" Type="http://schemas.openxmlformats.org/officeDocument/2006/relationships/hyperlink" Target="https://doi.org/10.1108/JOCM-05-2024-0241" TargetMode="External"/><Relationship Id="rId56" Type="http://schemas.openxmlformats.org/officeDocument/2006/relationships/hyperlink" Target="https://doi.org/10.1111/ijsa.12342" TargetMode="External"/><Relationship Id="rId64" Type="http://schemas.openxmlformats.org/officeDocument/2006/relationships/hyperlink" Target="https://doi.org/10.1080/1359432X.2021.1919955" TargetMode="External"/><Relationship Id="rId69" Type="http://schemas.openxmlformats.org/officeDocument/2006/relationships/hyperlink" Target="https://doi.org/10.5465/256693" TargetMode="External"/><Relationship Id="rId77" Type="http://schemas.openxmlformats.org/officeDocument/2006/relationships/hyperlink" Target="https://doi.org/10.1037/0021-9010.88.3.500" TargetMode="External"/><Relationship Id="rId8" Type="http://schemas.openxmlformats.org/officeDocument/2006/relationships/hyperlink" Target="https://doi.org/10.1002/sd.2574" TargetMode="External"/><Relationship Id="rId51" Type="http://schemas.openxmlformats.org/officeDocument/2006/relationships/hyperlink" Target="https://doi.org/10.1007/s12144-019-00518-0" TargetMode="External"/><Relationship Id="rId72" Type="http://schemas.openxmlformats.org/officeDocument/2006/relationships/hyperlink" Target="https://doi.org/10.1037/bul0000299" TargetMode="External"/><Relationship Id="rId80" Type="http://schemas.openxmlformats.org/officeDocument/2006/relationships/hyperlink" Target="https://doi.org/10.1016/j.jrp.2020.104059" TargetMode="External"/><Relationship Id="rId85" Type="http://schemas.openxmlformats.org/officeDocument/2006/relationships/hyperlink" Target="https://doi.org/10.1177/0013164413495237" TargetMode="External"/><Relationship Id="rId3" Type="http://schemas.openxmlformats.org/officeDocument/2006/relationships/styles" Target="styles.xml"/><Relationship Id="rId12" Type="http://schemas.openxmlformats.org/officeDocument/2006/relationships/hyperlink" Target="https://doi.org/10.1002/hrdq.20070" TargetMode="External"/><Relationship Id="rId17" Type="http://schemas.openxmlformats.org/officeDocument/2006/relationships/hyperlink" Target="https://doi.org/10.1037/0021-9010.85.3.349" TargetMode="External"/><Relationship Id="rId25" Type="http://schemas.openxmlformats.org/officeDocument/2006/relationships/hyperlink" Target="https://doi.org/10.1177/0149206308318618" TargetMode="External"/><Relationship Id="rId33" Type="http://schemas.openxmlformats.org/officeDocument/2006/relationships/hyperlink" Target="https://doi.org/10.1016/j.emj.2019.03.001" TargetMode="External"/><Relationship Id="rId38" Type="http://schemas.openxmlformats.org/officeDocument/2006/relationships/hyperlink" Target="https://doi.org/10.1111/jopy.12577" TargetMode="External"/><Relationship Id="rId46" Type="http://schemas.openxmlformats.org/officeDocument/2006/relationships/hyperlink" Target="https://doi.org/10.1108/978-1-80071-929-320214006" TargetMode="External"/><Relationship Id="rId59" Type="http://schemas.openxmlformats.org/officeDocument/2006/relationships/hyperlink" Target="https://doi.org/10.1037/rev0000111" TargetMode="External"/><Relationship Id="rId67" Type="http://schemas.openxmlformats.org/officeDocument/2006/relationships/hyperlink" Target="https://doi.org/10.1016/j.paid.2023.112377" TargetMode="External"/><Relationship Id="rId20" Type="http://schemas.openxmlformats.org/officeDocument/2006/relationships/hyperlink" Target="https://doi.org/10.1016/j.biopsych.2020.01.013" TargetMode="External"/><Relationship Id="rId41" Type="http://schemas.openxmlformats.org/officeDocument/2006/relationships/hyperlink" Target="https://doi.org/10.1111/1464-0597.00062" TargetMode="External"/><Relationship Id="rId54" Type="http://schemas.openxmlformats.org/officeDocument/2006/relationships/hyperlink" Target="https://doi.org/10.1057/s41267-021-00488-x" TargetMode="External"/><Relationship Id="rId62" Type="http://schemas.openxmlformats.org/officeDocument/2006/relationships/hyperlink" Target="https://doi.org/10.1016/S0092-6566(02)00505-6" TargetMode="External"/><Relationship Id="rId70" Type="http://schemas.openxmlformats.org/officeDocument/2006/relationships/hyperlink" Target="https://doi.org/10.1037/met0000045" TargetMode="External"/><Relationship Id="rId75" Type="http://schemas.openxmlformats.org/officeDocument/2006/relationships/hyperlink" Target="https://doi.org/10.1111/j.1540-6520.2011.00452.x" TargetMode="External"/><Relationship Id="rId83" Type="http://schemas.openxmlformats.org/officeDocument/2006/relationships/hyperlink" Target="https://doi.org/10.1111/j.1540-627X.2010.00317.x"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77/0149206313495411" TargetMode="External"/><Relationship Id="rId23" Type="http://schemas.openxmlformats.org/officeDocument/2006/relationships/hyperlink" Target="https://doi.org/10.2189/asqu.52.3.351" TargetMode="External"/><Relationship Id="rId28" Type="http://schemas.openxmlformats.org/officeDocument/2006/relationships/hyperlink" Target="https://doi.org/10.1016/j.paid.2025.113529" TargetMode="External"/><Relationship Id="rId36" Type="http://schemas.openxmlformats.org/officeDocument/2006/relationships/hyperlink" Target="https://doi.org/10.1177/01461672231217630" TargetMode="External"/><Relationship Id="rId49" Type="http://schemas.openxmlformats.org/officeDocument/2006/relationships/hyperlink" Target="https://doi.org/10.5465/amj.2010.0837" TargetMode="External"/><Relationship Id="rId57" Type="http://schemas.openxmlformats.org/officeDocument/2006/relationships/hyperlink" Target="https://doi.org/10.1016/j.jbusvent.2008.04.006" TargetMode="External"/><Relationship Id="rId10" Type="http://schemas.openxmlformats.org/officeDocument/2006/relationships/hyperlink" Target="https://doi.org/10.1016/j.paid.2009.10.016" TargetMode="External"/><Relationship Id="rId31" Type="http://schemas.openxmlformats.org/officeDocument/2006/relationships/hyperlink" Target="https://doi.org/10.1108/JMP-07-2012-0230" TargetMode="External"/><Relationship Id="rId44" Type="http://schemas.openxmlformats.org/officeDocument/2006/relationships/hyperlink" Target="https://doi.org/10.1037/a0019265" TargetMode="External"/><Relationship Id="rId52" Type="http://schemas.openxmlformats.org/officeDocument/2006/relationships/hyperlink" Target="https://doi.org/10.1080/02134748.2016.1248024" TargetMode="External"/><Relationship Id="rId60" Type="http://schemas.openxmlformats.org/officeDocument/2006/relationships/hyperlink" Target="https://doi.org/10.1016/j.addbeh.2006.03.026" TargetMode="External"/><Relationship Id="rId65" Type="http://schemas.openxmlformats.org/officeDocument/2006/relationships/hyperlink" Target="https://doi.org/10.1037/0021-9010.88.5.879" TargetMode="External"/><Relationship Id="rId73" Type="http://schemas.openxmlformats.org/officeDocument/2006/relationships/hyperlink" Target="https://doi.org/10.1002/bsl.2538" TargetMode="External"/><Relationship Id="rId78" Type="http://schemas.openxmlformats.org/officeDocument/2006/relationships/hyperlink" Target="https://doi.org/10.2307/2392857" TargetMode="External"/><Relationship Id="rId81" Type="http://schemas.openxmlformats.org/officeDocument/2006/relationships/hyperlink" Target="https://doi.org/10.1016/j.jbusvent.2012.05.003" TargetMode="External"/><Relationship Id="rId86" Type="http://schemas.openxmlformats.org/officeDocument/2006/relationships/hyperlink" Target="https://doi.org/10.4473/TPM31.2.3" TargetMode="External"/><Relationship Id="rId4" Type="http://schemas.openxmlformats.org/officeDocument/2006/relationships/settings" Target="settings.xml"/><Relationship Id="rId9" Type="http://schemas.openxmlformats.org/officeDocument/2006/relationships/hyperlink" Target="https://doi.org/10.1016/j.paid.2024.112897" TargetMode="External"/><Relationship Id="rId13" Type="http://schemas.openxmlformats.org/officeDocument/2006/relationships/hyperlink" Target="https://doi.org/10.1037/pas0001006" TargetMode="External"/><Relationship Id="rId18" Type="http://schemas.openxmlformats.org/officeDocument/2006/relationships/hyperlink" Target="https://doi.org/10.1108/IJEBR-02-2024-0095" TargetMode="External"/><Relationship Id="rId39" Type="http://schemas.openxmlformats.org/officeDocument/2006/relationships/hyperlink" Target="https://doi.org/10.1016/j.copsyc.2025.102086" TargetMode="External"/><Relationship Id="rId34" Type="http://schemas.openxmlformats.org/officeDocument/2006/relationships/hyperlink" Target="https://doi.org/10.3389/fpsyg.2024.1256721" TargetMode="External"/><Relationship Id="rId50" Type="http://schemas.openxmlformats.org/officeDocument/2006/relationships/hyperlink" Target="https://doi.org/10.1016/S0149-2063(97)90010-7" TargetMode="External"/><Relationship Id="rId55" Type="http://schemas.openxmlformats.org/officeDocument/2006/relationships/hyperlink" Target="https://doi.org/10.1111/j.1744-6570.2007.00083.x" TargetMode="External"/><Relationship Id="rId76" Type="http://schemas.openxmlformats.org/officeDocument/2006/relationships/hyperlink" Target="https://doi.org/10.3389/fpsyg.2020.00866" TargetMode="External"/><Relationship Id="rId7" Type="http://schemas.openxmlformats.org/officeDocument/2006/relationships/endnotes" Target="endnotes.xml"/><Relationship Id="rId71" Type="http://schemas.openxmlformats.org/officeDocument/2006/relationships/hyperlink" Target="https://doi.org/10.1177/10731911221124847" TargetMode="External"/><Relationship Id="rId2" Type="http://schemas.openxmlformats.org/officeDocument/2006/relationships/numbering" Target="numbering.xml"/><Relationship Id="rId29" Type="http://schemas.openxmlformats.org/officeDocument/2006/relationships/hyperlink" Target="https://doi.org/10.1037/met0000083" TargetMode="External"/><Relationship Id="rId24" Type="http://schemas.openxmlformats.org/officeDocument/2006/relationships/hyperlink" Target="https://doi.org/10.1016/j.paid.2024.112971" TargetMode="External"/><Relationship Id="rId40" Type="http://schemas.openxmlformats.org/officeDocument/2006/relationships/hyperlink" Target="https://doi.org/10.1016/S0001-8791(02)00048-9" TargetMode="External"/><Relationship Id="rId45" Type="http://schemas.openxmlformats.org/officeDocument/2006/relationships/hyperlink" Target="https://doi.org/10.14264/uql.2019.795" TargetMode="External"/><Relationship Id="rId66" Type="http://schemas.openxmlformats.org/officeDocument/2006/relationships/hyperlink" Target="https://doi.org/10.2147/PRBM.S417541" TargetMode="External"/><Relationship Id="rId87" Type="http://schemas.openxmlformats.org/officeDocument/2006/relationships/fontTable" Target="fontTable.xml"/><Relationship Id="rId61" Type="http://schemas.openxmlformats.org/officeDocument/2006/relationships/hyperlink" Target="https://doi.org/10.1080/10705510701575396" TargetMode="External"/><Relationship Id="rId82" Type="http://schemas.openxmlformats.org/officeDocument/2006/relationships/hyperlink" Target="https://doi.org/10.31234/osf.io/pr4u6_v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orcid.org/0009-0006-2690-220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6A0B6-423C-4C9E-9D71-B182D1E76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51</Pages>
  <Words>21274</Words>
  <Characters>117009</Characters>
  <Application>Microsoft Office Word</Application>
  <DocSecurity>0</DocSecurity>
  <Lines>975</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Aarón Lalupu Pulache</dc:creator>
  <cp:keywords/>
  <dc:description/>
  <cp:lastModifiedBy>James Aarón Lalupu Pulache</cp:lastModifiedBy>
  <cp:revision>21</cp:revision>
  <cp:lastPrinted>2025-12-16T18:55:00Z</cp:lastPrinted>
  <dcterms:created xsi:type="dcterms:W3CDTF">2025-12-09T01:38:00Z</dcterms:created>
  <dcterms:modified xsi:type="dcterms:W3CDTF">2025-12-16T19:12:00Z</dcterms:modified>
</cp:coreProperties>
</file>