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28F2" w14:textId="7454B373" w:rsidR="001E4987" w:rsidRPr="001E4987" w:rsidRDefault="001E4987" w:rsidP="00334635">
      <w:pPr>
        <w:rPr>
          <w:rFonts w:ascii="Times New Roman" w:hAnsi="Times New Roman"/>
          <w:sz w:val="22"/>
          <w:szCs w:val="22"/>
        </w:rPr>
      </w:pPr>
      <w:r w:rsidRPr="006E5EB3">
        <w:rPr>
          <w:rFonts w:ascii="Times New Roman" w:hAnsi="Times New Roman"/>
          <w:b/>
          <w:bCs/>
          <w:sz w:val="28"/>
          <w:szCs w:val="28"/>
          <w:lang w:val="en"/>
        </w:rPr>
        <w:t xml:space="preserve">Reviewer </w:t>
      </w:r>
      <w:r>
        <w:rPr>
          <w:rFonts w:ascii="Times New Roman" w:hAnsi="Times New Roman"/>
          <w:b/>
          <w:bCs/>
          <w:sz w:val="28"/>
          <w:szCs w:val="28"/>
          <w:lang w:val="en"/>
        </w:rPr>
        <w:t>2</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0C1820B5" w14:textId="072A6206" w:rsidR="001E4987" w:rsidRDefault="001E4987" w:rsidP="00334635">
      <w:pPr>
        <w:rPr>
          <w:rFonts w:ascii="Times New Roman" w:hAnsi="Times New Roman"/>
          <w:b/>
          <w:bCs/>
          <w:sz w:val="28"/>
          <w:szCs w:val="28"/>
          <w:lang w:val="en"/>
        </w:rPr>
      </w:pPr>
      <w:r w:rsidRPr="001E4987">
        <w:rPr>
          <w:rFonts w:ascii="Times New Roman" w:hAnsi="Times New Roman"/>
          <w:sz w:val="22"/>
          <w:szCs w:val="22"/>
        </w:rPr>
        <w:t>No</w:t>
      </w:r>
      <w:r>
        <w:rPr>
          <w:rFonts w:ascii="Times New Roman" w:hAnsi="Times New Roman"/>
          <w:sz w:val="22"/>
          <w:szCs w:val="22"/>
        </w:rPr>
        <w:t xml:space="preserve"> comments</w:t>
      </w:r>
      <w:r w:rsidR="00334635" w:rsidRPr="006E5EB3">
        <w:rPr>
          <w:rFonts w:ascii="Times New Roman" w:hAnsi="Times New Roman"/>
          <w:sz w:val="22"/>
          <w:szCs w:val="22"/>
        </w:rPr>
        <w:br/>
      </w:r>
      <w:bookmarkStart w:id="0" w:name="_xnwx0xpyymca" w:colFirst="0" w:colLast="0"/>
      <w:bookmarkEnd w:id="0"/>
    </w:p>
    <w:p w14:paraId="15AF21AD" w14:textId="321288D5" w:rsidR="00334635" w:rsidRPr="006E5EB3"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7AABABDB" w14:textId="77777777" w:rsidR="00334635" w:rsidRPr="006E5EB3" w:rsidRDefault="00334635" w:rsidP="00334635">
      <w:pPr>
        <w:rPr>
          <w:rFonts w:ascii="Times New Roman" w:hAnsi="Times New Roman"/>
          <w:b/>
          <w:bCs/>
          <w:sz w:val="22"/>
          <w:szCs w:val="22"/>
          <w:u w:val="single"/>
          <w:lang w:val="en"/>
        </w:rPr>
      </w:pPr>
      <w:bookmarkStart w:id="1" w:name="_1zljkybadnce" w:colFirst="0" w:colLast="0"/>
      <w:bookmarkEnd w:id="1"/>
      <w:r w:rsidRPr="006E5EB3">
        <w:rPr>
          <w:rFonts w:ascii="Times New Roman" w:hAnsi="Times New Roman"/>
          <w:b/>
          <w:bCs/>
          <w:sz w:val="22"/>
          <w:szCs w:val="22"/>
          <w:u w:val="single"/>
          <w:lang w:val="en"/>
        </w:rPr>
        <w:t>Major Comments</w:t>
      </w:r>
    </w:p>
    <w:p w14:paraId="26ECF1BD" w14:textId="71EE1F3A" w:rsidR="00334635" w:rsidRPr="006E5EB3" w:rsidRDefault="00557E98" w:rsidP="00557E98">
      <w:pPr>
        <w:pStyle w:val="ListParagraph"/>
        <w:numPr>
          <w:ilvl w:val="0"/>
          <w:numId w:val="1"/>
        </w:numPr>
        <w:tabs>
          <w:tab w:val="left" w:pos="180"/>
        </w:tabs>
        <w:ind w:left="180" w:hanging="450"/>
        <w:rPr>
          <w:rFonts w:ascii="Times New Roman" w:hAnsi="Times New Roman"/>
          <w:sz w:val="22"/>
          <w:szCs w:val="22"/>
          <w:lang w:val="en"/>
        </w:rPr>
      </w:pPr>
      <w:bookmarkStart w:id="2" w:name="_mflvr3wpvt7e" w:colFirst="0" w:colLast="0"/>
      <w:bookmarkEnd w:id="2"/>
      <w:r w:rsidRPr="006E5EB3">
        <w:rPr>
          <w:rFonts w:ascii="Times New Roman" w:hAnsi="Times New Roman"/>
          <w:sz w:val="22"/>
          <w:szCs w:val="22"/>
          <w:lang w:val="en"/>
        </w:rPr>
        <w:t>"</w:t>
      </w:r>
      <w:r w:rsidR="007330E3" w:rsidRPr="007330E3">
        <w:rPr>
          <w:rFonts w:ascii="Times New Roman" w:hAnsi="Times New Roman"/>
          <w:sz w:val="22"/>
          <w:szCs w:val="22"/>
          <w:lang w:val="en"/>
        </w:rPr>
        <w:t xml:space="preserve">The effectiveness of the different strategies measured is referred to throughout the manuscript and the authors have included mention of the effectiveness of distraction in the introduction of the current manuscript (p. 5), but caution should be taken as not all the studies cited in the introduction regarding distraction being more effective than reappraisal have measured this. Therefore, this should be edited to make this clearer. Also, the authors could expand this point expand to highlight that </w:t>
      </w:r>
      <w:bookmarkStart w:id="3" w:name="_Hlk160621345"/>
      <w:r w:rsidR="007330E3" w:rsidRPr="007330E3">
        <w:rPr>
          <w:rFonts w:ascii="Times New Roman" w:hAnsi="Times New Roman"/>
          <w:sz w:val="22"/>
          <w:szCs w:val="22"/>
          <w:lang w:val="en"/>
        </w:rPr>
        <w:t xml:space="preserve">distraction is thought to be more effective than reappraisal in response to high-intensity situations because it is an early selection strategy that is implemented before emotional information is represented in working memory </w:t>
      </w:r>
      <w:bookmarkEnd w:id="3"/>
      <w:r w:rsidR="007330E3" w:rsidRPr="007330E3">
        <w:rPr>
          <w:rFonts w:ascii="Times New Roman" w:hAnsi="Times New Roman"/>
          <w:sz w:val="22"/>
          <w:szCs w:val="22"/>
          <w:lang w:val="en"/>
        </w:rPr>
        <w:t>(Sheppes &amp; Gross, 2011; Sheppes et al., 2014).</w:t>
      </w:r>
      <w:r w:rsidRPr="006E5EB3">
        <w:rPr>
          <w:rFonts w:ascii="Times New Roman" w:hAnsi="Times New Roman"/>
          <w:sz w:val="22"/>
          <w:szCs w:val="22"/>
          <w:lang w:val="en"/>
        </w:rPr>
        <w:t>”</w:t>
      </w:r>
    </w:p>
    <w:p w14:paraId="6B0298D4" w14:textId="77777777" w:rsidR="00334635" w:rsidRPr="006E5EB3" w:rsidRDefault="00334635" w:rsidP="00557E98">
      <w:pPr>
        <w:tabs>
          <w:tab w:val="left" w:pos="180"/>
        </w:tabs>
        <w:ind w:left="180" w:hanging="450"/>
        <w:rPr>
          <w:rFonts w:ascii="Times New Roman" w:hAnsi="Times New Roman"/>
          <w:sz w:val="22"/>
          <w:szCs w:val="22"/>
          <w:lang w:val="en"/>
        </w:rPr>
      </w:pPr>
    </w:p>
    <w:p w14:paraId="5DADED8E" w14:textId="48D53E98" w:rsidR="00334635" w:rsidRPr="00743553" w:rsidRDefault="00557E98" w:rsidP="00037D63">
      <w:pPr>
        <w:tabs>
          <w:tab w:val="left" w:pos="180"/>
        </w:tabs>
        <w:ind w:left="450" w:hanging="450"/>
        <w:rPr>
          <w:rFonts w:ascii="Times New Roman" w:hAnsi="Times New Roman"/>
          <w:sz w:val="22"/>
          <w:szCs w:val="22"/>
          <w:lang w:val="en"/>
        </w:rPr>
      </w:pPr>
      <w:r w:rsidRPr="006E5EB3">
        <w:rPr>
          <w:rFonts w:ascii="Times New Roman" w:hAnsi="Times New Roman"/>
          <w:b/>
          <w:bCs/>
          <w:sz w:val="22"/>
          <w:szCs w:val="22"/>
          <w:lang w:val="en"/>
        </w:rPr>
        <w:tab/>
      </w:r>
      <w:r w:rsidRPr="006E5EB3">
        <w:rPr>
          <w:rFonts w:ascii="Times New Roman" w:hAnsi="Times New Roman"/>
          <w:b/>
          <w:bCs/>
          <w:sz w:val="22"/>
          <w:szCs w:val="22"/>
          <w:lang w:val="en"/>
        </w:rPr>
        <w:tab/>
      </w:r>
      <w:r w:rsidR="00334635" w:rsidRPr="006E5EB3">
        <w:rPr>
          <w:rFonts w:ascii="Times New Roman" w:hAnsi="Times New Roman"/>
          <w:b/>
          <w:bCs/>
          <w:sz w:val="22"/>
          <w:szCs w:val="22"/>
          <w:lang w:val="en"/>
        </w:rPr>
        <w:t xml:space="preserve">Our response: </w:t>
      </w:r>
      <w:r w:rsidR="00743553" w:rsidRPr="00743553">
        <w:rPr>
          <w:rFonts w:ascii="Times New Roman" w:hAnsi="Times New Roman"/>
          <w:sz w:val="22"/>
          <w:szCs w:val="22"/>
          <w:lang w:val="en"/>
        </w:rPr>
        <w:t>We</w:t>
      </w:r>
      <w:r w:rsidR="00EB1AEF">
        <w:rPr>
          <w:rFonts w:ascii="Times New Roman" w:hAnsi="Times New Roman"/>
          <w:sz w:val="22"/>
          <w:szCs w:val="22"/>
          <w:lang w:val="en"/>
        </w:rPr>
        <w:t xml:space="preserve"> have</w:t>
      </w:r>
      <w:r w:rsidR="00743553" w:rsidRPr="00743553">
        <w:rPr>
          <w:rFonts w:ascii="Times New Roman" w:hAnsi="Times New Roman"/>
          <w:sz w:val="22"/>
          <w:szCs w:val="22"/>
          <w:lang w:val="en"/>
        </w:rPr>
        <w:t xml:space="preserve"> </w:t>
      </w:r>
      <w:r w:rsidR="00743553">
        <w:rPr>
          <w:rFonts w:ascii="Times New Roman" w:hAnsi="Times New Roman"/>
          <w:sz w:val="22"/>
          <w:szCs w:val="22"/>
          <w:lang w:val="en"/>
        </w:rPr>
        <w:t xml:space="preserve">updated </w:t>
      </w:r>
      <w:r w:rsidR="00743553" w:rsidRPr="00743553">
        <w:rPr>
          <w:rFonts w:ascii="Times New Roman" w:hAnsi="Times New Roman"/>
          <w:sz w:val="22"/>
          <w:szCs w:val="22"/>
          <w:lang w:val="en"/>
        </w:rPr>
        <w:t xml:space="preserve">our discussion of strategy comparisons </w:t>
      </w:r>
      <w:r w:rsidR="00743553">
        <w:rPr>
          <w:rFonts w:ascii="Times New Roman" w:hAnsi="Times New Roman"/>
          <w:sz w:val="22"/>
          <w:szCs w:val="22"/>
          <w:lang w:val="en"/>
        </w:rPr>
        <w:t>to more clearly delineate each stud</w:t>
      </w:r>
      <w:r w:rsidR="006D7758">
        <w:rPr>
          <w:rFonts w:ascii="Times New Roman" w:hAnsi="Times New Roman"/>
          <w:sz w:val="22"/>
          <w:szCs w:val="22"/>
          <w:lang w:val="en"/>
        </w:rPr>
        <w:t>y’</w:t>
      </w:r>
      <w:r w:rsidR="00743553">
        <w:rPr>
          <w:rFonts w:ascii="Times New Roman" w:hAnsi="Times New Roman"/>
          <w:sz w:val="22"/>
          <w:szCs w:val="22"/>
          <w:lang w:val="en"/>
        </w:rPr>
        <w:t>s focus and contributions to the topic.</w:t>
      </w:r>
      <w:r w:rsidR="00743553">
        <w:rPr>
          <w:rFonts w:ascii="Times New Roman" w:hAnsi="Times New Roman"/>
          <w:b/>
          <w:bCs/>
          <w:sz w:val="22"/>
          <w:szCs w:val="22"/>
          <w:lang w:val="en"/>
        </w:rPr>
        <w:t xml:space="preserve"> </w:t>
      </w:r>
      <w:r w:rsidR="00743553" w:rsidRPr="00743553">
        <w:rPr>
          <w:rFonts w:ascii="Times New Roman" w:hAnsi="Times New Roman"/>
          <w:sz w:val="22"/>
          <w:szCs w:val="22"/>
          <w:lang w:val="en"/>
        </w:rPr>
        <w:t>Our discussion on Page 5 now reads: “This supposition is bolstered by the especially robust influence of emotional intensity upon strategy choice, as distraction is chosen more often (Hay et al., 2015; Orejuela-Dávila et al., 2019; Sheppes et al., 2011; Young &amp; Suri, 2020) and is more effective (Shafir et al., 2016) than reappraisal in response to high intensity stimuli</w:t>
      </w:r>
      <w:r w:rsidR="00743553">
        <w:rPr>
          <w:rFonts w:ascii="Times New Roman" w:hAnsi="Times New Roman"/>
          <w:sz w:val="22"/>
          <w:szCs w:val="22"/>
          <w:lang w:val="en"/>
        </w:rPr>
        <w:t xml:space="preserve"> …”</w:t>
      </w:r>
      <w:r w:rsidR="006D7758">
        <w:rPr>
          <w:rFonts w:ascii="Times New Roman" w:hAnsi="Times New Roman"/>
          <w:sz w:val="22"/>
          <w:szCs w:val="22"/>
          <w:lang w:val="en"/>
        </w:rPr>
        <w:t>. We additionally added the recommended point about the proposed mechanism through which distraction is more effective: “…</w:t>
      </w:r>
      <w:r w:rsidR="00743553" w:rsidRPr="00743553">
        <w:rPr>
          <w:rFonts w:ascii="Times New Roman" w:hAnsi="Times New Roman"/>
          <w:sz w:val="22"/>
          <w:szCs w:val="22"/>
          <w:lang w:val="en"/>
        </w:rPr>
        <w:t xml:space="preserve"> at least in part because it can be deployed before relevant emotional information has been represented in working memory (Sheppes et al., 2014; Sheppes &amp; Gross, 2011) and requires fewer cognitive resources (Dorman Ilan et al., 2019).”</w:t>
      </w:r>
    </w:p>
    <w:p w14:paraId="10EEB649" w14:textId="77777777" w:rsidR="00557E98" w:rsidRPr="006E5EB3" w:rsidRDefault="00557E98" w:rsidP="00557E98">
      <w:pPr>
        <w:tabs>
          <w:tab w:val="left" w:pos="180"/>
        </w:tabs>
        <w:ind w:left="180" w:hanging="450"/>
        <w:rPr>
          <w:rFonts w:ascii="Times New Roman" w:hAnsi="Times New Roman"/>
          <w:b/>
          <w:bCs/>
          <w:sz w:val="22"/>
          <w:szCs w:val="22"/>
          <w:lang w:val="en"/>
        </w:rPr>
      </w:pPr>
    </w:p>
    <w:p w14:paraId="40D8CC07" w14:textId="4BF672BF"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The rationale for why participants were asked to avoid sharing thoughts, reactions and experiences with other participants and to act and react as naturally as possible without interacting with each other in Study 1 (p. 14) should be explicitly stated. This is because it could be argued that interacting with others might be a way of regulating one's own emotions when experiencing a shared situation, like the participants are in Study 1.</w:t>
      </w:r>
      <w:r w:rsidR="00557E98" w:rsidRPr="006E5EB3">
        <w:rPr>
          <w:rFonts w:ascii="Times New Roman" w:hAnsi="Times New Roman"/>
          <w:sz w:val="22"/>
          <w:szCs w:val="22"/>
          <w:lang w:val="en"/>
        </w:rPr>
        <w:t>”</w:t>
      </w:r>
    </w:p>
    <w:p w14:paraId="5818109E" w14:textId="77777777" w:rsidR="00557E98" w:rsidRPr="006E5EB3" w:rsidRDefault="00557E98" w:rsidP="00557E98">
      <w:pPr>
        <w:pStyle w:val="ListParagraph"/>
        <w:tabs>
          <w:tab w:val="left" w:pos="180"/>
        </w:tabs>
        <w:rPr>
          <w:rFonts w:ascii="Times New Roman" w:hAnsi="Times New Roman"/>
          <w:sz w:val="22"/>
          <w:szCs w:val="22"/>
          <w:lang w:val="en"/>
        </w:rPr>
      </w:pPr>
    </w:p>
    <w:p w14:paraId="331058E3" w14:textId="1A1A2479" w:rsidR="00557E98" w:rsidRPr="006D7758" w:rsidRDefault="00557E98" w:rsidP="006F1DBE">
      <w:pPr>
        <w:tabs>
          <w:tab w:val="left" w:pos="180"/>
        </w:tabs>
        <w:ind w:left="450" w:hanging="450"/>
        <w:rPr>
          <w:rFonts w:ascii="Times New Roman" w:hAnsi="Times New Roman"/>
          <w:sz w:val="22"/>
          <w:szCs w:val="22"/>
          <w:lang w:val="en"/>
        </w:rPr>
      </w:pPr>
      <w:r w:rsidRPr="006E5EB3">
        <w:rPr>
          <w:rFonts w:ascii="Times New Roman" w:hAnsi="Times New Roman"/>
          <w:b/>
          <w:bCs/>
          <w:sz w:val="22"/>
          <w:szCs w:val="22"/>
          <w:lang w:val="en"/>
        </w:rPr>
        <w:tab/>
      </w:r>
      <w:r w:rsidR="006F1DBE" w:rsidRPr="006E5EB3">
        <w:rPr>
          <w:rFonts w:ascii="Times New Roman" w:hAnsi="Times New Roman"/>
          <w:b/>
          <w:bCs/>
          <w:sz w:val="22"/>
          <w:szCs w:val="22"/>
          <w:lang w:val="en"/>
        </w:rPr>
        <w:t xml:space="preserve">     </w:t>
      </w:r>
      <w:r w:rsidRPr="006E5EB3">
        <w:rPr>
          <w:rFonts w:ascii="Times New Roman" w:hAnsi="Times New Roman"/>
          <w:b/>
          <w:bCs/>
          <w:sz w:val="22"/>
          <w:szCs w:val="22"/>
          <w:lang w:val="en"/>
        </w:rPr>
        <w:t xml:space="preserve">Our response: </w:t>
      </w:r>
      <w:r w:rsidR="006D7758">
        <w:rPr>
          <w:rFonts w:ascii="Times New Roman" w:hAnsi="Times New Roman"/>
          <w:sz w:val="22"/>
          <w:szCs w:val="22"/>
          <w:lang w:val="en"/>
        </w:rPr>
        <w:t xml:space="preserve">Thank you for highlighting this. We have elaborated </w:t>
      </w:r>
      <w:r w:rsidR="00C22E03">
        <w:rPr>
          <w:rFonts w:ascii="Times New Roman" w:hAnsi="Times New Roman"/>
          <w:sz w:val="22"/>
          <w:szCs w:val="22"/>
          <w:lang w:val="en"/>
        </w:rPr>
        <w:t xml:space="preserve">further, noting that we wanted to avoid participants influencing one another’s affective assessments and memories of the events before they could be recorded and that the design was not setup well to study social support as an emotion regulation strategy. </w:t>
      </w:r>
    </w:p>
    <w:p w14:paraId="77CCAEC3" w14:textId="77777777" w:rsidR="007330E3" w:rsidRPr="006E5EB3" w:rsidRDefault="007330E3" w:rsidP="006F1DBE">
      <w:pPr>
        <w:tabs>
          <w:tab w:val="left" w:pos="180"/>
        </w:tabs>
        <w:ind w:left="450" w:hanging="450"/>
        <w:rPr>
          <w:rFonts w:ascii="Times New Roman" w:hAnsi="Times New Roman"/>
          <w:b/>
          <w:bCs/>
          <w:sz w:val="22"/>
          <w:szCs w:val="22"/>
          <w:lang w:val="en"/>
        </w:rPr>
      </w:pPr>
    </w:p>
    <w:p w14:paraId="70DC8007" w14:textId="28DB4F74" w:rsidR="00557E98" w:rsidRPr="006E5EB3" w:rsidRDefault="00D84465" w:rsidP="00557E98">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It is great to see the inclusion of the third study which compares experiencers and forecasters strategy use and prediction respectively. My understanding is that in this study, all participants watched the video clips and then those in the experiencer condition were asked to report which strategy (if any) they used to regulate their emotions and those in the forecaster condition were asked to predict what strategy they thought the average person would use to regulate their emotions in response to the video they had watched. Firstly, for those in the forecaster condition, why were they also exposed to the stimuli instead of a description (like in Study 2)? As they experienced the stimuli, I am hesitant about the differences between the experiencer and forecaster conditions that were identified and I think this point should be discussed within the manuscript</w:t>
      </w:r>
      <w:proofErr w:type="gramStart"/>
      <w:r w:rsidR="007330E3" w:rsidRPr="007330E3">
        <w:rPr>
          <w:rFonts w:ascii="Times New Roman" w:hAnsi="Times New Roman"/>
          <w:sz w:val="22"/>
          <w:szCs w:val="22"/>
          <w:lang w:val="en"/>
        </w:rPr>
        <w:t>.</w:t>
      </w:r>
      <w:r w:rsidR="00557E98" w:rsidRPr="006E5EB3">
        <w:rPr>
          <w:rFonts w:ascii="Times New Roman" w:hAnsi="Times New Roman"/>
          <w:sz w:val="22"/>
          <w:szCs w:val="22"/>
          <w:lang w:val="en"/>
        </w:rPr>
        <w:t xml:space="preserve"> ”</w:t>
      </w:r>
      <w:proofErr w:type="gramEnd"/>
    </w:p>
    <w:p w14:paraId="562884F4" w14:textId="77777777" w:rsidR="00557E98" w:rsidRPr="006E5EB3" w:rsidRDefault="00557E98" w:rsidP="00557E98">
      <w:pPr>
        <w:pStyle w:val="ListParagraph"/>
        <w:tabs>
          <w:tab w:val="left" w:pos="180"/>
        </w:tabs>
        <w:rPr>
          <w:rFonts w:ascii="Times New Roman" w:hAnsi="Times New Roman"/>
          <w:sz w:val="22"/>
          <w:szCs w:val="22"/>
          <w:lang w:val="en"/>
        </w:rPr>
      </w:pPr>
    </w:p>
    <w:p w14:paraId="469B9905" w14:textId="2FD67867" w:rsidR="00A93733" w:rsidRPr="006E5EB3" w:rsidRDefault="006F1DBE" w:rsidP="007330E3">
      <w:pPr>
        <w:pStyle w:val="ListParagraph"/>
        <w:tabs>
          <w:tab w:val="left" w:pos="270"/>
          <w:tab w:val="left" w:pos="540"/>
        </w:tabs>
        <w:ind w:left="450" w:hanging="270"/>
        <w:rPr>
          <w:rFonts w:ascii="Times New Roman" w:hAnsi="Times New Roman"/>
          <w:sz w:val="22"/>
          <w:szCs w:val="22"/>
          <w:lang w:val="en"/>
        </w:rPr>
      </w:pPr>
      <w:r w:rsidRPr="006E5EB3">
        <w:rPr>
          <w:rFonts w:ascii="Times New Roman" w:hAnsi="Times New Roman"/>
          <w:b/>
          <w:bCs/>
          <w:sz w:val="22"/>
          <w:szCs w:val="22"/>
          <w:lang w:val="en"/>
        </w:rPr>
        <w:t xml:space="preserve">     </w:t>
      </w:r>
      <w:r w:rsidR="00557E98" w:rsidRPr="006E5EB3">
        <w:rPr>
          <w:rFonts w:ascii="Times New Roman" w:hAnsi="Times New Roman"/>
          <w:b/>
          <w:bCs/>
          <w:sz w:val="22"/>
          <w:szCs w:val="22"/>
          <w:lang w:val="en"/>
        </w:rPr>
        <w:t>Our response:</w:t>
      </w:r>
      <w:r w:rsidRPr="006E5EB3">
        <w:rPr>
          <w:rFonts w:ascii="Times New Roman" w:hAnsi="Times New Roman"/>
          <w:sz w:val="22"/>
          <w:szCs w:val="22"/>
          <w:lang w:val="en"/>
        </w:rPr>
        <w:t xml:space="preserve"> </w:t>
      </w:r>
      <w:r w:rsidR="006B6DAE">
        <w:rPr>
          <w:rFonts w:ascii="Times New Roman" w:hAnsi="Times New Roman"/>
          <w:sz w:val="22"/>
          <w:szCs w:val="22"/>
          <w:lang w:val="en"/>
        </w:rPr>
        <w:t xml:space="preserve">Thanks for asking this question. From our perspective, a hurdle in comparing the results of Study 1 and Study 2 was that not only were participants engaging in (potentially) different regulation processes (i.e., forecasting v. usage), but that what they were deploying these processes in response to differed as well (i.e., haunted house v. descriptions of haunted house). By keeping the stimulus constant, we </w:t>
      </w:r>
      <w:r w:rsidR="00EB1AEF">
        <w:rPr>
          <w:rFonts w:ascii="Times New Roman" w:hAnsi="Times New Roman"/>
          <w:sz w:val="22"/>
          <w:szCs w:val="22"/>
          <w:lang w:val="en"/>
        </w:rPr>
        <w:t>intended to</w:t>
      </w:r>
      <w:r w:rsidR="008F650A">
        <w:rPr>
          <w:rFonts w:ascii="Times New Roman" w:hAnsi="Times New Roman"/>
          <w:sz w:val="22"/>
          <w:szCs w:val="22"/>
          <w:lang w:val="en"/>
        </w:rPr>
        <w:t xml:space="preserve"> isolate differences in </w:t>
      </w:r>
      <w:r w:rsidR="009413D3">
        <w:rPr>
          <w:rFonts w:ascii="Times New Roman" w:hAnsi="Times New Roman"/>
          <w:sz w:val="22"/>
          <w:szCs w:val="22"/>
          <w:lang w:val="en"/>
        </w:rPr>
        <w:t xml:space="preserve">forecasting what one would do (or would have done) in an emotion eliciting situation with what one </w:t>
      </w:r>
      <w:proofErr w:type="gramStart"/>
      <w:r w:rsidR="009413D3">
        <w:rPr>
          <w:rFonts w:ascii="Times New Roman" w:hAnsi="Times New Roman"/>
          <w:sz w:val="22"/>
          <w:szCs w:val="22"/>
          <w:lang w:val="en"/>
        </w:rPr>
        <w:t>actually did</w:t>
      </w:r>
      <w:proofErr w:type="gramEnd"/>
      <w:r w:rsidR="009413D3">
        <w:rPr>
          <w:rFonts w:ascii="Times New Roman" w:hAnsi="Times New Roman"/>
          <w:sz w:val="22"/>
          <w:szCs w:val="22"/>
          <w:lang w:val="en"/>
        </w:rPr>
        <w:t xml:space="preserve"> do in the same situation</w:t>
      </w:r>
      <w:r w:rsidR="008F650A">
        <w:rPr>
          <w:rFonts w:ascii="Times New Roman" w:hAnsi="Times New Roman"/>
          <w:sz w:val="22"/>
          <w:szCs w:val="22"/>
          <w:lang w:val="en"/>
        </w:rPr>
        <w:t>.</w:t>
      </w:r>
      <w:r w:rsidR="00EB1AEF">
        <w:rPr>
          <w:rFonts w:ascii="Times New Roman" w:hAnsi="Times New Roman"/>
          <w:sz w:val="22"/>
          <w:szCs w:val="22"/>
          <w:lang w:val="en"/>
        </w:rPr>
        <w:t xml:space="preserve"> While we could have </w:t>
      </w:r>
      <w:r w:rsidR="009413D3">
        <w:rPr>
          <w:rFonts w:ascii="Times New Roman" w:hAnsi="Times New Roman"/>
          <w:sz w:val="22"/>
          <w:szCs w:val="22"/>
          <w:lang w:val="en"/>
        </w:rPr>
        <w:t xml:space="preserve">varied </w:t>
      </w:r>
      <w:r w:rsidR="00EB1AEF">
        <w:rPr>
          <w:rFonts w:ascii="Times New Roman" w:hAnsi="Times New Roman"/>
          <w:sz w:val="22"/>
          <w:szCs w:val="22"/>
          <w:lang w:val="en"/>
        </w:rPr>
        <w:t xml:space="preserve">the stimuli between the conditions again as well, we believe we would have </w:t>
      </w:r>
      <w:proofErr w:type="gramStart"/>
      <w:r w:rsidR="00EB1AEF">
        <w:rPr>
          <w:rFonts w:ascii="Times New Roman" w:hAnsi="Times New Roman"/>
          <w:sz w:val="22"/>
          <w:szCs w:val="22"/>
          <w:lang w:val="en"/>
        </w:rPr>
        <w:t>ran</w:t>
      </w:r>
      <w:proofErr w:type="gramEnd"/>
      <w:r w:rsidR="00EB1AEF">
        <w:rPr>
          <w:rFonts w:ascii="Times New Roman" w:hAnsi="Times New Roman"/>
          <w:sz w:val="22"/>
          <w:szCs w:val="22"/>
          <w:lang w:val="en"/>
        </w:rPr>
        <w:t xml:space="preserve"> into </w:t>
      </w:r>
      <w:r w:rsidR="00EB1AEF">
        <w:rPr>
          <w:rFonts w:ascii="Times New Roman" w:hAnsi="Times New Roman"/>
          <w:sz w:val="22"/>
          <w:szCs w:val="22"/>
          <w:lang w:val="en"/>
        </w:rPr>
        <w:lastRenderedPageBreak/>
        <w:t>a similar issue regarding the magnitude of confounds present</w:t>
      </w:r>
      <w:r w:rsidR="009413D3">
        <w:rPr>
          <w:rFonts w:ascii="Times New Roman" w:hAnsi="Times New Roman"/>
          <w:sz w:val="22"/>
          <w:szCs w:val="22"/>
          <w:lang w:val="en"/>
        </w:rPr>
        <w:t>, which we felt</w:t>
      </w:r>
      <w:r w:rsidR="009D54E9">
        <w:rPr>
          <w:rFonts w:ascii="Times New Roman" w:hAnsi="Times New Roman"/>
          <w:sz w:val="22"/>
          <w:szCs w:val="22"/>
          <w:lang w:val="en"/>
        </w:rPr>
        <w:t xml:space="preserve"> limi</w:t>
      </w:r>
      <w:r w:rsidR="009413D3">
        <w:rPr>
          <w:rFonts w:ascii="Times New Roman" w:hAnsi="Times New Roman"/>
          <w:sz w:val="22"/>
          <w:szCs w:val="22"/>
          <w:lang w:val="en"/>
        </w:rPr>
        <w:t>ted</w:t>
      </w:r>
      <w:r w:rsidR="009D54E9">
        <w:rPr>
          <w:rFonts w:ascii="Times New Roman" w:hAnsi="Times New Roman"/>
          <w:sz w:val="22"/>
          <w:szCs w:val="22"/>
          <w:lang w:val="en"/>
        </w:rPr>
        <w:t xml:space="preserve"> our conclusions</w:t>
      </w:r>
      <w:r w:rsidR="00EB1AEF">
        <w:rPr>
          <w:rFonts w:ascii="Times New Roman" w:hAnsi="Times New Roman"/>
          <w:sz w:val="22"/>
          <w:szCs w:val="22"/>
          <w:lang w:val="en"/>
        </w:rPr>
        <w:t xml:space="preserve">. Additionally, we could have </w:t>
      </w:r>
      <w:r w:rsidR="009413D3">
        <w:rPr>
          <w:rFonts w:ascii="Times New Roman" w:hAnsi="Times New Roman"/>
          <w:sz w:val="22"/>
          <w:szCs w:val="22"/>
          <w:lang w:val="en"/>
        </w:rPr>
        <w:t xml:space="preserve">varied </w:t>
      </w:r>
      <w:r w:rsidR="00EB1AEF">
        <w:rPr>
          <w:rFonts w:ascii="Times New Roman" w:hAnsi="Times New Roman"/>
          <w:sz w:val="22"/>
          <w:szCs w:val="22"/>
          <w:lang w:val="en"/>
        </w:rPr>
        <w:t>the stimuli while keeping the regulation</w:t>
      </w:r>
      <w:r w:rsidR="009413D3">
        <w:rPr>
          <w:rFonts w:ascii="Times New Roman" w:hAnsi="Times New Roman"/>
          <w:sz w:val="22"/>
          <w:szCs w:val="22"/>
          <w:lang w:val="en"/>
        </w:rPr>
        <w:t xml:space="preserve"> perspective</w:t>
      </w:r>
      <w:r w:rsidR="00EB1AEF">
        <w:rPr>
          <w:rFonts w:ascii="Times New Roman" w:hAnsi="Times New Roman"/>
          <w:sz w:val="22"/>
          <w:szCs w:val="22"/>
          <w:lang w:val="en"/>
        </w:rPr>
        <w:t xml:space="preserve"> process the same (i.e., forecasting to descriptions v. forecasting to experiences), but we </w:t>
      </w:r>
      <w:r w:rsidR="00BD69A0">
        <w:rPr>
          <w:rFonts w:ascii="Times New Roman" w:hAnsi="Times New Roman"/>
          <w:sz w:val="22"/>
          <w:szCs w:val="22"/>
          <w:lang w:val="en"/>
        </w:rPr>
        <w:t>considered this to be tangential to our primary research question (how emotion regulation strategies are used during “</w:t>
      </w:r>
      <w:r w:rsidR="00BD69A0" w:rsidRPr="009D54E9">
        <w:rPr>
          <w:rFonts w:ascii="Times New Roman" w:hAnsi="Times New Roman"/>
          <w:sz w:val="22"/>
          <w:szCs w:val="22"/>
          <w:lang w:val="en"/>
        </w:rPr>
        <w:t>complex, multimodal events</w:t>
      </w:r>
      <w:r w:rsidR="00BD69A0">
        <w:rPr>
          <w:rFonts w:ascii="Times New Roman" w:hAnsi="Times New Roman"/>
          <w:sz w:val="22"/>
          <w:szCs w:val="22"/>
          <w:lang w:val="en"/>
        </w:rPr>
        <w:t xml:space="preserve">” )  – though potentially an interesting alternative project in its own right </w:t>
      </w:r>
      <w:r w:rsidR="009D54E9">
        <w:rPr>
          <w:rFonts w:ascii="Times New Roman" w:hAnsi="Times New Roman"/>
          <w:sz w:val="22"/>
          <w:szCs w:val="22"/>
          <w:lang w:val="en"/>
        </w:rPr>
        <w:t xml:space="preserve">The event descriptions </w:t>
      </w:r>
      <w:r w:rsidR="00BD69A0">
        <w:rPr>
          <w:rFonts w:ascii="Times New Roman" w:hAnsi="Times New Roman"/>
          <w:sz w:val="22"/>
          <w:szCs w:val="22"/>
          <w:lang w:val="en"/>
        </w:rPr>
        <w:t xml:space="preserve">in Study 2 </w:t>
      </w:r>
      <w:r w:rsidR="009D54E9">
        <w:rPr>
          <w:rFonts w:ascii="Times New Roman" w:hAnsi="Times New Roman"/>
          <w:sz w:val="22"/>
          <w:szCs w:val="22"/>
          <w:lang w:val="en"/>
        </w:rPr>
        <w:t>served the purpose of acting as a contrast to the haunted house experiences because of the noted limitations of that preliminary study</w:t>
      </w:r>
      <w:r w:rsidR="00EB1AEF">
        <w:rPr>
          <w:rFonts w:ascii="Times New Roman" w:hAnsi="Times New Roman"/>
          <w:sz w:val="22"/>
          <w:szCs w:val="22"/>
          <w:lang w:val="en"/>
        </w:rPr>
        <w:t xml:space="preserve">. </w:t>
      </w:r>
      <w:r w:rsidR="00EB1AEF">
        <w:rPr>
          <w:rFonts w:ascii="Times New Roman" w:hAnsi="Times New Roman"/>
          <w:sz w:val="22"/>
          <w:szCs w:val="22"/>
          <w:lang w:val="en"/>
        </w:rPr>
        <w:br/>
      </w:r>
      <w:r w:rsidR="00EB1AEF">
        <w:rPr>
          <w:rFonts w:ascii="Times New Roman" w:hAnsi="Times New Roman"/>
          <w:sz w:val="22"/>
          <w:szCs w:val="22"/>
          <w:lang w:val="en"/>
        </w:rPr>
        <w:br/>
      </w:r>
      <w:r w:rsidR="008F650A">
        <w:rPr>
          <w:rFonts w:ascii="Times New Roman" w:hAnsi="Times New Roman"/>
          <w:sz w:val="22"/>
          <w:szCs w:val="22"/>
          <w:lang w:val="en"/>
        </w:rPr>
        <w:t xml:space="preserve">We </w:t>
      </w:r>
      <w:r w:rsidR="00EB1AEF">
        <w:rPr>
          <w:rFonts w:ascii="Times New Roman" w:hAnsi="Times New Roman"/>
          <w:sz w:val="22"/>
          <w:szCs w:val="22"/>
          <w:lang w:val="en"/>
        </w:rPr>
        <w:t xml:space="preserve">have </w:t>
      </w:r>
      <w:r w:rsidR="008F650A">
        <w:rPr>
          <w:rFonts w:ascii="Times New Roman" w:hAnsi="Times New Roman"/>
          <w:sz w:val="22"/>
          <w:szCs w:val="22"/>
          <w:lang w:val="en"/>
        </w:rPr>
        <w:t xml:space="preserve">added an additional discussion in the limitations to note constraints </w:t>
      </w:r>
      <w:r w:rsidR="00EB1AEF">
        <w:rPr>
          <w:rFonts w:ascii="Times New Roman" w:hAnsi="Times New Roman"/>
          <w:sz w:val="22"/>
          <w:szCs w:val="22"/>
          <w:lang w:val="en"/>
        </w:rPr>
        <w:t xml:space="preserve">inherent to the </w:t>
      </w:r>
      <w:r w:rsidR="008F650A">
        <w:rPr>
          <w:rFonts w:ascii="Times New Roman" w:hAnsi="Times New Roman"/>
          <w:sz w:val="22"/>
          <w:szCs w:val="22"/>
          <w:lang w:val="en"/>
        </w:rPr>
        <w:t xml:space="preserve">study design </w:t>
      </w:r>
      <w:r w:rsidR="00EB1AEF">
        <w:rPr>
          <w:rFonts w:ascii="Times New Roman" w:hAnsi="Times New Roman"/>
          <w:sz w:val="22"/>
          <w:szCs w:val="22"/>
          <w:lang w:val="en"/>
        </w:rPr>
        <w:t xml:space="preserve">that we chose </w:t>
      </w:r>
      <w:r w:rsidR="008F650A">
        <w:rPr>
          <w:rFonts w:ascii="Times New Roman" w:hAnsi="Times New Roman"/>
          <w:sz w:val="22"/>
          <w:szCs w:val="22"/>
          <w:lang w:val="en"/>
        </w:rPr>
        <w:t>(i.e., Forecasters experienced stimulus, etc.) to meet your concerns</w:t>
      </w:r>
      <w:r w:rsidR="00EB1AEF">
        <w:rPr>
          <w:rFonts w:ascii="Times New Roman" w:hAnsi="Times New Roman"/>
          <w:sz w:val="22"/>
          <w:szCs w:val="22"/>
          <w:lang w:val="en"/>
        </w:rPr>
        <w:t>. Your comment also highlighted that the labels we originally chose in Study 2 (i.e., experiencers and forecasters)</w:t>
      </w:r>
      <w:r w:rsidR="008C6717">
        <w:rPr>
          <w:rFonts w:ascii="Times New Roman" w:hAnsi="Times New Roman"/>
          <w:sz w:val="22"/>
          <w:szCs w:val="22"/>
          <w:lang w:val="en"/>
        </w:rPr>
        <w:t xml:space="preserve"> </w:t>
      </w:r>
      <w:r w:rsidR="00EB1AEF">
        <w:rPr>
          <w:rFonts w:ascii="Times New Roman" w:hAnsi="Times New Roman"/>
          <w:sz w:val="22"/>
          <w:szCs w:val="22"/>
          <w:lang w:val="en"/>
        </w:rPr>
        <w:t>do not fit the design of Study 3 as well as we would like. As such, we’ve revised these labels throughout the manuscript, such that “experiencers” are now labeled as “Strategy Users” and forecasters are still “Strategy Forecasters. Believe that this framing is more consistent, simple, easier to follow, and representative of the focus of these studies.</w:t>
      </w:r>
    </w:p>
    <w:p w14:paraId="3FCB86A2" w14:textId="5BAEB8A1" w:rsidR="00D84465" w:rsidRPr="006E5EB3" w:rsidRDefault="00120348" w:rsidP="00D84465">
      <w:pPr>
        <w:pStyle w:val="ListParagraph"/>
        <w:tabs>
          <w:tab w:val="left" w:pos="180"/>
        </w:tabs>
        <w:ind w:left="180"/>
        <w:rPr>
          <w:rFonts w:ascii="Times New Roman" w:hAnsi="Times New Roman"/>
          <w:sz w:val="22"/>
          <w:szCs w:val="22"/>
          <w:lang w:val="en"/>
        </w:rPr>
      </w:pPr>
      <w:r>
        <w:rPr>
          <w:rFonts w:ascii="Times New Roman" w:hAnsi="Times New Roman"/>
          <w:sz w:val="22"/>
          <w:szCs w:val="22"/>
          <w:lang w:val="en"/>
        </w:rPr>
        <w:t xml:space="preserve"> </w:t>
      </w:r>
    </w:p>
    <w:p w14:paraId="56B17ACD" w14:textId="67C484BB" w:rsidR="00557E98" w:rsidRPr="007330E3" w:rsidRDefault="00D84465" w:rsidP="007330E3">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Additionally, in Study 3, there seems to be a discrepancy between what participants are being asked to do (i.e., predict which strategy they think they average person would have used) and the reminders they received about the strategies. More specifically, participants were asked to select which strategy they predict the average person would use, whereas the reminders seem to suggest they are selecting the strategy that the average person should use. There are differences between what people think they should do and what they would do - for example, when regulating emotions after a stressful day people may think they should do one thing (e.g., go for a run to clear their mind) but what they actually do might be different (e.g., treat themselves to a glass of wine). Thus, it is possible that these differences in language could have impacted the responses the participants gave in this condition and is a methodological limitation of the current work and therefore could</w:t>
      </w:r>
      <w:r w:rsidR="007330E3">
        <w:rPr>
          <w:rFonts w:ascii="Times New Roman" w:hAnsi="Times New Roman"/>
          <w:sz w:val="22"/>
          <w:szCs w:val="22"/>
          <w:lang w:val="en"/>
        </w:rPr>
        <w:t xml:space="preserve"> </w:t>
      </w:r>
      <w:r w:rsidR="007330E3" w:rsidRPr="007330E3">
        <w:rPr>
          <w:rFonts w:ascii="Times New Roman" w:hAnsi="Times New Roman"/>
          <w:sz w:val="22"/>
          <w:szCs w:val="22"/>
          <w:lang w:val="en"/>
        </w:rPr>
        <w:t>explain the differences found and thus at least warrant discussion.</w:t>
      </w:r>
      <w:r w:rsidR="00557E98" w:rsidRPr="007330E3">
        <w:rPr>
          <w:rFonts w:ascii="Times New Roman" w:hAnsi="Times New Roman"/>
          <w:sz w:val="22"/>
          <w:szCs w:val="22"/>
          <w:lang w:val="en"/>
        </w:rPr>
        <w:t>”</w:t>
      </w:r>
    </w:p>
    <w:p w14:paraId="71C0F146" w14:textId="77777777" w:rsidR="00557E98" w:rsidRPr="006E5EB3" w:rsidRDefault="00557E98" w:rsidP="00557E98">
      <w:pPr>
        <w:pStyle w:val="ListParagraph"/>
        <w:tabs>
          <w:tab w:val="left" w:pos="180"/>
        </w:tabs>
        <w:rPr>
          <w:rFonts w:ascii="Times New Roman" w:hAnsi="Times New Roman"/>
          <w:sz w:val="22"/>
          <w:szCs w:val="22"/>
          <w:lang w:val="en"/>
        </w:rPr>
      </w:pPr>
    </w:p>
    <w:p w14:paraId="3D25EAF2" w14:textId="4F94A45E" w:rsidR="00557E98" w:rsidRPr="008F650A" w:rsidRDefault="00557E98" w:rsidP="006F1DBE">
      <w:pPr>
        <w:pStyle w:val="ListParagraph"/>
        <w:tabs>
          <w:tab w:val="left" w:pos="540"/>
        </w:tabs>
        <w:ind w:left="540"/>
        <w:rPr>
          <w:rFonts w:ascii="Times New Roman" w:hAnsi="Times New Roman"/>
          <w:sz w:val="22"/>
          <w:szCs w:val="22"/>
          <w:lang w:val="en"/>
        </w:rPr>
      </w:pPr>
      <w:r w:rsidRPr="006E5EB3">
        <w:rPr>
          <w:rFonts w:ascii="Times New Roman" w:hAnsi="Times New Roman"/>
          <w:b/>
          <w:bCs/>
          <w:sz w:val="22"/>
          <w:szCs w:val="22"/>
          <w:lang w:val="en"/>
        </w:rPr>
        <w:t>Our response:</w:t>
      </w:r>
      <w:r w:rsidR="006F1DBE" w:rsidRPr="006E5EB3">
        <w:rPr>
          <w:rFonts w:ascii="Times New Roman" w:hAnsi="Times New Roman"/>
          <w:sz w:val="22"/>
          <w:szCs w:val="22"/>
          <w:lang w:val="en"/>
        </w:rPr>
        <w:t xml:space="preserve"> </w:t>
      </w:r>
      <w:r w:rsidR="008F650A">
        <w:rPr>
          <w:rFonts w:ascii="Times New Roman" w:hAnsi="Times New Roman"/>
          <w:sz w:val="22"/>
          <w:szCs w:val="22"/>
          <w:lang w:val="en"/>
        </w:rPr>
        <w:t xml:space="preserve">Thank you for noting this. We agree </w:t>
      </w:r>
      <w:r w:rsidR="00EB1AEF">
        <w:rPr>
          <w:rFonts w:ascii="Times New Roman" w:hAnsi="Times New Roman"/>
          <w:sz w:val="22"/>
          <w:szCs w:val="22"/>
          <w:lang w:val="en"/>
        </w:rPr>
        <w:t>that this is a potential issue and have followed your suggestion to discuss</w:t>
      </w:r>
      <w:r w:rsidR="008F650A">
        <w:rPr>
          <w:rFonts w:ascii="Times New Roman" w:hAnsi="Times New Roman"/>
          <w:sz w:val="22"/>
          <w:szCs w:val="22"/>
          <w:lang w:val="en"/>
        </w:rPr>
        <w:t xml:space="preserve"> </w:t>
      </w:r>
      <w:r w:rsidR="00EB1AEF">
        <w:rPr>
          <w:rFonts w:ascii="Times New Roman" w:hAnsi="Times New Roman"/>
          <w:sz w:val="22"/>
          <w:szCs w:val="22"/>
          <w:lang w:val="en"/>
        </w:rPr>
        <w:t xml:space="preserve">how </w:t>
      </w:r>
      <w:proofErr w:type="gramStart"/>
      <w:r w:rsidR="00EB1AEF">
        <w:rPr>
          <w:rFonts w:ascii="Times New Roman" w:hAnsi="Times New Roman"/>
          <w:sz w:val="22"/>
          <w:szCs w:val="22"/>
          <w:lang w:val="en"/>
        </w:rPr>
        <w:t>this limits</w:t>
      </w:r>
      <w:proofErr w:type="gramEnd"/>
      <w:r w:rsidR="00EB1AEF">
        <w:rPr>
          <w:rFonts w:ascii="Times New Roman" w:hAnsi="Times New Roman"/>
          <w:sz w:val="22"/>
          <w:szCs w:val="22"/>
          <w:lang w:val="en"/>
        </w:rPr>
        <w:t xml:space="preserve"> our interpretation of the results</w:t>
      </w:r>
      <w:r w:rsidR="008F650A">
        <w:rPr>
          <w:rFonts w:ascii="Times New Roman" w:hAnsi="Times New Roman"/>
          <w:sz w:val="22"/>
          <w:szCs w:val="22"/>
          <w:lang w:val="en"/>
        </w:rPr>
        <w:t xml:space="preserve"> in the aforementioned addition to the limitation section.</w:t>
      </w:r>
    </w:p>
    <w:p w14:paraId="7ADAAD46" w14:textId="77777777" w:rsidR="00D84465" w:rsidRPr="006E5EB3" w:rsidRDefault="00D84465" w:rsidP="00D84465">
      <w:pPr>
        <w:pStyle w:val="ListParagraph"/>
        <w:tabs>
          <w:tab w:val="left" w:pos="180"/>
        </w:tabs>
        <w:ind w:left="180"/>
        <w:rPr>
          <w:rFonts w:ascii="Times New Roman" w:hAnsi="Times New Roman"/>
          <w:sz w:val="22"/>
          <w:szCs w:val="22"/>
          <w:lang w:val="en"/>
        </w:rPr>
      </w:pPr>
    </w:p>
    <w:p w14:paraId="5AA9E578" w14:textId="019D8456" w:rsidR="00D84465" w:rsidRPr="006E5EB3" w:rsidRDefault="00D84465" w:rsidP="00D84465">
      <w:pPr>
        <w:pStyle w:val="ListParagraph"/>
        <w:numPr>
          <w:ilvl w:val="0"/>
          <w:numId w:val="1"/>
        </w:numPr>
        <w:tabs>
          <w:tab w:val="left" w:pos="180"/>
        </w:tabs>
        <w:ind w:left="180" w:hanging="450"/>
        <w:rPr>
          <w:rFonts w:ascii="Times New Roman" w:hAnsi="Times New Roman"/>
          <w:sz w:val="22"/>
          <w:szCs w:val="22"/>
          <w:lang w:val="en"/>
        </w:rPr>
      </w:pPr>
      <w:r w:rsidRPr="006E5EB3">
        <w:rPr>
          <w:rFonts w:ascii="Times New Roman" w:hAnsi="Times New Roman"/>
          <w:sz w:val="22"/>
          <w:szCs w:val="22"/>
          <w:lang w:val="en"/>
        </w:rPr>
        <w:t>“</w:t>
      </w:r>
      <w:r w:rsidR="007330E3" w:rsidRPr="007330E3">
        <w:rPr>
          <w:rFonts w:ascii="Times New Roman" w:hAnsi="Times New Roman"/>
          <w:sz w:val="22"/>
          <w:szCs w:val="22"/>
          <w:lang w:val="en"/>
        </w:rPr>
        <w:t>When discussing the findings from Study 3, make sure that the differences between the experiencers and forecasters are explicitly stated. For example, when referring to the findings from the forecasters, this should be focusing on predictions, not usage (e.g., on p. 43). This should be applied throughout.</w:t>
      </w:r>
      <w:r w:rsidRPr="006E5EB3">
        <w:rPr>
          <w:rFonts w:ascii="Times New Roman" w:hAnsi="Times New Roman"/>
          <w:sz w:val="22"/>
          <w:szCs w:val="22"/>
          <w:lang w:val="en"/>
        </w:rPr>
        <w:t>”</w:t>
      </w:r>
    </w:p>
    <w:p w14:paraId="42D520CF" w14:textId="77777777" w:rsidR="00D84465" w:rsidRPr="006E5EB3" w:rsidRDefault="00D84465" w:rsidP="00D84465">
      <w:pPr>
        <w:pStyle w:val="ListParagraph"/>
        <w:tabs>
          <w:tab w:val="left" w:pos="180"/>
        </w:tabs>
        <w:rPr>
          <w:rFonts w:ascii="Times New Roman" w:hAnsi="Times New Roman"/>
          <w:sz w:val="22"/>
          <w:szCs w:val="22"/>
          <w:lang w:val="en"/>
        </w:rPr>
      </w:pPr>
    </w:p>
    <w:p w14:paraId="72B3126A" w14:textId="1C7A9602" w:rsidR="00557E98" w:rsidRPr="006E5EB3" w:rsidRDefault="00D84465" w:rsidP="00F54F88">
      <w:pPr>
        <w:tabs>
          <w:tab w:val="left" w:pos="180"/>
        </w:tabs>
        <w:ind w:left="540"/>
        <w:rPr>
          <w:rFonts w:ascii="Times New Roman" w:hAnsi="Times New Roman"/>
          <w:b/>
          <w:bCs/>
          <w:sz w:val="22"/>
          <w:szCs w:val="22"/>
          <w:lang w:val="en"/>
        </w:rPr>
      </w:pPr>
      <w:r w:rsidRPr="006E5EB3">
        <w:rPr>
          <w:rFonts w:ascii="Times New Roman" w:hAnsi="Times New Roman"/>
          <w:b/>
          <w:bCs/>
          <w:sz w:val="22"/>
          <w:szCs w:val="22"/>
          <w:lang w:val="en"/>
        </w:rPr>
        <w:t>Our response:</w:t>
      </w:r>
      <w:r w:rsidR="009A7608">
        <w:rPr>
          <w:rFonts w:ascii="Times New Roman" w:hAnsi="Times New Roman"/>
          <w:sz w:val="22"/>
          <w:szCs w:val="22"/>
          <w:lang w:val="en"/>
        </w:rPr>
        <w:t xml:space="preserve"> </w:t>
      </w:r>
      <w:r w:rsidR="008F650A">
        <w:rPr>
          <w:rFonts w:ascii="Times New Roman" w:hAnsi="Times New Roman"/>
          <w:sz w:val="22"/>
          <w:szCs w:val="22"/>
          <w:lang w:val="en"/>
        </w:rPr>
        <w:t xml:space="preserve">We have reviewed all of our discussion on the matter and </w:t>
      </w:r>
      <w:r w:rsidR="00EB1AEF">
        <w:rPr>
          <w:rFonts w:ascii="Times New Roman" w:hAnsi="Times New Roman"/>
          <w:sz w:val="22"/>
          <w:szCs w:val="22"/>
          <w:lang w:val="en"/>
        </w:rPr>
        <w:t xml:space="preserve">believe we have </w:t>
      </w:r>
      <w:r w:rsidR="008F650A">
        <w:rPr>
          <w:rFonts w:ascii="Times New Roman" w:hAnsi="Times New Roman"/>
          <w:sz w:val="22"/>
          <w:szCs w:val="22"/>
          <w:lang w:val="en"/>
        </w:rPr>
        <w:t>corrected an</w:t>
      </w:r>
      <w:r w:rsidR="00D57EF3">
        <w:rPr>
          <w:rFonts w:ascii="Times New Roman" w:hAnsi="Times New Roman"/>
          <w:sz w:val="22"/>
          <w:szCs w:val="22"/>
          <w:lang w:val="en"/>
        </w:rPr>
        <w:t>y</w:t>
      </w:r>
      <w:r w:rsidR="008F650A">
        <w:rPr>
          <w:rFonts w:ascii="Times New Roman" w:hAnsi="Times New Roman"/>
          <w:sz w:val="22"/>
          <w:szCs w:val="22"/>
          <w:lang w:val="en"/>
        </w:rPr>
        <w:t xml:space="preserve"> points of </w:t>
      </w:r>
      <w:r w:rsidR="00EB1AEF">
        <w:rPr>
          <w:rFonts w:ascii="Times New Roman" w:hAnsi="Times New Roman"/>
          <w:sz w:val="22"/>
          <w:szCs w:val="22"/>
          <w:lang w:val="en"/>
        </w:rPr>
        <w:t xml:space="preserve">conflict or </w:t>
      </w:r>
      <w:r w:rsidR="008F650A">
        <w:rPr>
          <w:rFonts w:ascii="Times New Roman" w:hAnsi="Times New Roman"/>
          <w:sz w:val="22"/>
          <w:szCs w:val="22"/>
          <w:lang w:val="en"/>
        </w:rPr>
        <w:t>confusion.</w:t>
      </w:r>
      <w:r w:rsidRPr="006E5EB3">
        <w:rPr>
          <w:rFonts w:ascii="Times New Roman" w:hAnsi="Times New Roman"/>
          <w:sz w:val="22"/>
          <w:szCs w:val="22"/>
          <w:lang w:val="en"/>
        </w:rPr>
        <w:br/>
      </w:r>
    </w:p>
    <w:p w14:paraId="32D60F77" w14:textId="35090230" w:rsidR="00D84465" w:rsidRPr="007330E3" w:rsidRDefault="00D84465" w:rsidP="007330E3">
      <w:pPr>
        <w:pStyle w:val="ListParagraph"/>
        <w:numPr>
          <w:ilvl w:val="0"/>
          <w:numId w:val="1"/>
        </w:numPr>
        <w:tabs>
          <w:tab w:val="left" w:pos="180"/>
        </w:tabs>
        <w:ind w:left="180" w:hanging="450"/>
        <w:rPr>
          <w:rFonts w:ascii="Times New Roman" w:hAnsi="Times New Roman"/>
          <w:sz w:val="22"/>
          <w:szCs w:val="22"/>
          <w:lang w:val="en"/>
        </w:rPr>
      </w:pPr>
      <w:r w:rsidRPr="007330E3">
        <w:rPr>
          <w:rFonts w:ascii="Times New Roman" w:hAnsi="Times New Roman"/>
          <w:sz w:val="22"/>
          <w:szCs w:val="22"/>
          <w:lang w:val="en"/>
        </w:rPr>
        <w:t>“</w:t>
      </w:r>
      <w:r w:rsidR="007330E3" w:rsidRPr="007330E3">
        <w:rPr>
          <w:rFonts w:ascii="Times New Roman" w:hAnsi="Times New Roman"/>
          <w:sz w:val="22"/>
          <w:szCs w:val="22"/>
          <w:lang w:val="en"/>
        </w:rPr>
        <w:t>The authors switch between using the terms 'study' and 'experiment' to refer to the research in the current paper. For consistency, the authors should use one term throughout.</w:t>
      </w:r>
      <w:r w:rsidRPr="007330E3">
        <w:rPr>
          <w:rFonts w:ascii="Times New Roman" w:hAnsi="Times New Roman"/>
          <w:sz w:val="22"/>
          <w:szCs w:val="22"/>
          <w:lang w:val="en"/>
        </w:rPr>
        <w:t>”</w:t>
      </w:r>
    </w:p>
    <w:p w14:paraId="591C25BD" w14:textId="77777777" w:rsidR="00D84465" w:rsidRPr="006E5EB3" w:rsidRDefault="00D84465" w:rsidP="00D84465">
      <w:pPr>
        <w:pStyle w:val="ListParagraph"/>
        <w:tabs>
          <w:tab w:val="left" w:pos="180"/>
        </w:tabs>
        <w:rPr>
          <w:rFonts w:ascii="Times New Roman" w:hAnsi="Times New Roman"/>
          <w:sz w:val="22"/>
          <w:szCs w:val="22"/>
          <w:lang w:val="en"/>
        </w:rPr>
      </w:pPr>
    </w:p>
    <w:p w14:paraId="138F255E" w14:textId="3946A2C8" w:rsidR="00536F51" w:rsidRPr="00622BD4" w:rsidRDefault="00D84465" w:rsidP="007330E3">
      <w:pPr>
        <w:tabs>
          <w:tab w:val="left" w:pos="180"/>
        </w:tabs>
        <w:ind w:left="540"/>
        <w:rPr>
          <w:rFonts w:ascii="Times New Roman" w:hAnsi="Times New Roman"/>
          <w:sz w:val="22"/>
          <w:szCs w:val="22"/>
          <w:lang w:val="en"/>
        </w:rPr>
      </w:pPr>
      <w:r w:rsidRPr="006E5EB3">
        <w:rPr>
          <w:rFonts w:ascii="Times New Roman" w:hAnsi="Times New Roman"/>
          <w:b/>
          <w:bCs/>
          <w:sz w:val="22"/>
          <w:szCs w:val="22"/>
          <w:lang w:val="en"/>
        </w:rPr>
        <w:t xml:space="preserve">Our response: </w:t>
      </w:r>
      <w:r w:rsidR="00622BD4">
        <w:rPr>
          <w:rFonts w:ascii="Times New Roman" w:hAnsi="Times New Roman"/>
          <w:sz w:val="22"/>
          <w:szCs w:val="22"/>
          <w:lang w:val="en"/>
        </w:rPr>
        <w:t xml:space="preserve">We have revised our terminology when referring to research contained within this paper. All references to such use ‘study’ for consistency. </w:t>
      </w:r>
    </w:p>
    <w:sectPr w:rsidR="00536F51" w:rsidRPr="00622BD4"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F4CCB" w14:textId="77777777" w:rsidR="004E6E90" w:rsidRDefault="004E6E90" w:rsidP="003811D1">
      <w:r>
        <w:separator/>
      </w:r>
    </w:p>
  </w:endnote>
  <w:endnote w:type="continuationSeparator" w:id="0">
    <w:p w14:paraId="51F855C8" w14:textId="77777777" w:rsidR="004E6E90" w:rsidRDefault="004E6E90"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91056" w14:textId="77777777" w:rsidR="004E6E90" w:rsidRDefault="004E6E90" w:rsidP="003811D1">
      <w:r>
        <w:separator/>
      </w:r>
    </w:p>
  </w:footnote>
  <w:footnote w:type="continuationSeparator" w:id="0">
    <w:p w14:paraId="6F226B62" w14:textId="77777777" w:rsidR="004E6E90" w:rsidRDefault="004E6E90"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5155946">
    <w:abstractNumId w:val="6"/>
  </w:num>
  <w:num w:numId="2" w16cid:durableId="503328157">
    <w:abstractNumId w:val="4"/>
  </w:num>
  <w:num w:numId="3" w16cid:durableId="2111387366">
    <w:abstractNumId w:val="5"/>
  </w:num>
  <w:num w:numId="4" w16cid:durableId="1415543255">
    <w:abstractNumId w:val="3"/>
  </w:num>
  <w:num w:numId="5" w16cid:durableId="1829244282">
    <w:abstractNumId w:val="7"/>
  </w:num>
  <w:num w:numId="6" w16cid:durableId="1024940368">
    <w:abstractNumId w:val="1"/>
  </w:num>
  <w:num w:numId="7" w16cid:durableId="1401055984">
    <w:abstractNumId w:val="0"/>
  </w:num>
  <w:num w:numId="8" w16cid:durableId="17076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5081"/>
    <w:rsid w:val="00073E1C"/>
    <w:rsid w:val="00075197"/>
    <w:rsid w:val="000818A9"/>
    <w:rsid w:val="00081B55"/>
    <w:rsid w:val="000918C8"/>
    <w:rsid w:val="00096A50"/>
    <w:rsid w:val="000C3679"/>
    <w:rsid w:val="000D33E1"/>
    <w:rsid w:val="000D363F"/>
    <w:rsid w:val="000E0CCB"/>
    <w:rsid w:val="000E5089"/>
    <w:rsid w:val="000F0694"/>
    <w:rsid w:val="00103171"/>
    <w:rsid w:val="001170B6"/>
    <w:rsid w:val="00120348"/>
    <w:rsid w:val="00122CED"/>
    <w:rsid w:val="0012756B"/>
    <w:rsid w:val="00130BB2"/>
    <w:rsid w:val="00135C48"/>
    <w:rsid w:val="00142DEF"/>
    <w:rsid w:val="00154CED"/>
    <w:rsid w:val="00160289"/>
    <w:rsid w:val="001A4D01"/>
    <w:rsid w:val="001A6459"/>
    <w:rsid w:val="001C6B42"/>
    <w:rsid w:val="001E44D5"/>
    <w:rsid w:val="001E4987"/>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E6E90"/>
    <w:rsid w:val="004F75B7"/>
    <w:rsid w:val="00501F63"/>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56B52"/>
    <w:rsid w:val="00663068"/>
    <w:rsid w:val="0066402C"/>
    <w:rsid w:val="006828A8"/>
    <w:rsid w:val="00687D13"/>
    <w:rsid w:val="00692F15"/>
    <w:rsid w:val="006B6DAE"/>
    <w:rsid w:val="006C7D43"/>
    <w:rsid w:val="006D14D2"/>
    <w:rsid w:val="006D287B"/>
    <w:rsid w:val="006D7758"/>
    <w:rsid w:val="006E5EB3"/>
    <w:rsid w:val="006F1DBE"/>
    <w:rsid w:val="00702CEA"/>
    <w:rsid w:val="00720D07"/>
    <w:rsid w:val="007330E3"/>
    <w:rsid w:val="00735423"/>
    <w:rsid w:val="00743553"/>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717"/>
    <w:rsid w:val="008C6882"/>
    <w:rsid w:val="008D3A6D"/>
    <w:rsid w:val="008D7B7D"/>
    <w:rsid w:val="008F2D70"/>
    <w:rsid w:val="008F3800"/>
    <w:rsid w:val="008F650A"/>
    <w:rsid w:val="009038D7"/>
    <w:rsid w:val="009078E9"/>
    <w:rsid w:val="0091546A"/>
    <w:rsid w:val="00936677"/>
    <w:rsid w:val="009413D3"/>
    <w:rsid w:val="009658E5"/>
    <w:rsid w:val="00976852"/>
    <w:rsid w:val="00997E0C"/>
    <w:rsid w:val="009A7608"/>
    <w:rsid w:val="009A7F0D"/>
    <w:rsid w:val="009C2793"/>
    <w:rsid w:val="009D54E9"/>
    <w:rsid w:val="009E36BC"/>
    <w:rsid w:val="00A10CDC"/>
    <w:rsid w:val="00A17E14"/>
    <w:rsid w:val="00A2347B"/>
    <w:rsid w:val="00A32E83"/>
    <w:rsid w:val="00A352B5"/>
    <w:rsid w:val="00A479D5"/>
    <w:rsid w:val="00A564C1"/>
    <w:rsid w:val="00A67710"/>
    <w:rsid w:val="00A93733"/>
    <w:rsid w:val="00AB17B5"/>
    <w:rsid w:val="00AB3742"/>
    <w:rsid w:val="00AC73AB"/>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DD03-4AF7-46E4-9B35-DB3A1ADE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3</cp:revision>
  <cp:lastPrinted>2024-03-07T05:11:00Z</cp:lastPrinted>
  <dcterms:created xsi:type="dcterms:W3CDTF">2024-03-14T17:23:00Z</dcterms:created>
  <dcterms:modified xsi:type="dcterms:W3CDTF">2024-03-25T16:41:00Z</dcterms:modified>
</cp:coreProperties>
</file>