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9CDA5" w14:textId="09A30644" w:rsidR="00EE0C3E" w:rsidRDefault="00EE0C3E" w:rsidP="00EB6E76">
      <w:pPr>
        <w:spacing w:after="160" w:line="259" w:lineRule="auto"/>
        <w:ind w:left="0" w:firstLine="0"/>
        <w:jc w:val="left"/>
        <w:rPr>
          <w:b/>
          <w:bCs/>
          <w:szCs w:val="24"/>
        </w:rPr>
      </w:pPr>
      <w:bookmarkStart w:id="0" w:name="_Hlk174964085"/>
      <w:r>
        <w:rPr>
          <w:b/>
          <w:bCs/>
          <w:szCs w:val="24"/>
        </w:rPr>
        <w:t>Supplementary Materials</w:t>
      </w:r>
    </w:p>
    <w:p w14:paraId="2E3E81B6" w14:textId="78C361E6" w:rsidR="00857F3D" w:rsidRPr="00857F3D" w:rsidRDefault="00A10284" w:rsidP="00857F3D">
      <w:pPr>
        <w:spacing w:after="0" w:line="480" w:lineRule="auto"/>
        <w:ind w:left="0" w:firstLine="720"/>
        <w:rPr>
          <w:b/>
          <w:szCs w:val="24"/>
        </w:rPr>
      </w:pPr>
      <w:r>
        <w:rPr>
          <w:b/>
          <w:szCs w:val="24"/>
        </w:rPr>
        <w:t>P</w:t>
      </w:r>
      <w:r w:rsidR="005F2875">
        <w:rPr>
          <w:b/>
          <w:szCs w:val="24"/>
        </w:rPr>
        <w:t>RELIMINARY</w:t>
      </w:r>
      <w:r w:rsidR="00EE0C3E">
        <w:rPr>
          <w:b/>
          <w:szCs w:val="24"/>
        </w:rPr>
        <w:t xml:space="preserve"> </w:t>
      </w:r>
      <w:r w:rsidR="00857F3D">
        <w:rPr>
          <w:b/>
          <w:szCs w:val="24"/>
        </w:rPr>
        <w:t xml:space="preserve">STUDY </w:t>
      </w:r>
      <w:r w:rsidR="00EE0C3E" w:rsidRPr="008C7178">
        <w:rPr>
          <w:b/>
          <w:szCs w:val="24"/>
        </w:rPr>
        <w:t>METHOD</w:t>
      </w:r>
      <w:r w:rsidR="00EE0C3E">
        <w:rPr>
          <w:b/>
          <w:szCs w:val="24"/>
        </w:rPr>
        <w:t>S</w:t>
      </w:r>
    </w:p>
    <w:p w14:paraId="3D669479" w14:textId="300E8761" w:rsidR="00EE0C3E" w:rsidRPr="008C7178" w:rsidRDefault="00A10284" w:rsidP="00857F3D">
      <w:pPr>
        <w:spacing w:after="0" w:line="480" w:lineRule="auto"/>
        <w:ind w:left="0" w:firstLine="720"/>
        <w:rPr>
          <w:szCs w:val="24"/>
        </w:rPr>
      </w:pPr>
      <w:r>
        <w:rPr>
          <w:szCs w:val="24"/>
        </w:rPr>
        <w:t>A p</w:t>
      </w:r>
      <w:r w:rsidR="005F2875">
        <w:rPr>
          <w:szCs w:val="24"/>
        </w:rPr>
        <w:t>reliminary</w:t>
      </w:r>
      <w:r>
        <w:rPr>
          <w:szCs w:val="24"/>
        </w:rPr>
        <w:t xml:space="preserve"> study</w:t>
      </w:r>
      <w:r w:rsidR="00EE0C3E" w:rsidRPr="008C7178">
        <w:rPr>
          <w:szCs w:val="24"/>
        </w:rPr>
        <w:t xml:space="preserve"> tested whether the emotional intensity of negatively-valenced events was associated with the likelihood of using a low-effort or high-effort regulatory strategy in a </w:t>
      </w:r>
      <w:r w:rsidR="00EE0C3E">
        <w:rPr>
          <w:szCs w:val="24"/>
        </w:rPr>
        <w:t>quasi-natural</w:t>
      </w:r>
      <w:r w:rsidR="00EE0C3E" w:rsidRPr="008C7178">
        <w:rPr>
          <w:szCs w:val="24"/>
        </w:rPr>
        <w:t xml:space="preserve">istic setting with an untrained sample. To assess emotional intensity, participants self-reported the emotional intensity of events from the haunted house one week after exposure during a surprise recall task. Participants also noted whether they wanted to reduce the intensity of these emotions and, if so, how they attempted to do so in their own words. </w:t>
      </w:r>
      <w:r w:rsidR="00EE0C3E" w:rsidRPr="007C22D9">
        <w:rPr>
          <w:szCs w:val="24"/>
        </w:rPr>
        <w:t xml:space="preserve">We report how we determined our sample size, </w:t>
      </w:r>
      <w:r w:rsidR="00EE0C3E">
        <w:rPr>
          <w:szCs w:val="24"/>
        </w:rPr>
        <w:t>all data exclusions,</w:t>
      </w:r>
      <w:r w:rsidR="00EE0C3E" w:rsidRPr="007C22D9">
        <w:rPr>
          <w:szCs w:val="24"/>
        </w:rPr>
        <w:t xml:space="preserve"> all manipulations, and all measures in the study</w:t>
      </w:r>
      <w:r w:rsidR="00EE0C3E">
        <w:rPr>
          <w:szCs w:val="24"/>
        </w:rPr>
        <w:t>.</w:t>
      </w:r>
      <w:r w:rsidR="00EE0C3E" w:rsidRPr="007C22D9">
        <w:rPr>
          <w:szCs w:val="24"/>
        </w:rPr>
        <w:t xml:space="preserve"> </w:t>
      </w:r>
      <w:r w:rsidR="00EE0C3E" w:rsidRPr="008C7178">
        <w:rPr>
          <w:szCs w:val="24"/>
        </w:rPr>
        <w:t xml:space="preserve"> </w:t>
      </w:r>
    </w:p>
    <w:p w14:paraId="235ACD49" w14:textId="3CC4A702" w:rsidR="00EE0C3E" w:rsidRDefault="00EE0C3E" w:rsidP="00A10284">
      <w:pPr>
        <w:spacing w:after="0" w:line="480" w:lineRule="auto"/>
        <w:ind w:left="0" w:firstLine="0"/>
        <w:rPr>
          <w:szCs w:val="24"/>
        </w:rPr>
      </w:pPr>
      <w:r w:rsidRPr="008C7178">
        <w:rPr>
          <w:b/>
          <w:szCs w:val="24"/>
        </w:rPr>
        <w:t xml:space="preserve"> </w:t>
      </w:r>
      <w:r>
        <w:rPr>
          <w:b/>
          <w:szCs w:val="24"/>
        </w:rPr>
        <w:tab/>
      </w:r>
      <w:r w:rsidRPr="008C7178">
        <w:rPr>
          <w:b/>
          <w:szCs w:val="24"/>
        </w:rPr>
        <w:t xml:space="preserve">PARTICIPANTS: </w:t>
      </w:r>
      <w:r w:rsidRPr="008C7178">
        <w:rPr>
          <w:szCs w:val="24"/>
        </w:rPr>
        <w:t>In October 2019, 54 participants (</w:t>
      </w:r>
      <w:r w:rsidRPr="008C7178">
        <w:rPr>
          <w:i/>
          <w:szCs w:val="24"/>
        </w:rPr>
        <w:t xml:space="preserve">x̄ </w:t>
      </w:r>
      <w:r w:rsidRPr="008C7178">
        <w:rPr>
          <w:i/>
          <w:szCs w:val="24"/>
          <w:vertAlign w:val="subscript"/>
        </w:rPr>
        <w:t>age</w:t>
      </w:r>
      <w:r w:rsidRPr="008C7178">
        <w:rPr>
          <w:szCs w:val="24"/>
        </w:rPr>
        <w:t xml:space="preserve"> = 24.22 yrs, range = 18 </w:t>
      </w:r>
      <w:r w:rsidR="009B06C2">
        <w:rPr>
          <w:szCs w:val="24"/>
        </w:rPr>
        <w:t>–</w:t>
      </w:r>
      <w:r w:rsidRPr="008C7178">
        <w:rPr>
          <w:szCs w:val="24"/>
        </w:rPr>
        <w:t xml:space="preserve"> 34 yrs, </w:t>
      </w:r>
      <w:proofErr w:type="spellStart"/>
      <w:r w:rsidRPr="008C7178">
        <w:rPr>
          <w:i/>
          <w:szCs w:val="24"/>
        </w:rPr>
        <w:t>sd</w:t>
      </w:r>
      <w:proofErr w:type="spellEnd"/>
      <w:r w:rsidR="00512CCD">
        <w:rPr>
          <w:i/>
          <w:szCs w:val="24"/>
        </w:rPr>
        <w:t xml:space="preserve"> </w:t>
      </w:r>
      <w:r w:rsidRPr="008C7178">
        <w:rPr>
          <w:i/>
          <w:szCs w:val="24"/>
          <w:vertAlign w:val="subscript"/>
        </w:rPr>
        <w:t>age</w:t>
      </w:r>
      <w:r w:rsidRPr="008C7178">
        <w:rPr>
          <w:szCs w:val="24"/>
        </w:rPr>
        <w:t xml:space="preserve"> = 3.97 yrs, 26 female, 1 non-binary</w:t>
      </w:r>
      <w:r>
        <w:rPr>
          <w:szCs w:val="24"/>
        </w:rPr>
        <w:t>, 18.51% Hispanic</w:t>
      </w:r>
      <w:r w:rsidRPr="008C7178">
        <w:rPr>
          <w:szCs w:val="24"/>
        </w:rPr>
        <w:t>) were recruited from a large northeastern city via flyers for an IRB-approved fear and memory study.</w:t>
      </w:r>
      <w:r>
        <w:rPr>
          <w:szCs w:val="24"/>
        </w:rPr>
        <w:t xml:space="preserve"> Participants were predominantly well-educated (</w:t>
      </w:r>
      <w:r w:rsidRPr="000D7D4C">
        <w:rPr>
          <w:i/>
          <w:szCs w:val="24"/>
        </w:rPr>
        <w:t xml:space="preserve">x̄ </w:t>
      </w:r>
      <w:r w:rsidRPr="000D7D4C">
        <w:rPr>
          <w:i/>
          <w:szCs w:val="24"/>
          <w:vertAlign w:val="subscript"/>
        </w:rPr>
        <w:t>Years of Education</w:t>
      </w:r>
      <w:r>
        <w:rPr>
          <w:szCs w:val="24"/>
        </w:rPr>
        <w:t xml:space="preserve"> = 15.3 yrs, </w:t>
      </w:r>
      <w:proofErr w:type="spellStart"/>
      <w:r w:rsidRPr="000D7D4C">
        <w:rPr>
          <w:i/>
          <w:iCs/>
          <w:szCs w:val="24"/>
        </w:rPr>
        <w:t>sd</w:t>
      </w:r>
      <w:proofErr w:type="spellEnd"/>
      <w:r w:rsidRPr="000D7D4C">
        <w:rPr>
          <w:i/>
          <w:iCs/>
          <w:szCs w:val="24"/>
        </w:rPr>
        <w:t xml:space="preserve"> </w:t>
      </w:r>
      <w:r w:rsidRPr="000D7D4C">
        <w:rPr>
          <w:i/>
          <w:iCs/>
          <w:szCs w:val="24"/>
          <w:vertAlign w:val="subscript"/>
        </w:rPr>
        <w:t>Years of Education</w:t>
      </w:r>
      <w:r>
        <w:rPr>
          <w:szCs w:val="24"/>
        </w:rPr>
        <w:t xml:space="preserve"> = 2.4 yrs), with 92.6% reporting having completed some college (35.2%), a 4-year degree (29.6%), some post-graduate studies (16.7%), or a post-graduate degree (11.1%). Socioeconomic status was more normally distributed, with 12.7% of respondents reporting making less than $15,000 per year, 16.3% reporting between $15,001 and $25,000, 09.1% reporting $25,001 to $35,000, 23.6% reporting between $35,001 and $50,000, 12.7% reporting between $50,001 and $75,000, 16.4% reporting between $75,001 and $100,000, 09.1% reporting between $100,001 and $150,000, and no one reporting greater than $150,000. The racial identity of participants was not assessed. </w:t>
      </w:r>
    </w:p>
    <w:p w14:paraId="6D822F80" w14:textId="718BD190" w:rsidR="00EE0C3E" w:rsidRPr="008C7178" w:rsidRDefault="00EE0C3E" w:rsidP="00A10284">
      <w:pPr>
        <w:spacing w:after="0" w:line="480" w:lineRule="auto"/>
        <w:ind w:left="0" w:firstLine="720"/>
        <w:rPr>
          <w:szCs w:val="24"/>
        </w:rPr>
      </w:pPr>
      <w:r w:rsidRPr="008C7178">
        <w:rPr>
          <w:szCs w:val="24"/>
        </w:rPr>
        <w:t xml:space="preserve">A priori power analyses using the </w:t>
      </w:r>
      <w:proofErr w:type="spellStart"/>
      <w:r w:rsidRPr="008C7178">
        <w:rPr>
          <w:szCs w:val="24"/>
        </w:rPr>
        <w:t>WebPower</w:t>
      </w:r>
      <w:proofErr w:type="spellEnd"/>
      <w:r w:rsidRPr="008C7178">
        <w:rPr>
          <w:szCs w:val="24"/>
        </w:rPr>
        <w:t xml:space="preserve"> (Zhang, Z., &amp; Mai, Y., 2019) </w:t>
      </w:r>
      <w:r w:rsidR="009B06C2">
        <w:rPr>
          <w:szCs w:val="24"/>
        </w:rPr>
        <w:t>I</w:t>
      </w:r>
      <w:r w:rsidRPr="008C7178">
        <w:rPr>
          <w:szCs w:val="24"/>
        </w:rPr>
        <w:t>n R 3.6.1 (R Core Team, 2022) determined 18 participants would sufficiently power our main effect using the smallest effect size reported by Sheppes et al.’s 2011 examination of emotional intensity and regulatory choice (η</w:t>
      </w:r>
      <w:r w:rsidRPr="008C7178">
        <w:rPr>
          <w:szCs w:val="24"/>
          <w:vertAlign w:val="subscript"/>
        </w:rPr>
        <w:t>p</w:t>
      </w:r>
      <w:r w:rsidRPr="008C7178">
        <w:rPr>
          <w:szCs w:val="24"/>
          <w:vertAlign w:val="superscript"/>
        </w:rPr>
        <w:t>2</w:t>
      </w:r>
      <w:r w:rsidRPr="008C7178">
        <w:rPr>
          <w:szCs w:val="24"/>
        </w:rPr>
        <w:t xml:space="preserve"> = 0.43). Participants were excluded for previously visiting the haunted house </w:t>
      </w:r>
      <w:r w:rsidRPr="008C7178">
        <w:rPr>
          <w:szCs w:val="24"/>
        </w:rPr>
        <w:lastRenderedPageBreak/>
        <w:t>(</w:t>
      </w:r>
      <w:r w:rsidRPr="008C7178">
        <w:rPr>
          <w:i/>
          <w:szCs w:val="24"/>
        </w:rPr>
        <w:t>n</w:t>
      </w:r>
      <w:r w:rsidRPr="008C7178">
        <w:rPr>
          <w:szCs w:val="24"/>
        </w:rPr>
        <w:t xml:space="preserve"> = 1), not completing the study (</w:t>
      </w:r>
      <w:r w:rsidRPr="008C7178">
        <w:rPr>
          <w:i/>
          <w:szCs w:val="24"/>
        </w:rPr>
        <w:t>n</w:t>
      </w:r>
      <w:r w:rsidRPr="008C7178">
        <w:rPr>
          <w:szCs w:val="24"/>
        </w:rPr>
        <w:t xml:space="preserve"> = 1), identifying English as their </w:t>
      </w:r>
      <w:proofErr w:type="gramStart"/>
      <w:r w:rsidRPr="008C7178">
        <w:rPr>
          <w:szCs w:val="24"/>
        </w:rPr>
        <w:t>second-language</w:t>
      </w:r>
      <w:proofErr w:type="gramEnd"/>
      <w:r w:rsidRPr="008C7178">
        <w:rPr>
          <w:szCs w:val="24"/>
        </w:rPr>
        <w:t xml:space="preserve"> (</w:t>
      </w:r>
      <w:r w:rsidRPr="008C7178">
        <w:rPr>
          <w:i/>
          <w:szCs w:val="24"/>
        </w:rPr>
        <w:t xml:space="preserve">n </w:t>
      </w:r>
      <w:r w:rsidRPr="008C7178">
        <w:rPr>
          <w:szCs w:val="24"/>
        </w:rPr>
        <w:t>= 2), or not following instructions (</w:t>
      </w:r>
      <w:r w:rsidRPr="008C7178">
        <w:rPr>
          <w:i/>
          <w:szCs w:val="24"/>
        </w:rPr>
        <w:t xml:space="preserve">n </w:t>
      </w:r>
      <w:r w:rsidRPr="008C7178">
        <w:rPr>
          <w:szCs w:val="24"/>
        </w:rPr>
        <w:t>= 3). Participants received $70.00 in Visa debit cards for participating.</w:t>
      </w:r>
      <w:r w:rsidRPr="008C7178">
        <w:rPr>
          <w:b/>
          <w:szCs w:val="24"/>
        </w:rPr>
        <w:t xml:space="preserve"> </w:t>
      </w:r>
    </w:p>
    <w:p w14:paraId="3665345E" w14:textId="27B844CA" w:rsidR="00EE0C3E" w:rsidRPr="008C7178" w:rsidRDefault="00EE0C3E" w:rsidP="00A10284">
      <w:pPr>
        <w:spacing w:after="0" w:line="480" w:lineRule="auto"/>
        <w:ind w:left="0" w:firstLine="0"/>
        <w:rPr>
          <w:szCs w:val="24"/>
        </w:rPr>
      </w:pPr>
      <w:r w:rsidRPr="008C7178">
        <w:rPr>
          <w:b/>
          <w:szCs w:val="24"/>
        </w:rPr>
        <w:t xml:space="preserve"> </w:t>
      </w:r>
      <w:r>
        <w:rPr>
          <w:b/>
          <w:szCs w:val="24"/>
        </w:rPr>
        <w:tab/>
      </w:r>
      <w:r w:rsidRPr="008C7178">
        <w:rPr>
          <w:b/>
          <w:szCs w:val="24"/>
        </w:rPr>
        <w:t xml:space="preserve">MATERIALS AND PROCEDURE: </w:t>
      </w:r>
      <w:r w:rsidRPr="008C7178">
        <w:rPr>
          <w:szCs w:val="24"/>
        </w:rPr>
        <w:t>Our design consisted of an exposure session and a follow-up. Following consent, participants completed computerized questionnaires and were fitted with physiological monitors which are beyond the purview of this study (</w:t>
      </w:r>
      <w:r w:rsidRPr="008C7178">
        <w:rPr>
          <w:i/>
          <w:szCs w:val="24"/>
        </w:rPr>
        <w:t>See</w:t>
      </w:r>
      <w:r w:rsidRPr="008C7178">
        <w:rPr>
          <w:szCs w:val="24"/>
        </w:rPr>
        <w:t xml:space="preserve"> </w:t>
      </w:r>
      <w:r w:rsidR="00A10284">
        <w:rPr>
          <w:szCs w:val="24"/>
          <w:lang w:val="en"/>
        </w:rPr>
        <w:fldChar w:fldCharType="begin"/>
      </w:r>
      <w:r w:rsidR="0008712C">
        <w:rPr>
          <w:szCs w:val="24"/>
          <w:lang w:val="en"/>
        </w:rPr>
        <w:instrText xml:space="preserve"> ADDIN ZOTERO_ITEM CSL_CITATION {"citationID":"qeNhfzJq","properties":{"formattedCitation":"(Stasiak et al., 2023)","plainCitation":"(Stasiak et al., 2023)","dontUpdate":true,"noteIndex":0},"citationItems":[{"id":9088,"uris":["http://zotero.org/users/6239255/items/CCPVSZWX"],"itemData":{"id":9088,"type":"article-journal","abstract":"As individuals navigate the world, they are bound to have emotionally intense experiences. These events not only influence momentary physiological and affective responses, but may also have a powerful impact on one’s memory for their emotional experience. In this research, we used the naturalistic context of a haunted house to examine how physiological arousal is associated with metacognitive emotional memory (i.e., the extent to which an individual remembers having experienced a certain emotion). Participants first navigated the haunted house while heart rate and explicit situational appraisals were recorded, and then recalled specific events from the haunted house and the intensity of these affective events approximately one week later. We found that heart rate predicted both the intensity of reported scariness in the haunted house and meta-cognitive memory of affect during recall. Critically, we found evidence for malleability in metacognitive emotional memory based on how the event was initially labeled. Individuals tended to recall events that they explicitly labeled as fear-evoking as being more intense than they reported at the time of the event. We found the opposite relationship for events that they labeled as not fear-evoking. Taken together, this indicates that there are strong relationships between physiological arousal and emotional experiences in naturalistic contexts, but that affective labeling can modulate the relationship between these features when reflecting on the emotionality of that experience in memory.","container-title":"Neuropsychologia","DOI":"10.1016/j.neuropsychologia.2023.108467","ISSN":"00283932","journalAbbreviation":"Neuropsychologia","language":"en","license":"All rights reserved","page":"108467","source":"DOI.org (Crossref)","title":"Physiological arousal guides situational appraisals and metacognitive recall for naturalistic experiences","volume":"180","author":[{"family":"Stasiak","given":"Joanne E."},{"family":"Mitchell","given":"William J."},{"family":"Reisman","given":"Samantha S."},{"family":"Gregory","given":"David F."},{"family":"Murty","given":"Vishnu P."},{"family":"Helion","given":"Chelsea"}],"issued":{"date-parts":[["2023",2]]}}}],"schema":"https://github.com/citation-style-language/schema/raw/master/csl-citation.json"} </w:instrText>
      </w:r>
      <w:r w:rsidR="00A10284">
        <w:rPr>
          <w:szCs w:val="24"/>
          <w:lang w:val="en"/>
        </w:rPr>
        <w:fldChar w:fldCharType="separate"/>
      </w:r>
      <w:r w:rsidR="00A10284" w:rsidRPr="00A10284">
        <w:t>Stasiak et al., 2023)</w:t>
      </w:r>
      <w:r w:rsidR="00A10284">
        <w:rPr>
          <w:szCs w:val="24"/>
          <w:lang w:val="en"/>
        </w:rPr>
        <w:fldChar w:fldCharType="end"/>
      </w:r>
      <w:r w:rsidRPr="008C7178">
        <w:rPr>
          <w:szCs w:val="24"/>
        </w:rPr>
        <w:t xml:space="preserve">. Participants were then escorted by two research assistants to the </w:t>
      </w:r>
      <w:proofErr w:type="gramStart"/>
      <w:r w:rsidRPr="008C7178">
        <w:rPr>
          <w:szCs w:val="24"/>
        </w:rPr>
        <w:t>remotely-located</w:t>
      </w:r>
      <w:proofErr w:type="gramEnd"/>
      <w:r w:rsidRPr="008C7178">
        <w:rPr>
          <w:szCs w:val="24"/>
        </w:rPr>
        <w:t xml:space="preserve"> haunted house</w:t>
      </w:r>
      <w:r w:rsidR="00A10284">
        <w:rPr>
          <w:szCs w:val="24"/>
        </w:rPr>
        <w:t xml:space="preserve"> which was the same as used within </w:t>
      </w:r>
      <w:r w:rsidR="00245CC6">
        <w:rPr>
          <w:szCs w:val="24"/>
        </w:rPr>
        <w:t>Study</w:t>
      </w:r>
      <w:r w:rsidR="00A10284">
        <w:rPr>
          <w:szCs w:val="24"/>
        </w:rPr>
        <w:t xml:space="preserve"> 1</w:t>
      </w:r>
      <w:r w:rsidRPr="008C7178">
        <w:rPr>
          <w:szCs w:val="24"/>
        </w:rPr>
        <w:t>.</w:t>
      </w:r>
      <w:r w:rsidRPr="008C7178">
        <w:rPr>
          <w:b/>
          <w:szCs w:val="24"/>
        </w:rPr>
        <w:t xml:space="preserve"> </w:t>
      </w:r>
    </w:p>
    <w:p w14:paraId="29304689" w14:textId="495C114A" w:rsidR="00EE0C3E" w:rsidRDefault="00EE0C3E" w:rsidP="00A10284">
      <w:pPr>
        <w:spacing w:after="0" w:line="480" w:lineRule="auto"/>
        <w:ind w:left="0" w:firstLine="0"/>
        <w:rPr>
          <w:b/>
          <w:szCs w:val="24"/>
        </w:rPr>
      </w:pPr>
      <w:r>
        <w:rPr>
          <w:szCs w:val="24"/>
        </w:rPr>
        <w:tab/>
      </w:r>
      <w:r w:rsidRPr="008C7178">
        <w:rPr>
          <w:b/>
          <w:szCs w:val="24"/>
        </w:rPr>
        <w:t xml:space="preserve">Session 1, Haunted House. </w:t>
      </w:r>
      <w:r w:rsidRPr="008C7178">
        <w:rPr>
          <w:szCs w:val="24"/>
        </w:rPr>
        <w:t>Participants navigated the haunted house in twelve groups (</w:t>
      </w:r>
      <w:r w:rsidRPr="00BE73D6">
        <w:rPr>
          <w:i/>
          <w:iCs/>
          <w:szCs w:val="24"/>
        </w:rPr>
        <w:t>x̄</w:t>
      </w:r>
      <w:r w:rsidRPr="008C7178">
        <w:rPr>
          <w:szCs w:val="24"/>
        </w:rPr>
        <w:t xml:space="preserve"> </w:t>
      </w:r>
      <w:r w:rsidRPr="008C7178">
        <w:rPr>
          <w:i/>
          <w:szCs w:val="24"/>
          <w:vertAlign w:val="subscript"/>
        </w:rPr>
        <w:t>size</w:t>
      </w:r>
      <w:r w:rsidRPr="008C7178">
        <w:rPr>
          <w:szCs w:val="24"/>
        </w:rPr>
        <w:t xml:space="preserve"> = 4.50 participants; </w:t>
      </w:r>
      <w:proofErr w:type="spellStart"/>
      <w:r w:rsidRPr="008C7178">
        <w:rPr>
          <w:szCs w:val="24"/>
        </w:rPr>
        <w:t>sd</w:t>
      </w:r>
      <w:proofErr w:type="spellEnd"/>
      <w:r w:rsidR="00512CCD">
        <w:rPr>
          <w:szCs w:val="24"/>
        </w:rPr>
        <w:t xml:space="preserve"> </w:t>
      </w:r>
      <w:r w:rsidRPr="008C7178">
        <w:rPr>
          <w:i/>
          <w:szCs w:val="24"/>
          <w:vertAlign w:val="subscript"/>
        </w:rPr>
        <w:t>size</w:t>
      </w:r>
      <w:r w:rsidRPr="008C7178">
        <w:rPr>
          <w:szCs w:val="24"/>
          <w:vertAlign w:val="subscript"/>
        </w:rPr>
        <w:t xml:space="preserve"> </w:t>
      </w:r>
      <w:r w:rsidRPr="008C7178">
        <w:rPr>
          <w:szCs w:val="24"/>
        </w:rPr>
        <w:t>= 0.79 participants) for approximately 55.40 minutes (</w:t>
      </w:r>
      <w:proofErr w:type="spellStart"/>
      <w:r w:rsidRPr="008C7178">
        <w:rPr>
          <w:i/>
          <w:szCs w:val="24"/>
        </w:rPr>
        <w:t>sd</w:t>
      </w:r>
      <w:proofErr w:type="spellEnd"/>
      <w:r w:rsidRPr="008C7178">
        <w:rPr>
          <w:szCs w:val="24"/>
        </w:rPr>
        <w:t xml:space="preserve"> = 5.05 minutes) and were provided with minimal instructions to promote ecological validity (participants were to walk through the haunted house in a single file line and avoid sharing thoughts, reactions, and experiences with other participants). However, they were encouraged to act and react as naturally as possible. Each participant was randomly assigned to lead the group through one section. The accompanying research assistant led the group through any sections without a participant-leader. Following exposure, participants were scheduled for an individual follow-up and were instructed to not discuss their experience with anyone.  </w:t>
      </w:r>
    </w:p>
    <w:p w14:paraId="3C0EC9EA" w14:textId="36C38993" w:rsidR="00EE0C3E" w:rsidRDefault="00EE0C3E" w:rsidP="0094060F">
      <w:pPr>
        <w:spacing w:after="0" w:line="480" w:lineRule="auto"/>
        <w:ind w:left="0" w:firstLine="720"/>
        <w:rPr>
          <w:szCs w:val="24"/>
        </w:rPr>
      </w:pPr>
      <w:r w:rsidRPr="008C7178">
        <w:rPr>
          <w:b/>
          <w:szCs w:val="24"/>
        </w:rPr>
        <w:t xml:space="preserve">Session 2, Laboratory follow-up session. </w:t>
      </w:r>
      <w:r w:rsidRPr="008C7178">
        <w:rPr>
          <w:szCs w:val="24"/>
        </w:rPr>
        <w:t>At follow-up (</w:t>
      </w:r>
      <w:r w:rsidRPr="008C7178">
        <w:rPr>
          <w:i/>
          <w:szCs w:val="24"/>
        </w:rPr>
        <w:t xml:space="preserve">time since exposure: </w:t>
      </w:r>
      <w:r w:rsidRPr="008C7178">
        <w:rPr>
          <w:szCs w:val="24"/>
        </w:rPr>
        <w:t xml:space="preserve">x̄ </w:t>
      </w:r>
      <w:r w:rsidRPr="008C7178">
        <w:rPr>
          <w:i/>
          <w:szCs w:val="24"/>
          <w:vertAlign w:val="subscript"/>
        </w:rPr>
        <w:t>delay</w:t>
      </w:r>
      <w:r w:rsidRPr="008C7178">
        <w:rPr>
          <w:szCs w:val="24"/>
        </w:rPr>
        <w:t xml:space="preserve"> = 5.98 days; </w:t>
      </w:r>
      <w:proofErr w:type="spellStart"/>
      <w:r w:rsidRPr="008C7178">
        <w:rPr>
          <w:szCs w:val="24"/>
        </w:rPr>
        <w:t>sd</w:t>
      </w:r>
      <w:proofErr w:type="spellEnd"/>
      <w:r w:rsidR="00512CCD">
        <w:rPr>
          <w:szCs w:val="24"/>
        </w:rPr>
        <w:t xml:space="preserve"> </w:t>
      </w:r>
      <w:r w:rsidRPr="008C7178">
        <w:rPr>
          <w:i/>
          <w:szCs w:val="24"/>
          <w:vertAlign w:val="subscript"/>
        </w:rPr>
        <w:t>delay</w:t>
      </w:r>
      <w:r w:rsidRPr="008C7178">
        <w:rPr>
          <w:szCs w:val="24"/>
          <w:vertAlign w:val="subscript"/>
        </w:rPr>
        <w:t xml:space="preserve"> </w:t>
      </w:r>
      <w:r w:rsidRPr="008C7178">
        <w:rPr>
          <w:szCs w:val="24"/>
        </w:rPr>
        <w:t>= 0.79 days), participants completed a surprise free-recall memory task and questionnaires. Notably, participants identified, described, and chronologically ordered ten (10) discrete events from within the haunted house. For each event, participants identified</w:t>
      </w:r>
      <w:r w:rsidR="00BB190A">
        <w:rPr>
          <w:szCs w:val="24"/>
        </w:rPr>
        <w:t xml:space="preserve"> whether the event was fear-eliciting,</w:t>
      </w:r>
      <w:r w:rsidRPr="008C7178">
        <w:rPr>
          <w:szCs w:val="24"/>
        </w:rPr>
        <w:t xml:space="preserve"> which of 13 emotion categories they had felt</w:t>
      </w:r>
      <w:r w:rsidR="00322180">
        <w:rPr>
          <w:szCs w:val="24"/>
        </w:rPr>
        <w:t xml:space="preserve"> (</w:t>
      </w:r>
      <w:r w:rsidR="00861E10" w:rsidRPr="00861E10">
        <w:rPr>
          <w:szCs w:val="24"/>
        </w:rPr>
        <w:t>a</w:t>
      </w:r>
      <w:r w:rsidR="00861E10" w:rsidRPr="0094060F">
        <w:rPr>
          <w:szCs w:val="24"/>
        </w:rPr>
        <w:t xml:space="preserve">dapted </w:t>
      </w:r>
      <w:r w:rsidR="00322180">
        <w:rPr>
          <w:szCs w:val="24"/>
        </w:rPr>
        <w:t>from the PANAS)</w:t>
      </w:r>
      <w:r w:rsidRPr="008C7178">
        <w:rPr>
          <w:szCs w:val="24"/>
        </w:rPr>
        <w:t xml:space="preserve">, the intensity of each of those emotions, the </w:t>
      </w:r>
      <w:r w:rsidR="005C6A10">
        <w:rPr>
          <w:szCs w:val="24"/>
        </w:rPr>
        <w:t>effort participants exerted</w:t>
      </w:r>
      <w:r w:rsidR="005C6A10" w:rsidRPr="008C7178">
        <w:rPr>
          <w:szCs w:val="24"/>
        </w:rPr>
        <w:t xml:space="preserve"> </w:t>
      </w:r>
      <w:r w:rsidRPr="008C7178">
        <w:rPr>
          <w:szCs w:val="24"/>
        </w:rPr>
        <w:t>t</w:t>
      </w:r>
      <w:r w:rsidR="005C6A10">
        <w:rPr>
          <w:szCs w:val="24"/>
        </w:rPr>
        <w:t>rying</w:t>
      </w:r>
      <w:r w:rsidRPr="008C7178">
        <w:rPr>
          <w:szCs w:val="24"/>
        </w:rPr>
        <w:t xml:space="preserve"> to regulate each of those emotions, and to describe how they attempted to regulate them (if at all). It must be noted </w:t>
      </w:r>
      <w:r w:rsidRPr="008C7178">
        <w:rPr>
          <w:szCs w:val="24"/>
        </w:rPr>
        <w:lastRenderedPageBreak/>
        <w:t xml:space="preserve">that while participants were able to endorse multiple emotions of differing intensities for any one event, participants were only asked about their regulatory behavior once per event and not whether that regulatory behavior was directed towards any specific emotions endorsed during that event. Thus, because we have greater granularity of emotion than we do the regulatory responses to those emotions, the association between these variables was assessed through multiple approaches to account for this discrepancy. To avoid confusion, we refer to this approach as capturing regulatory behaviors at the “event-level”. During </w:t>
      </w:r>
      <w:r w:rsidR="00245CC6">
        <w:rPr>
          <w:szCs w:val="24"/>
        </w:rPr>
        <w:t>Study</w:t>
      </w:r>
      <w:r w:rsidR="00A10284">
        <w:rPr>
          <w:szCs w:val="24"/>
        </w:rPr>
        <w:t xml:space="preserve"> 1</w:t>
      </w:r>
      <w:r w:rsidRPr="008C7178">
        <w:rPr>
          <w:szCs w:val="24"/>
        </w:rPr>
        <w:t>, we ask participants about their regulatory responses to each emotion they endorsed, which we refer to as capturing regulatory responses at the “emotion-level”.</w:t>
      </w:r>
      <w:r>
        <w:rPr>
          <w:szCs w:val="24"/>
        </w:rPr>
        <w:t xml:space="preserve"> For any one event, one or more emotions may have been endorsed by the participant.</w:t>
      </w:r>
    </w:p>
    <w:p w14:paraId="21384AAC" w14:textId="7C25A879" w:rsidR="00EE0C3E" w:rsidRPr="00A10284" w:rsidRDefault="00EE0C3E" w:rsidP="00A10284">
      <w:pPr>
        <w:spacing w:after="0" w:line="480" w:lineRule="auto"/>
        <w:ind w:left="0" w:firstLine="720"/>
        <w:rPr>
          <w:szCs w:val="24"/>
        </w:rPr>
      </w:pPr>
      <w:r w:rsidRPr="008C7178">
        <w:rPr>
          <w:szCs w:val="24"/>
        </w:rPr>
        <w:t>Participants were not trained in emotion regulation strategies, nor were they primed to consider their emotion regulation strategies prior to these questionnaires</w:t>
      </w:r>
      <w:r>
        <w:rPr>
          <w:szCs w:val="24"/>
        </w:rPr>
        <w:t xml:space="preserve">. Though EMA approaches could also be applied in such a setting, the training and/or consideration of experience required would violate the immersive, naturalistic experience we aimed to model. </w:t>
      </w:r>
      <w:r w:rsidRPr="008C7178">
        <w:rPr>
          <w:szCs w:val="24"/>
        </w:rPr>
        <w:t xml:space="preserve">Emotion categories were adapted from the Positive and Negative Affect Schedule (PANAS) </w:t>
      </w:r>
      <w:r w:rsidR="00A10284">
        <w:rPr>
          <w:szCs w:val="24"/>
        </w:rPr>
        <w:fldChar w:fldCharType="begin"/>
      </w:r>
      <w:r w:rsidR="0008712C">
        <w:rPr>
          <w:szCs w:val="24"/>
        </w:rPr>
        <w:instrText xml:space="preserve"> ADDIN ZOTERO_ITEM CSL_CITATION {"citationID":"bsKT9j2w","properties":{"formattedCitation":"(Watson et al., 1988)","plainCitation":"(Watson et al., 1988)","noteIndex":0},"citationItems":[{"id":9087,"uris":["http://zotero.org/users/6239255/items/2VQ2GTXN"],"itemData":{"id":9087,"type":"article-journal","container-title":"Journal of Personality and Social Psychology","issue":"6","language":"en","page":"1063-1070","source":"Zotero","title":"Development and Validation of Brief Measures of Positive and Negative Affect: The PANAS Scales","volume":"54","author":[{"family":"Watson","given":"David"},{"family":"Anna","given":"Lee"},{"family":"Tellegen","given":"Auke"}],"issued":{"date-parts":[["1988"]]}}}],"schema":"https://github.com/citation-style-language/schema/raw/master/csl-citation.json"} </w:instrText>
      </w:r>
      <w:r w:rsidR="00A10284">
        <w:rPr>
          <w:szCs w:val="24"/>
        </w:rPr>
        <w:fldChar w:fldCharType="separate"/>
      </w:r>
      <w:r w:rsidR="000E4249" w:rsidRPr="000E4249">
        <w:t>(Watson et al., 1988)</w:t>
      </w:r>
      <w:r w:rsidR="00A10284">
        <w:rPr>
          <w:szCs w:val="24"/>
        </w:rPr>
        <w:fldChar w:fldCharType="end"/>
      </w:r>
      <w:r w:rsidRPr="008C7178">
        <w:rPr>
          <w:szCs w:val="24"/>
        </w:rPr>
        <w:t xml:space="preserve">. Some noted additions relevant to a typical haunted house experience included “tense”, and “disgusted”. Ten of the 13 options were negatively-valenced emotions (i.e., </w:t>
      </w:r>
      <w:r w:rsidRPr="008C7178">
        <w:rPr>
          <w:i/>
          <w:szCs w:val="24"/>
        </w:rPr>
        <w:t>Disgusted/Grossed Out, Fearful/Afraid, Hostile/Aggressive, Irritable/Annoyed, Nervous/Jittery, Overwhelmed, Panicked, Shocked/Surprised, Tense, Upset/Distressed</w:t>
      </w:r>
      <w:r w:rsidRPr="008C7178">
        <w:rPr>
          <w:szCs w:val="24"/>
        </w:rPr>
        <w:t>). Applying Cronbac</w:t>
      </w:r>
      <w:r w:rsidR="00512CCD">
        <w:rPr>
          <w:szCs w:val="24"/>
        </w:rPr>
        <w:t>h</w:t>
      </w:r>
      <w:r w:rsidRPr="008C7178">
        <w:rPr>
          <w:szCs w:val="24"/>
        </w:rPr>
        <w:t>'s alpha to the emotional intensity value of negative emotions yielded a value of α = 0.91 (</w:t>
      </w:r>
      <w:r w:rsidRPr="00BE73D6">
        <w:rPr>
          <w:i/>
          <w:iCs/>
          <w:szCs w:val="24"/>
        </w:rPr>
        <w:t>95% CI</w:t>
      </w:r>
      <w:r w:rsidRPr="008C7178">
        <w:rPr>
          <w:szCs w:val="24"/>
        </w:rPr>
        <w:t xml:space="preserve"> = [0.89, 0.92]), suggesting excellent internal consistency. Both emotional intensity and regulation </w:t>
      </w:r>
      <w:r w:rsidR="005C6A10">
        <w:rPr>
          <w:szCs w:val="24"/>
        </w:rPr>
        <w:t>effort</w:t>
      </w:r>
      <w:r w:rsidRPr="008C7178">
        <w:rPr>
          <w:szCs w:val="24"/>
        </w:rPr>
        <w:t xml:space="preserve"> were captured on a 7-point Likert scale</w:t>
      </w:r>
      <w:r w:rsidR="0023305B">
        <w:rPr>
          <w:szCs w:val="24"/>
        </w:rPr>
        <w:t xml:space="preserve">. The first, fourth, and seventh points were labelled </w:t>
      </w:r>
      <w:r w:rsidRPr="008C7178">
        <w:rPr>
          <w:szCs w:val="24"/>
        </w:rPr>
        <w:t>“Not at all”</w:t>
      </w:r>
      <w:r w:rsidR="0023305B">
        <w:rPr>
          <w:szCs w:val="24"/>
        </w:rPr>
        <w:t>, “Somewhat”, and</w:t>
      </w:r>
      <w:r w:rsidRPr="008C7178">
        <w:rPr>
          <w:szCs w:val="24"/>
        </w:rPr>
        <w:t xml:space="preserve"> “A great deal”</w:t>
      </w:r>
      <w:r w:rsidR="0023305B">
        <w:rPr>
          <w:szCs w:val="24"/>
        </w:rPr>
        <w:t>, respectively</w:t>
      </w:r>
      <w:r w:rsidRPr="008C7178">
        <w:rPr>
          <w:szCs w:val="24"/>
        </w:rPr>
        <w:t xml:space="preserve">. Regulation strategies were captured for each event </w:t>
      </w:r>
      <w:r w:rsidRPr="008C7178">
        <w:rPr>
          <w:szCs w:val="24"/>
        </w:rPr>
        <w:lastRenderedPageBreak/>
        <w:t xml:space="preserve">using </w:t>
      </w:r>
      <w:proofErr w:type="gramStart"/>
      <w:r w:rsidRPr="008C7178">
        <w:rPr>
          <w:szCs w:val="24"/>
        </w:rPr>
        <w:t>free-response</w:t>
      </w:r>
      <w:proofErr w:type="gramEnd"/>
      <w:r w:rsidRPr="008C7178">
        <w:rPr>
          <w:szCs w:val="24"/>
        </w:rPr>
        <w:t xml:space="preserve"> to the prompt: </w:t>
      </w:r>
      <w:r w:rsidRPr="008C7178">
        <w:rPr>
          <w:i/>
          <w:szCs w:val="24"/>
        </w:rPr>
        <w:t>If you did attempt to change or regulate your emotions, how did you do so?</w:t>
      </w:r>
      <w:r w:rsidRPr="008C7178">
        <w:rPr>
          <w:szCs w:val="24"/>
        </w:rPr>
        <w:t xml:space="preserve"> Participants were subsequently debriefed and paid for their participation.</w:t>
      </w:r>
    </w:p>
    <w:p w14:paraId="07955A3E" w14:textId="77777777" w:rsidR="00EE0C3E" w:rsidRDefault="00EE0C3E" w:rsidP="00A10284">
      <w:pPr>
        <w:spacing w:after="0" w:line="480" w:lineRule="auto"/>
        <w:ind w:left="0" w:firstLine="720"/>
        <w:rPr>
          <w:b/>
          <w:szCs w:val="24"/>
        </w:rPr>
      </w:pPr>
      <w:r w:rsidRPr="008C7178">
        <w:rPr>
          <w:b/>
          <w:szCs w:val="24"/>
        </w:rPr>
        <w:t xml:space="preserve">Analysis. </w:t>
      </w:r>
      <w:r w:rsidRPr="008C7178">
        <w:rPr>
          <w:szCs w:val="24"/>
        </w:rPr>
        <w:t>To explore our primary question, the effect of emotional intensity upon regulatory strategy usage, we specified multilevel binary logistic regressions accounting for the random effect of participants using the “lme4” package (Bates et al., 2015) in R (R Core Team, 2022). We followed an information theoretic approach via AIC comparison. Our model comparisons included a: A) a null model without fixed effects, B) a model containing only z-scored emotional intensity as a fixed effect, C) a model containing only person-centered, z-scored emotional intensity and person-mean, z-scored emotional intensity as fixed effects, and D) a model including person</w:t>
      </w:r>
      <w:r>
        <w:rPr>
          <w:szCs w:val="24"/>
        </w:rPr>
        <w:t>-</w:t>
      </w:r>
      <w:r w:rsidRPr="008C7178">
        <w:rPr>
          <w:szCs w:val="24"/>
        </w:rPr>
        <w:t xml:space="preserve">centered and person-mean z-scored emotional intensity with covariates. </w:t>
      </w:r>
      <w:r>
        <w:rPr>
          <w:szCs w:val="24"/>
        </w:rPr>
        <w:t>All data and scripts used to produce this analysis are publicly available at OSF (</w:t>
      </w:r>
      <w:r>
        <w:rPr>
          <w:i/>
          <w:iCs/>
          <w:szCs w:val="24"/>
        </w:rPr>
        <w:t xml:space="preserve">See </w:t>
      </w:r>
      <w:r>
        <w:rPr>
          <w:szCs w:val="24"/>
        </w:rPr>
        <w:t xml:space="preserve">Open Practices). This study was not pre-registered. </w:t>
      </w:r>
    </w:p>
    <w:p w14:paraId="07B3A104" w14:textId="5FC8D5C2" w:rsidR="00EE0C3E" w:rsidRDefault="00857F3D" w:rsidP="00A10284">
      <w:pPr>
        <w:spacing w:after="0" w:line="480" w:lineRule="auto"/>
        <w:ind w:left="0" w:firstLine="720"/>
        <w:rPr>
          <w:b/>
          <w:szCs w:val="24"/>
        </w:rPr>
      </w:pPr>
      <w:r>
        <w:rPr>
          <w:b/>
          <w:szCs w:val="24"/>
        </w:rPr>
        <w:t>P</w:t>
      </w:r>
      <w:r w:rsidR="005F2875">
        <w:rPr>
          <w:b/>
          <w:szCs w:val="24"/>
        </w:rPr>
        <w:t>RELIMINARY</w:t>
      </w:r>
      <w:r>
        <w:rPr>
          <w:b/>
          <w:szCs w:val="24"/>
        </w:rPr>
        <w:t xml:space="preserve"> STUDY </w:t>
      </w:r>
      <w:r w:rsidR="00EE0C3E" w:rsidRPr="008C7178">
        <w:rPr>
          <w:b/>
          <w:szCs w:val="24"/>
        </w:rPr>
        <w:t>RESULTS</w:t>
      </w:r>
      <w:bookmarkStart w:id="1" w:name="_Hlk120029863"/>
    </w:p>
    <w:p w14:paraId="1134DB8A" w14:textId="62252CA4" w:rsidR="00EE0C3E" w:rsidRDefault="00EE0C3E" w:rsidP="00A10284">
      <w:pPr>
        <w:spacing w:after="0" w:line="480" w:lineRule="auto"/>
        <w:ind w:left="0" w:firstLine="720"/>
        <w:rPr>
          <w:szCs w:val="24"/>
        </w:rPr>
      </w:pPr>
      <w:r w:rsidRPr="008C7178">
        <w:rPr>
          <w:szCs w:val="24"/>
        </w:rPr>
        <w:t xml:space="preserve">As we primarily aimed to determine </w:t>
      </w:r>
      <w:r>
        <w:rPr>
          <w:szCs w:val="24"/>
        </w:rPr>
        <w:t>how analogous associations observed in</w:t>
      </w:r>
      <w:r w:rsidRPr="008C7178">
        <w:rPr>
          <w:szCs w:val="24"/>
        </w:rPr>
        <w:t xml:space="preserve"> ER strategy choice paradigms </w:t>
      </w:r>
      <w:r>
        <w:rPr>
          <w:szCs w:val="24"/>
        </w:rPr>
        <w:t>were to ER usage in</w:t>
      </w:r>
      <w:r w:rsidRPr="008C7178">
        <w:rPr>
          <w:szCs w:val="24"/>
        </w:rPr>
        <w:t xml:space="preserve"> </w:t>
      </w:r>
      <w:r>
        <w:rPr>
          <w:szCs w:val="24"/>
        </w:rPr>
        <w:t>quasi-natural</w:t>
      </w:r>
      <w:r w:rsidRPr="008C7178">
        <w:rPr>
          <w:szCs w:val="24"/>
        </w:rPr>
        <w:t xml:space="preserve">istic contexts, observations that did not contain negative emotions regulated by either distraction or reappraisal were beyond the purview of our study. Our full dataset consisted of 469 unique events from 47 participants with an average of 2.43 emotions (SD) endorsed per event. Of the 1138 endorsed emotions, 603 (52.99%) were classified as being negatively valenced. Of the 603 negative emotions endorsed, there were 166 observations in which a negative emotion was downregulated by either distraction or reappraisal. These 166 observations came from 78 unique events reported by 32 participants. Of the 78 unique events, 57 events (74.36%), or 130 observations (78.31%) reported using distraction to regulate their emotions. The average emotional intensity of observations was </w:t>
      </w:r>
      <w:r w:rsidR="00902E89">
        <w:rPr>
          <w:szCs w:val="24"/>
        </w:rPr>
        <w:t>4</w:t>
      </w:r>
      <w:r w:rsidRPr="008C7178">
        <w:rPr>
          <w:szCs w:val="24"/>
        </w:rPr>
        <w:t xml:space="preserve">.55 (range: </w:t>
      </w:r>
      <w:r w:rsidR="00902E89">
        <w:rPr>
          <w:szCs w:val="24"/>
        </w:rPr>
        <w:t>0</w:t>
      </w:r>
      <w:r w:rsidRPr="008C7178">
        <w:rPr>
          <w:szCs w:val="24"/>
        </w:rPr>
        <w:t xml:space="preserve"> – </w:t>
      </w:r>
      <w:r w:rsidR="00902E89">
        <w:rPr>
          <w:szCs w:val="24"/>
        </w:rPr>
        <w:t>6</w:t>
      </w:r>
      <w:r w:rsidRPr="008C7178">
        <w:rPr>
          <w:szCs w:val="24"/>
        </w:rPr>
        <w:t xml:space="preserve">, Likert scale).  </w:t>
      </w:r>
    </w:p>
    <w:p w14:paraId="33D702BE" w14:textId="2C09ECBE" w:rsidR="00EE0C3E" w:rsidRPr="00EE6731" w:rsidRDefault="00EE0C3E" w:rsidP="00A10284">
      <w:pPr>
        <w:spacing w:after="0" w:line="480" w:lineRule="auto"/>
        <w:ind w:left="0" w:firstLine="720"/>
        <w:rPr>
          <w:b/>
          <w:szCs w:val="24"/>
        </w:rPr>
      </w:pPr>
      <w:r w:rsidRPr="008C7178">
        <w:rPr>
          <w:b/>
          <w:szCs w:val="24"/>
        </w:rPr>
        <w:lastRenderedPageBreak/>
        <w:t xml:space="preserve">Intensity </w:t>
      </w:r>
      <w:r w:rsidR="009B06C2">
        <w:rPr>
          <w:b/>
          <w:szCs w:val="24"/>
        </w:rPr>
        <w:t xml:space="preserve">and state anxiety </w:t>
      </w:r>
      <w:r w:rsidRPr="008C7178">
        <w:rPr>
          <w:b/>
          <w:szCs w:val="24"/>
        </w:rPr>
        <w:t xml:space="preserve">predicts regulatory </w:t>
      </w:r>
      <w:r w:rsidR="00002F5B">
        <w:rPr>
          <w:b/>
          <w:szCs w:val="24"/>
        </w:rPr>
        <w:t>extent</w:t>
      </w:r>
      <w:r w:rsidRPr="008C7178">
        <w:rPr>
          <w:b/>
          <w:szCs w:val="24"/>
        </w:rPr>
        <w:t>.</w:t>
      </w:r>
      <w:r>
        <w:rPr>
          <w:bCs/>
          <w:szCs w:val="24"/>
        </w:rPr>
        <w:t xml:space="preserve"> Pro-hedonic </w:t>
      </w:r>
      <w:r w:rsidR="005C6A10">
        <w:rPr>
          <w:bCs/>
          <w:szCs w:val="24"/>
        </w:rPr>
        <w:t xml:space="preserve">trends in </w:t>
      </w:r>
      <w:r>
        <w:rPr>
          <w:bCs/>
          <w:szCs w:val="24"/>
        </w:rPr>
        <w:t xml:space="preserve">emotion regulation (i.e., minimizing aversive experiences) suggest that a positive linear relationship should exist between negative affective </w:t>
      </w:r>
      <w:r w:rsidR="009B06C2">
        <w:rPr>
          <w:bCs/>
          <w:szCs w:val="24"/>
        </w:rPr>
        <w:t>states</w:t>
      </w:r>
      <w:r>
        <w:rPr>
          <w:bCs/>
          <w:szCs w:val="24"/>
        </w:rPr>
        <w:t xml:space="preserve"> and effort</w:t>
      </w:r>
      <w:r w:rsidR="009B06C2">
        <w:rPr>
          <w:bCs/>
          <w:szCs w:val="24"/>
        </w:rPr>
        <w:t>s</w:t>
      </w:r>
      <w:r>
        <w:rPr>
          <w:bCs/>
          <w:szCs w:val="24"/>
        </w:rPr>
        <w:t xml:space="preserve"> to regulate th</w:t>
      </w:r>
      <w:r w:rsidR="009B06C2">
        <w:rPr>
          <w:bCs/>
          <w:szCs w:val="24"/>
        </w:rPr>
        <w:t>ose</w:t>
      </w:r>
      <w:r>
        <w:rPr>
          <w:bCs/>
          <w:szCs w:val="24"/>
        </w:rPr>
        <w:t xml:space="preserve"> experience</w:t>
      </w:r>
      <w:r w:rsidR="009B06C2">
        <w:rPr>
          <w:bCs/>
          <w:szCs w:val="24"/>
        </w:rPr>
        <w:t>s</w:t>
      </w:r>
      <w:r>
        <w:rPr>
          <w:bCs/>
          <w:szCs w:val="24"/>
        </w:rPr>
        <w:t xml:space="preserve">. If </w:t>
      </w:r>
      <w:r w:rsidR="009B06C2">
        <w:rPr>
          <w:bCs/>
          <w:szCs w:val="24"/>
        </w:rPr>
        <w:t>we did not find associations between how intense an emotional experience was or how anxiety-provoking an experience was and how much effort someone devoted to regulating that event</w:t>
      </w:r>
      <w:r w:rsidR="00D02068">
        <w:rPr>
          <w:bCs/>
          <w:szCs w:val="24"/>
        </w:rPr>
        <w:t xml:space="preserve"> – regardless of </w:t>
      </w:r>
      <w:r w:rsidR="00D02068" w:rsidRPr="00BE73D6">
        <w:rPr>
          <w:bCs/>
          <w:i/>
          <w:iCs/>
          <w:szCs w:val="24"/>
        </w:rPr>
        <w:t>how</w:t>
      </w:r>
      <w:r w:rsidR="00D02068">
        <w:rPr>
          <w:bCs/>
          <w:szCs w:val="24"/>
        </w:rPr>
        <w:t xml:space="preserve"> they regulate it – it may call into question whether our paradigm is well suited to elicit emotion regulation behaviors</w:t>
      </w:r>
      <w:r>
        <w:rPr>
          <w:bCs/>
          <w:szCs w:val="24"/>
        </w:rPr>
        <w:t xml:space="preserve">. </w:t>
      </w:r>
      <w:r w:rsidR="005C6A10">
        <w:rPr>
          <w:bCs/>
          <w:szCs w:val="24"/>
        </w:rPr>
        <w:t xml:space="preserve">For each event, we asked participants how intense the emotions that they endorse were as well as </w:t>
      </w:r>
      <w:r w:rsidR="00002F5B">
        <w:rPr>
          <w:bCs/>
          <w:szCs w:val="24"/>
        </w:rPr>
        <w:t>the extent to which they attempted to</w:t>
      </w:r>
      <w:r w:rsidR="005C6A10">
        <w:rPr>
          <w:bCs/>
          <w:szCs w:val="24"/>
        </w:rPr>
        <w:t xml:space="preserve"> regulate that event</w:t>
      </w:r>
      <w:r w:rsidR="00002F5B">
        <w:rPr>
          <w:bCs/>
          <w:szCs w:val="24"/>
        </w:rPr>
        <w:t xml:space="preserve"> (i.e., “</w:t>
      </w:r>
      <w:r w:rsidR="00002F5B" w:rsidRPr="00002F5B">
        <w:rPr>
          <w:bCs/>
          <w:szCs w:val="24"/>
        </w:rPr>
        <w:t xml:space="preserve">To what extent did you attempt to change or regulate </w:t>
      </w:r>
      <w:r w:rsidR="00002F5B">
        <w:rPr>
          <w:bCs/>
          <w:szCs w:val="24"/>
        </w:rPr>
        <w:t>how</w:t>
      </w:r>
      <w:r w:rsidR="00002F5B" w:rsidRPr="00002F5B">
        <w:rPr>
          <w:bCs/>
          <w:szCs w:val="24"/>
        </w:rPr>
        <w:t xml:space="preserve"> you felt during this event?</w:t>
      </w:r>
      <w:r w:rsidR="00002F5B">
        <w:rPr>
          <w:bCs/>
          <w:szCs w:val="24"/>
        </w:rPr>
        <w:t>”), which may be comparable to effort</w:t>
      </w:r>
      <w:r w:rsidR="005C6A10">
        <w:rPr>
          <w:bCs/>
          <w:szCs w:val="24"/>
        </w:rPr>
        <w:t>.</w:t>
      </w:r>
      <w:r w:rsidR="00D02068">
        <w:rPr>
          <w:bCs/>
          <w:szCs w:val="24"/>
        </w:rPr>
        <w:t xml:space="preserve"> We also assessed state anxiety prior to entering the haunted house.</w:t>
      </w:r>
      <w:r w:rsidR="005C6A10">
        <w:rPr>
          <w:bCs/>
          <w:szCs w:val="24"/>
        </w:rPr>
        <w:t xml:space="preserve"> </w:t>
      </w:r>
      <w:r w:rsidRPr="008C7178">
        <w:rPr>
          <w:szCs w:val="24"/>
        </w:rPr>
        <w:t xml:space="preserve">To </w:t>
      </w:r>
      <w:r>
        <w:rPr>
          <w:szCs w:val="24"/>
        </w:rPr>
        <w:t xml:space="preserve">assess </w:t>
      </w:r>
      <w:r w:rsidR="00D02068">
        <w:rPr>
          <w:szCs w:val="24"/>
        </w:rPr>
        <w:t>an association between event intensity and event regulation e</w:t>
      </w:r>
      <w:r w:rsidR="00002F5B">
        <w:rPr>
          <w:szCs w:val="24"/>
        </w:rPr>
        <w:t>xtent</w:t>
      </w:r>
      <w:r w:rsidRPr="008C7178">
        <w:rPr>
          <w:szCs w:val="24"/>
        </w:rPr>
        <w:t xml:space="preserve">, we ran multilevel linear models specifying regulatory </w:t>
      </w:r>
      <w:r w:rsidR="005C6A10">
        <w:rPr>
          <w:szCs w:val="24"/>
        </w:rPr>
        <w:t>e</w:t>
      </w:r>
      <w:r w:rsidR="00002F5B">
        <w:rPr>
          <w:szCs w:val="24"/>
        </w:rPr>
        <w:t>xtent</w:t>
      </w:r>
      <w:r w:rsidRPr="008C7178">
        <w:rPr>
          <w:szCs w:val="24"/>
        </w:rPr>
        <w:t xml:space="preserve"> as our criterion variable, participant as a random intercept, and building fixed effects from a null model (</w:t>
      </w:r>
      <w:r w:rsidRPr="0094060F">
        <w:rPr>
          <w:i/>
          <w:iCs/>
          <w:szCs w:val="24"/>
        </w:rPr>
        <w:t>ICC</w:t>
      </w:r>
      <w:r w:rsidRPr="008C7178">
        <w:rPr>
          <w:szCs w:val="24"/>
        </w:rPr>
        <w:t xml:space="preserve"> = 0.35). Our best performing model as determined by AIC comparison found person-centered emotional intensity to be a significant predictor of regulation </w:t>
      </w:r>
      <w:r w:rsidR="005C6A10">
        <w:rPr>
          <w:szCs w:val="24"/>
        </w:rPr>
        <w:t>e</w:t>
      </w:r>
      <w:r w:rsidR="00002F5B">
        <w:rPr>
          <w:szCs w:val="24"/>
        </w:rPr>
        <w:t>xten</w:t>
      </w:r>
      <w:r w:rsidR="005C6A10">
        <w:rPr>
          <w:szCs w:val="24"/>
        </w:rPr>
        <w:t>t</w:t>
      </w:r>
      <w:r w:rsidRPr="008C7178">
        <w:rPr>
          <w:szCs w:val="24"/>
        </w:rPr>
        <w:t xml:space="preserve"> (</w:t>
      </w:r>
      <w:r w:rsidRPr="00BE73D6">
        <w:rPr>
          <w:i/>
          <w:iCs/>
          <w:szCs w:val="24"/>
        </w:rPr>
        <w:t>β</w:t>
      </w:r>
      <w:r w:rsidRPr="008C7178">
        <w:rPr>
          <w:szCs w:val="24"/>
        </w:rPr>
        <w:t xml:space="preserve"> = 0.31, </w:t>
      </w:r>
      <w:r w:rsidRPr="00BE73D6">
        <w:rPr>
          <w:i/>
          <w:iCs/>
          <w:szCs w:val="24"/>
        </w:rPr>
        <w:t>95% CI</w:t>
      </w:r>
      <w:r w:rsidRPr="008C7178">
        <w:rPr>
          <w:szCs w:val="24"/>
        </w:rPr>
        <w:t xml:space="preserve"> = [0.17, 0.46], </w:t>
      </w:r>
      <w:r w:rsidRPr="00BE73D6">
        <w:rPr>
          <w:i/>
          <w:iCs/>
          <w:szCs w:val="24"/>
        </w:rPr>
        <w:t>p</w:t>
      </w:r>
      <w:r w:rsidRPr="008C7178">
        <w:rPr>
          <w:szCs w:val="24"/>
        </w:rPr>
        <w:t xml:space="preserve"> &lt; 0.001). </w:t>
      </w:r>
      <w:r w:rsidR="00D02068">
        <w:rPr>
          <w:szCs w:val="24"/>
        </w:rPr>
        <w:t>To assess an association between state anxiety and regulatory e</w:t>
      </w:r>
      <w:r w:rsidR="00002F5B">
        <w:rPr>
          <w:szCs w:val="24"/>
        </w:rPr>
        <w:t>xtent</w:t>
      </w:r>
      <w:r w:rsidR="00D02068">
        <w:rPr>
          <w:szCs w:val="24"/>
        </w:rPr>
        <w:t>, we built a simple linear model regressing each participant’s average self-reported regulatory e</w:t>
      </w:r>
      <w:r w:rsidR="00002F5B">
        <w:rPr>
          <w:szCs w:val="24"/>
        </w:rPr>
        <w:t>xtent</w:t>
      </w:r>
      <w:r w:rsidR="00D02068">
        <w:rPr>
          <w:szCs w:val="24"/>
        </w:rPr>
        <w:t xml:space="preserve"> across events onto State STAI scores and again found a significant positive association </w:t>
      </w:r>
      <w:r w:rsidR="00D02068">
        <w:rPr>
          <w:bCs/>
          <w:szCs w:val="24"/>
        </w:rPr>
        <w:t>(</w:t>
      </w:r>
      <w:r w:rsidR="00D02068" w:rsidRPr="00DD7AA5">
        <w:rPr>
          <w:i/>
          <w:iCs/>
          <w:szCs w:val="24"/>
        </w:rPr>
        <w:t>β</w:t>
      </w:r>
      <w:r w:rsidR="00D02068" w:rsidRPr="008C7178">
        <w:rPr>
          <w:szCs w:val="24"/>
        </w:rPr>
        <w:t xml:space="preserve"> = 0.3</w:t>
      </w:r>
      <w:r w:rsidR="00D02068">
        <w:rPr>
          <w:szCs w:val="24"/>
        </w:rPr>
        <w:t>4</w:t>
      </w:r>
      <w:r w:rsidR="00D02068" w:rsidRPr="008C7178">
        <w:rPr>
          <w:szCs w:val="24"/>
        </w:rPr>
        <w:t xml:space="preserve">, </w:t>
      </w:r>
      <w:r w:rsidR="00D02068" w:rsidRPr="00DD7AA5">
        <w:rPr>
          <w:i/>
          <w:iCs/>
          <w:szCs w:val="24"/>
        </w:rPr>
        <w:t>95% CI</w:t>
      </w:r>
      <w:r w:rsidR="00D02068" w:rsidRPr="008C7178">
        <w:rPr>
          <w:szCs w:val="24"/>
        </w:rPr>
        <w:t xml:space="preserve"> = [0.</w:t>
      </w:r>
      <w:r w:rsidR="00D02068">
        <w:rPr>
          <w:szCs w:val="24"/>
        </w:rPr>
        <w:t>054</w:t>
      </w:r>
      <w:r w:rsidR="00D02068" w:rsidRPr="008C7178">
        <w:rPr>
          <w:szCs w:val="24"/>
        </w:rPr>
        <w:t>, 0.</w:t>
      </w:r>
      <w:r w:rsidR="00D02068">
        <w:rPr>
          <w:szCs w:val="24"/>
        </w:rPr>
        <w:t>626</w:t>
      </w:r>
      <w:r w:rsidR="00D02068" w:rsidRPr="008C7178">
        <w:rPr>
          <w:szCs w:val="24"/>
        </w:rPr>
        <w:t xml:space="preserve">], </w:t>
      </w:r>
      <w:r w:rsidR="00D02068" w:rsidRPr="00DD7AA5">
        <w:rPr>
          <w:i/>
          <w:iCs/>
          <w:szCs w:val="24"/>
        </w:rPr>
        <w:t>p</w:t>
      </w:r>
      <w:r w:rsidR="00D02068" w:rsidRPr="008C7178">
        <w:rPr>
          <w:szCs w:val="24"/>
        </w:rPr>
        <w:t xml:space="preserve"> </w:t>
      </w:r>
      <w:r w:rsidR="00D02068">
        <w:rPr>
          <w:szCs w:val="24"/>
        </w:rPr>
        <w:t>=</w:t>
      </w:r>
      <w:r w:rsidR="00D02068" w:rsidRPr="008C7178">
        <w:rPr>
          <w:szCs w:val="24"/>
        </w:rPr>
        <w:t xml:space="preserve"> 0.0</w:t>
      </w:r>
      <w:r w:rsidR="00D02068">
        <w:rPr>
          <w:szCs w:val="24"/>
        </w:rPr>
        <w:t>21</w:t>
      </w:r>
      <w:r w:rsidR="00D02068">
        <w:rPr>
          <w:bCs/>
          <w:szCs w:val="24"/>
        </w:rPr>
        <w:t>)</w:t>
      </w:r>
      <w:r w:rsidR="00D02068">
        <w:rPr>
          <w:szCs w:val="24"/>
        </w:rPr>
        <w:t xml:space="preserve">. These results </w:t>
      </w:r>
      <w:r w:rsidR="00D02068" w:rsidRPr="008C7178">
        <w:rPr>
          <w:szCs w:val="24"/>
        </w:rPr>
        <w:t xml:space="preserve">suggest our paradigm elicited regulatory behaviors from participants </w:t>
      </w:r>
      <w:r w:rsidR="00D02068">
        <w:rPr>
          <w:szCs w:val="24"/>
        </w:rPr>
        <w:t>that follow a logical, predictable pattern.</w:t>
      </w:r>
    </w:p>
    <w:p w14:paraId="082EBCE7" w14:textId="13CBF697" w:rsidR="00EE0C3E" w:rsidRDefault="00EE0C3E" w:rsidP="00A10284">
      <w:pPr>
        <w:spacing w:after="0" w:line="480" w:lineRule="auto"/>
        <w:ind w:left="0" w:firstLine="720"/>
        <w:rPr>
          <w:szCs w:val="24"/>
        </w:rPr>
      </w:pPr>
      <w:r w:rsidRPr="008C7178">
        <w:rPr>
          <w:b/>
          <w:szCs w:val="24"/>
        </w:rPr>
        <w:t>Intensity d</w:t>
      </w:r>
      <w:r>
        <w:rPr>
          <w:b/>
          <w:szCs w:val="24"/>
        </w:rPr>
        <w:t>id</w:t>
      </w:r>
      <w:r w:rsidRPr="008C7178">
        <w:rPr>
          <w:b/>
          <w:szCs w:val="24"/>
        </w:rPr>
        <w:t xml:space="preserve"> not predict regulatory strategy </w:t>
      </w:r>
      <w:r>
        <w:rPr>
          <w:b/>
          <w:szCs w:val="24"/>
        </w:rPr>
        <w:t>usage</w:t>
      </w:r>
      <w:r w:rsidRPr="008C7178">
        <w:rPr>
          <w:b/>
          <w:szCs w:val="24"/>
        </w:rPr>
        <w:t xml:space="preserve">. </w:t>
      </w:r>
      <w:r w:rsidRPr="008C7178">
        <w:rPr>
          <w:szCs w:val="24"/>
        </w:rPr>
        <w:t xml:space="preserve">Using multilevel binary logistic regression models specifying regulation strategy </w:t>
      </w:r>
      <w:r>
        <w:rPr>
          <w:szCs w:val="24"/>
        </w:rPr>
        <w:t>usage</w:t>
      </w:r>
      <w:r w:rsidRPr="008C7178">
        <w:rPr>
          <w:szCs w:val="24"/>
        </w:rPr>
        <w:t xml:space="preserve"> as our criterion variable, participant as a random intercept, and building fixed effects from a null model (</w:t>
      </w:r>
      <w:r w:rsidRPr="0094060F">
        <w:rPr>
          <w:i/>
          <w:iCs/>
          <w:szCs w:val="24"/>
        </w:rPr>
        <w:t>ICC</w:t>
      </w:r>
      <w:r w:rsidRPr="008C7178">
        <w:rPr>
          <w:szCs w:val="24"/>
        </w:rPr>
        <w:t xml:space="preserve"> = 0.70), we failed to find any </w:t>
      </w:r>
      <w:r w:rsidRPr="008C7178">
        <w:rPr>
          <w:szCs w:val="24"/>
        </w:rPr>
        <w:lastRenderedPageBreak/>
        <w:t xml:space="preserve">model that performed better than our null model by AIC comparison. Our model using only emotional intensity to predict regulation strategy </w:t>
      </w:r>
      <w:r>
        <w:rPr>
          <w:szCs w:val="24"/>
        </w:rPr>
        <w:t>usage</w:t>
      </w:r>
      <w:r w:rsidRPr="008C7178">
        <w:rPr>
          <w:szCs w:val="24"/>
        </w:rPr>
        <w:t xml:space="preserve"> trended significant in the model comparison (</w:t>
      </w:r>
      <w:r w:rsidRPr="0094060F">
        <w:rPr>
          <w:i/>
          <w:iCs/>
          <w:szCs w:val="24"/>
        </w:rPr>
        <w:t>p</w:t>
      </w:r>
      <w:r w:rsidRPr="008C7178">
        <w:rPr>
          <w:szCs w:val="24"/>
        </w:rPr>
        <w:t xml:space="preserve"> = 0.063). However, even if traditional statistical thresholds were loosened and the model was deemed superior to our null, within that model, we did not find that emotional intensity </w:t>
      </w:r>
      <w:r w:rsidR="00097D65">
        <w:rPr>
          <w:szCs w:val="24"/>
        </w:rPr>
        <w:t>predicted</w:t>
      </w:r>
      <w:r w:rsidRPr="008C7178">
        <w:rPr>
          <w:szCs w:val="24"/>
        </w:rPr>
        <w:t xml:space="preserve"> strategy usage in that model (</w:t>
      </w:r>
      <w:r w:rsidRPr="0094060F">
        <w:rPr>
          <w:i/>
          <w:iCs/>
          <w:szCs w:val="24"/>
        </w:rPr>
        <w:t>OR</w:t>
      </w:r>
      <w:r w:rsidRPr="008C7178">
        <w:rPr>
          <w:szCs w:val="24"/>
        </w:rPr>
        <w:t xml:space="preserve"> = 1.83, 95% </w:t>
      </w:r>
      <w:r w:rsidRPr="0094060F">
        <w:rPr>
          <w:i/>
          <w:iCs/>
          <w:szCs w:val="24"/>
        </w:rPr>
        <w:t>CI</w:t>
      </w:r>
      <w:r w:rsidRPr="008C7178">
        <w:rPr>
          <w:szCs w:val="24"/>
        </w:rPr>
        <w:t xml:space="preserve"> = [0.65, 3.2], </w:t>
      </w:r>
      <w:r w:rsidRPr="0094060F">
        <w:rPr>
          <w:i/>
          <w:iCs/>
          <w:szCs w:val="24"/>
        </w:rPr>
        <w:t>p</w:t>
      </w:r>
      <w:r w:rsidRPr="008C7178">
        <w:rPr>
          <w:szCs w:val="24"/>
        </w:rPr>
        <w:t xml:space="preserve"> = 0.079). </w:t>
      </w:r>
    </w:p>
    <w:p w14:paraId="4F6DA9C4" w14:textId="5ECA5CD1" w:rsidR="00857F3D" w:rsidRDefault="00EE0C3E" w:rsidP="00857F3D">
      <w:pPr>
        <w:spacing w:after="0" w:line="480" w:lineRule="auto"/>
        <w:ind w:left="0" w:firstLine="720"/>
        <w:rPr>
          <w:szCs w:val="24"/>
        </w:rPr>
      </w:pPr>
      <w:r w:rsidRPr="008C7178">
        <w:rPr>
          <w:szCs w:val="24"/>
        </w:rPr>
        <w:t xml:space="preserve">Because of the previously noted discrepancy in granularity of capturing emotion and regulation, analyzing the relationship between individual emotions and event-level regulatory strategies may be missing stronger relationships between emotions and regulation that exist when analyzing data at the event-level only. As such, additional analyses were conducted using the average emotional intensity of each event to predict strategy choice as well as the sum of emotional intensity for each event to predict strategy </w:t>
      </w:r>
      <w:r>
        <w:rPr>
          <w:szCs w:val="24"/>
        </w:rPr>
        <w:t>usage</w:t>
      </w:r>
      <w:r w:rsidRPr="008C7178">
        <w:rPr>
          <w:szCs w:val="24"/>
        </w:rPr>
        <w:t>. In both cases, multilevel binary logistic regressions failed to perform better than the null model (</w:t>
      </w:r>
      <w:r w:rsidRPr="0094060F">
        <w:rPr>
          <w:i/>
          <w:iCs/>
          <w:szCs w:val="24"/>
        </w:rPr>
        <w:t>ICC</w:t>
      </w:r>
      <w:r w:rsidRPr="008C7178">
        <w:rPr>
          <w:szCs w:val="24"/>
        </w:rPr>
        <w:t xml:space="preserve"> = 0.28; Emotion Sum: </w:t>
      </w:r>
      <w:r w:rsidRPr="0094060F">
        <w:rPr>
          <w:i/>
          <w:iCs/>
          <w:szCs w:val="24"/>
        </w:rPr>
        <w:t>p</w:t>
      </w:r>
      <w:r w:rsidRPr="008C7178">
        <w:rPr>
          <w:szCs w:val="24"/>
        </w:rPr>
        <w:t xml:space="preserve"> = 0.130; Emotion Average: </w:t>
      </w:r>
      <w:r w:rsidRPr="0094060F">
        <w:rPr>
          <w:i/>
          <w:iCs/>
          <w:szCs w:val="24"/>
        </w:rPr>
        <w:t>p</w:t>
      </w:r>
      <w:r w:rsidRPr="008C7178">
        <w:rPr>
          <w:szCs w:val="24"/>
        </w:rPr>
        <w:t xml:space="preserve"> = 0.430) and none of the affective variables </w:t>
      </w:r>
      <w:r w:rsidR="00097D65">
        <w:rPr>
          <w:szCs w:val="24"/>
        </w:rPr>
        <w:t>predicted</w:t>
      </w:r>
      <w:r w:rsidRPr="008C7178">
        <w:rPr>
          <w:szCs w:val="24"/>
        </w:rPr>
        <w:t xml:space="preserve"> strategy </w:t>
      </w:r>
      <w:r>
        <w:rPr>
          <w:szCs w:val="24"/>
        </w:rPr>
        <w:t>usage</w:t>
      </w:r>
      <w:r w:rsidRPr="008C7178">
        <w:rPr>
          <w:szCs w:val="24"/>
        </w:rPr>
        <w:t>,</w:t>
      </w:r>
      <w:r w:rsidRPr="008C7178">
        <w:rPr>
          <w:rFonts w:eastAsia="Calibri"/>
          <w:szCs w:val="24"/>
        </w:rPr>
        <w:t xml:space="preserve"> </w:t>
      </w:r>
      <w:r w:rsidRPr="008C7178">
        <w:rPr>
          <w:szCs w:val="24"/>
        </w:rPr>
        <w:t>reinforcing the results of our primary analysis. Thus, regardless of whether emotions are</w:t>
      </w:r>
      <w:r w:rsidRPr="008C7178">
        <w:rPr>
          <w:rFonts w:eastAsia="Calibri"/>
          <w:szCs w:val="24"/>
        </w:rPr>
        <w:t xml:space="preserve"> </w:t>
      </w:r>
      <w:r w:rsidRPr="008C7178">
        <w:rPr>
          <w:szCs w:val="24"/>
        </w:rPr>
        <w:t>considered individually or concurrently, we do not find evidence to support an association between</w:t>
      </w:r>
      <w:r w:rsidRPr="008C7178">
        <w:rPr>
          <w:rFonts w:eastAsia="Calibri"/>
          <w:szCs w:val="24"/>
        </w:rPr>
        <w:t xml:space="preserve"> </w:t>
      </w:r>
      <w:r w:rsidRPr="008C7178">
        <w:rPr>
          <w:szCs w:val="24"/>
        </w:rPr>
        <w:t>affective intensity and ER strategy usage in this context.</w:t>
      </w:r>
      <w:bookmarkEnd w:id="1"/>
    </w:p>
    <w:p w14:paraId="53DC347E" w14:textId="77F40CEE" w:rsidR="00B94C07" w:rsidRPr="00B94C07" w:rsidRDefault="00B94C07" w:rsidP="00B94C07">
      <w:pPr>
        <w:spacing w:after="0" w:line="480" w:lineRule="auto"/>
        <w:ind w:left="0" w:firstLine="720"/>
        <w:rPr>
          <w:b/>
          <w:szCs w:val="24"/>
        </w:rPr>
      </w:pPr>
      <w:r>
        <w:rPr>
          <w:b/>
          <w:szCs w:val="24"/>
        </w:rPr>
        <w:t xml:space="preserve">STUDY 1 MULTIVERSE </w:t>
      </w:r>
      <w:r w:rsidRPr="008C7178">
        <w:rPr>
          <w:b/>
          <w:szCs w:val="24"/>
        </w:rPr>
        <w:t>METHOD</w:t>
      </w:r>
      <w:r>
        <w:rPr>
          <w:b/>
          <w:szCs w:val="24"/>
        </w:rPr>
        <w:t>S &amp; RESULTS</w:t>
      </w:r>
    </w:p>
    <w:p w14:paraId="46B5A89B" w14:textId="74FEBCD5" w:rsidR="00B07DD0" w:rsidRPr="009527CE" w:rsidRDefault="00B07DD0" w:rsidP="00B07DD0">
      <w:pPr>
        <w:spacing w:after="0" w:line="480" w:lineRule="auto"/>
        <w:ind w:left="0" w:firstLine="720"/>
        <w:rPr>
          <w:b/>
          <w:bCs/>
          <w:szCs w:val="24"/>
        </w:rPr>
      </w:pPr>
      <w:r w:rsidRPr="009527CE">
        <w:rPr>
          <w:b/>
          <w:bCs/>
          <w:szCs w:val="24"/>
        </w:rPr>
        <w:t>Multiverse approach also failed to explain strategy usage.</w:t>
      </w:r>
      <w:r>
        <w:rPr>
          <w:szCs w:val="24"/>
        </w:rPr>
        <w:t xml:space="preserve"> We expanded the scope of our primary analyses and conducted additional explora</w:t>
      </w:r>
      <w:r w:rsidRPr="004D2275">
        <w:rPr>
          <w:szCs w:val="24"/>
        </w:rPr>
        <w:t>tory</w:t>
      </w:r>
      <w:r>
        <w:rPr>
          <w:szCs w:val="24"/>
        </w:rPr>
        <w:t xml:space="preserve"> analyses to determine whether a stronger association between strategy choice and affective intensity could be found using different inclusion criteria, comparing engagement strategies (i.e., reappraisal) to disengagement strategies (i.e., suppression, distraction) as defined in the broader literature (e.g., </w:t>
      </w:r>
      <w:r>
        <w:rPr>
          <w:szCs w:val="24"/>
        </w:rPr>
        <w:fldChar w:fldCharType="begin"/>
      </w:r>
      <w:r w:rsidR="0008712C">
        <w:rPr>
          <w:szCs w:val="24"/>
        </w:rPr>
        <w:instrText xml:space="preserve"> ADDIN ZOTERO_ITEM CSL_CITATION {"citationID":"BRcdUleD","properties":{"formattedCitation":"(Dixon-Gordon et al., 2015)","plainCitation":"(Dixon-Gordon et al., 2015)","dontUpdate":true,"noteIndex":0},"citationItems":[{"id":3745,"uris":["http://zotero.org/users/6239255/items/YYQ7GI3R"],"itemData":{"id":3745,"type":"article-journal","abstract":"Emerging research suggests that two features of emotional contexts (emotion intensity, emotion type) predict spontaneous use of emotion regulation (ER) strategies. However, prior work has not examined the interactive effects of emotion intensity and emotion type on the selection of speciﬁc ER strategies. This is a noteworthy omission because in real life, emotional situations are characterized by a combination of emotion intensity and type. We recruited 562 participants and asked them to report their use of 7 ER strategies across self-identiﬁed stressful contexts that varied in emotion intensity (moderate, high) and primary emotion elicited (anger, anxiety, sadness). Participants reported using ER strategies to a greater extent in high versus moderate emotionally intense contexts, and in response to sadness (versus anger). Further, high intensity sadness prompted greater use of expressive suppression than other contexts. Our ﬁndings underscore the importance of taking into account emotional contextual features as predictors of spontaneous ER.","container-title":"Personality and Individual Differences","DOI":"10.1016/j.paid.2015.06.011","ISSN":"01918869","journalAbbreviation":"Personality and Individual Differences","language":"en","page":"271-276","source":"DOI.org (Crossref)","title":"Emotion regulation in context: Examining the spontaneous use of strategies across emotional intensity and type of emotion","title-short":"Emotion regulation in context","volume":"86","author":[{"family":"Dixon-Gordon","given":"Katherine L."},{"family":"Aldao","given":"Amelia"},{"family":"De Los Reyes","given":"Andres"}],"issued":{"date-parts":[["2015",11]]}}}],"schema":"https://github.com/citation-style-language/schema/raw/master/csl-citation.json"} </w:instrText>
      </w:r>
      <w:r>
        <w:rPr>
          <w:szCs w:val="24"/>
        </w:rPr>
        <w:fldChar w:fldCharType="separate"/>
      </w:r>
      <w:r w:rsidRPr="00516B60">
        <w:t>Dixon-Gordon et al., 2015)</w:t>
      </w:r>
      <w:r>
        <w:rPr>
          <w:szCs w:val="24"/>
        </w:rPr>
        <w:fldChar w:fldCharType="end"/>
      </w:r>
      <w:r w:rsidR="00B94C07">
        <w:rPr>
          <w:szCs w:val="24"/>
        </w:rPr>
        <w:t>.</w:t>
      </w:r>
      <w:r>
        <w:rPr>
          <w:szCs w:val="24"/>
        </w:rPr>
        <w:t xml:space="preserve"> Expanding our groups yielded a subset of 360</w:t>
      </w:r>
      <w:r w:rsidRPr="004D2275">
        <w:rPr>
          <w:szCs w:val="24"/>
        </w:rPr>
        <w:t xml:space="preserve"> observations in which a negative emotion was </w:t>
      </w:r>
      <w:r w:rsidRPr="004D2275">
        <w:rPr>
          <w:szCs w:val="24"/>
        </w:rPr>
        <w:lastRenderedPageBreak/>
        <w:t>downregulated by ei</w:t>
      </w:r>
      <w:r>
        <w:rPr>
          <w:szCs w:val="24"/>
        </w:rPr>
        <w:t>ther disengagement or engagement strategy</w:t>
      </w:r>
      <w:r w:rsidRPr="004D2275">
        <w:rPr>
          <w:szCs w:val="24"/>
        </w:rPr>
        <w:t xml:space="preserve">. </w:t>
      </w:r>
      <w:r>
        <w:rPr>
          <w:szCs w:val="24"/>
        </w:rPr>
        <w:t>These observations were reported by 89</w:t>
      </w:r>
      <w:r w:rsidRPr="004D2275">
        <w:rPr>
          <w:szCs w:val="24"/>
        </w:rPr>
        <w:t xml:space="preserve"> par</w:t>
      </w:r>
      <w:r>
        <w:rPr>
          <w:szCs w:val="24"/>
        </w:rPr>
        <w:t>ticipants. Of the</w:t>
      </w:r>
      <w:r w:rsidRPr="004D2275">
        <w:rPr>
          <w:szCs w:val="24"/>
        </w:rPr>
        <w:t xml:space="preserve"> tota</w:t>
      </w:r>
      <w:r>
        <w:rPr>
          <w:szCs w:val="24"/>
        </w:rPr>
        <w:t>l observations, 237 (65.8</w:t>
      </w:r>
      <w:r w:rsidRPr="004D2275">
        <w:rPr>
          <w:szCs w:val="24"/>
        </w:rPr>
        <w:t>0%) reported using distraction</w:t>
      </w:r>
      <w:r>
        <w:rPr>
          <w:szCs w:val="24"/>
        </w:rPr>
        <w:t xml:space="preserve"> or suppression</w:t>
      </w:r>
      <w:r w:rsidRPr="004D2275">
        <w:rPr>
          <w:szCs w:val="24"/>
        </w:rPr>
        <w:t xml:space="preserve"> to regulate their emotions. The average emotional in</w:t>
      </w:r>
      <w:r>
        <w:rPr>
          <w:szCs w:val="24"/>
        </w:rPr>
        <w:t>tensity of observations was 2.40</w:t>
      </w:r>
      <w:r w:rsidRPr="004D2275">
        <w:rPr>
          <w:szCs w:val="24"/>
        </w:rPr>
        <w:t>.</w:t>
      </w:r>
      <w:r>
        <w:rPr>
          <w:szCs w:val="24"/>
        </w:rPr>
        <w:t xml:space="preserve"> However, our best performing </w:t>
      </w:r>
      <w:r w:rsidRPr="00021D66">
        <w:rPr>
          <w:szCs w:val="24"/>
        </w:rPr>
        <w:t>non-null model, including only intensity as a fixed effect (</w:t>
      </w:r>
      <w:r w:rsidRPr="009527CE">
        <w:rPr>
          <w:i/>
          <w:iCs/>
          <w:szCs w:val="24"/>
        </w:rPr>
        <w:t>p</w:t>
      </w:r>
      <w:r w:rsidRPr="00021D66">
        <w:rPr>
          <w:szCs w:val="24"/>
        </w:rPr>
        <w:t xml:space="preserve"> = 0.</w:t>
      </w:r>
      <w:r>
        <w:rPr>
          <w:szCs w:val="24"/>
        </w:rPr>
        <w:t>32</w:t>
      </w:r>
      <w:r w:rsidRPr="00021D66">
        <w:rPr>
          <w:szCs w:val="24"/>
        </w:rPr>
        <w:t xml:space="preserve"> when compared to null), </w:t>
      </w:r>
      <w:r>
        <w:rPr>
          <w:szCs w:val="24"/>
        </w:rPr>
        <w:t>again did not find an association between emotional intensity and strategy usage</w:t>
      </w:r>
      <w:r w:rsidRPr="00021D66">
        <w:rPr>
          <w:szCs w:val="24"/>
        </w:rPr>
        <w:t xml:space="preserve"> (</w:t>
      </w:r>
      <w:r w:rsidRPr="009527CE">
        <w:rPr>
          <w:i/>
          <w:iCs/>
          <w:szCs w:val="24"/>
        </w:rPr>
        <w:t>OR</w:t>
      </w:r>
      <w:r w:rsidRPr="00021D66">
        <w:rPr>
          <w:szCs w:val="24"/>
        </w:rPr>
        <w:t xml:space="preserve"> = 1.</w:t>
      </w:r>
      <w:r>
        <w:rPr>
          <w:szCs w:val="24"/>
        </w:rPr>
        <w:t>18</w:t>
      </w:r>
      <w:r w:rsidRPr="00021D66">
        <w:rPr>
          <w:szCs w:val="24"/>
        </w:rPr>
        <w:t xml:space="preserve">, </w:t>
      </w:r>
      <w:r w:rsidRPr="009527CE">
        <w:rPr>
          <w:i/>
          <w:iCs/>
          <w:szCs w:val="24"/>
        </w:rPr>
        <w:t>95% CI</w:t>
      </w:r>
      <w:r w:rsidRPr="00021D66">
        <w:rPr>
          <w:szCs w:val="24"/>
        </w:rPr>
        <w:t xml:space="preserve"> = [0.</w:t>
      </w:r>
      <w:r>
        <w:rPr>
          <w:szCs w:val="24"/>
        </w:rPr>
        <w:t>85</w:t>
      </w:r>
      <w:r w:rsidRPr="00021D66">
        <w:rPr>
          <w:szCs w:val="24"/>
        </w:rPr>
        <w:t>, 1.</w:t>
      </w:r>
      <w:r>
        <w:rPr>
          <w:szCs w:val="24"/>
        </w:rPr>
        <w:t>63</w:t>
      </w:r>
      <w:r w:rsidRPr="00021D66">
        <w:rPr>
          <w:szCs w:val="24"/>
        </w:rPr>
        <w:t xml:space="preserve">], </w:t>
      </w:r>
      <w:r w:rsidRPr="009527CE">
        <w:rPr>
          <w:i/>
          <w:iCs/>
          <w:szCs w:val="24"/>
        </w:rPr>
        <w:t>p</w:t>
      </w:r>
      <w:r w:rsidRPr="00021D66">
        <w:rPr>
          <w:szCs w:val="24"/>
        </w:rPr>
        <w:t xml:space="preserve"> = 0.</w:t>
      </w:r>
      <w:r>
        <w:rPr>
          <w:szCs w:val="24"/>
        </w:rPr>
        <w:t>32</w:t>
      </w:r>
      <w:r w:rsidRPr="00021D66">
        <w:rPr>
          <w:szCs w:val="24"/>
        </w:rPr>
        <w:t>).</w:t>
      </w:r>
      <w:r>
        <w:rPr>
          <w:szCs w:val="24"/>
        </w:rPr>
        <w:t xml:space="preserve"> Again, though not significant, this statistic suggests that </w:t>
      </w:r>
      <w:proofErr w:type="spellStart"/>
      <w:proofErr w:type="gramStart"/>
      <w:r w:rsidRPr="00804B41">
        <w:rPr>
          <w:szCs w:val="24"/>
        </w:rPr>
        <w:t>every one</w:t>
      </w:r>
      <w:proofErr w:type="spellEnd"/>
      <w:proofErr w:type="gramEnd"/>
      <w:r w:rsidRPr="00804B41">
        <w:rPr>
          <w:szCs w:val="24"/>
        </w:rPr>
        <w:t xml:space="preserve"> standard deviation unit increase in emotional intensity</w:t>
      </w:r>
      <w:r>
        <w:rPr>
          <w:szCs w:val="24"/>
        </w:rPr>
        <w:t xml:space="preserve"> increases </w:t>
      </w:r>
      <w:r w:rsidRPr="00804B41">
        <w:rPr>
          <w:szCs w:val="24"/>
        </w:rPr>
        <w:t xml:space="preserve">the odds of choosing </w:t>
      </w:r>
      <w:r>
        <w:rPr>
          <w:szCs w:val="24"/>
        </w:rPr>
        <w:t xml:space="preserve">a disengagement strategy </w:t>
      </w:r>
      <w:r w:rsidRPr="00804B41">
        <w:rPr>
          <w:szCs w:val="24"/>
        </w:rPr>
        <w:t xml:space="preserve">by approximately </w:t>
      </w:r>
      <w:r>
        <w:rPr>
          <w:szCs w:val="24"/>
        </w:rPr>
        <w:t>18</w:t>
      </w:r>
      <w:r w:rsidRPr="00804B41">
        <w:rPr>
          <w:szCs w:val="24"/>
        </w:rPr>
        <w:t>%</w:t>
      </w:r>
      <w:r>
        <w:rPr>
          <w:szCs w:val="24"/>
        </w:rPr>
        <w:t>.</w:t>
      </w:r>
    </w:p>
    <w:p w14:paraId="42122570" w14:textId="77777777" w:rsidR="00B07DD0" w:rsidRDefault="00B07DD0" w:rsidP="00B07DD0">
      <w:pPr>
        <w:spacing w:after="0" w:line="480" w:lineRule="auto"/>
        <w:ind w:left="0" w:firstLine="720"/>
        <w:rPr>
          <w:szCs w:val="24"/>
        </w:rPr>
      </w:pPr>
      <w:r>
        <w:rPr>
          <w:szCs w:val="24"/>
        </w:rPr>
        <w:t>Because it could be argued that a haunted house setting could elicit greater contra-hedonic regulation activity (i.e., downregulating positive emotion), we then constructed a series of additional models which were beyond the purview of our initial aims and hypotheses to determine whether any statistically significant relationship could be observed between affective intensity and regulation strategy usage in this context. We iteratively modified predictors and outcome variables across 14 additional models, including covariate models adjusting for sex, cognitive load, and ERQ reappraisal subscale scores, which despite failing to demonstrate significance in this dataset often predict regulation choice in lab settings. We found only a single model which surpassed nominal statistical thresholds of significance in model fit (</w:t>
      </w:r>
      <w:r w:rsidRPr="009527CE">
        <w:rPr>
          <w:i/>
          <w:iCs/>
          <w:szCs w:val="24"/>
        </w:rPr>
        <w:t>ICC</w:t>
      </w:r>
      <w:r>
        <w:rPr>
          <w:szCs w:val="24"/>
        </w:rPr>
        <w:t xml:space="preserve"> = 0.37; </w:t>
      </w:r>
      <w:r w:rsidRPr="009527CE">
        <w:rPr>
          <w:i/>
          <w:iCs/>
          <w:szCs w:val="24"/>
        </w:rPr>
        <w:t>p</w:t>
      </w:r>
      <w:r>
        <w:rPr>
          <w:szCs w:val="24"/>
        </w:rPr>
        <w:t xml:space="preserve"> = 0.04 when compared to null), but which did not maintain significance after adjusting to maintain a family-wise error rate (</w:t>
      </w:r>
      <w:r>
        <w:rPr>
          <w:i/>
          <w:iCs/>
          <w:szCs w:val="24"/>
        </w:rPr>
        <w:t>p</w:t>
      </w:r>
      <w:r>
        <w:rPr>
          <w:szCs w:val="24"/>
        </w:rPr>
        <w:t xml:space="preserve"> = 0.32). This model included a random intercept for participant and a single predictor, affective intensity of positive and negative emotions, regressed upon distraction versus reappraisal strategy usage with data from unique events reported both immediately after and one-week after exposure (</w:t>
      </w:r>
      <w:r w:rsidRPr="009527CE">
        <w:rPr>
          <w:i/>
          <w:iCs/>
          <w:szCs w:val="24"/>
        </w:rPr>
        <w:t>OR</w:t>
      </w:r>
      <w:r w:rsidRPr="00021D66">
        <w:rPr>
          <w:szCs w:val="24"/>
        </w:rPr>
        <w:t xml:space="preserve"> = 1</w:t>
      </w:r>
      <w:r>
        <w:rPr>
          <w:szCs w:val="24"/>
        </w:rPr>
        <w:t>.42</w:t>
      </w:r>
      <w:r w:rsidRPr="00021D66">
        <w:rPr>
          <w:szCs w:val="24"/>
        </w:rPr>
        <w:t xml:space="preserve">, </w:t>
      </w:r>
      <w:r w:rsidRPr="009527CE">
        <w:rPr>
          <w:i/>
          <w:iCs/>
          <w:szCs w:val="24"/>
        </w:rPr>
        <w:t>95% CI</w:t>
      </w:r>
      <w:r w:rsidRPr="00021D66">
        <w:rPr>
          <w:szCs w:val="24"/>
        </w:rPr>
        <w:t xml:space="preserve"> = [</w:t>
      </w:r>
      <w:r>
        <w:rPr>
          <w:szCs w:val="24"/>
        </w:rPr>
        <w:t>1.03</w:t>
      </w:r>
      <w:r w:rsidRPr="00021D66">
        <w:rPr>
          <w:szCs w:val="24"/>
        </w:rPr>
        <w:t>, 1.</w:t>
      </w:r>
      <w:r>
        <w:rPr>
          <w:szCs w:val="24"/>
        </w:rPr>
        <w:t>98</w:t>
      </w:r>
      <w:r w:rsidRPr="00021D66">
        <w:rPr>
          <w:szCs w:val="24"/>
        </w:rPr>
        <w:t xml:space="preserve">], </w:t>
      </w:r>
      <w:r w:rsidRPr="009527CE">
        <w:rPr>
          <w:i/>
          <w:iCs/>
          <w:szCs w:val="24"/>
        </w:rPr>
        <w:t>p</w:t>
      </w:r>
      <w:r w:rsidRPr="00021D66">
        <w:rPr>
          <w:szCs w:val="24"/>
        </w:rPr>
        <w:t xml:space="preserve"> = 0.</w:t>
      </w:r>
      <w:r>
        <w:rPr>
          <w:szCs w:val="24"/>
        </w:rPr>
        <w:t xml:space="preserve">04). The model composition, comparison and results of </w:t>
      </w:r>
      <w:proofErr w:type="gramStart"/>
      <w:r>
        <w:rPr>
          <w:szCs w:val="24"/>
        </w:rPr>
        <w:t>all of</w:t>
      </w:r>
      <w:proofErr w:type="gramEnd"/>
      <w:r>
        <w:rPr>
          <w:szCs w:val="24"/>
        </w:rPr>
        <w:t xml:space="preserve"> these models can be found in </w:t>
      </w:r>
      <w:r w:rsidRPr="009B3741">
        <w:rPr>
          <w:b/>
          <w:bCs/>
          <w:szCs w:val="24"/>
        </w:rPr>
        <w:t>Table 1</w:t>
      </w:r>
      <w:r>
        <w:rPr>
          <w:szCs w:val="24"/>
        </w:rPr>
        <w:t>.</w:t>
      </w:r>
    </w:p>
    <w:p w14:paraId="4D331F71" w14:textId="77777777" w:rsidR="00B07DD0" w:rsidRDefault="00B07DD0" w:rsidP="00B07DD0">
      <w:pPr>
        <w:spacing w:after="160" w:line="259" w:lineRule="auto"/>
        <w:ind w:left="0" w:firstLine="0"/>
        <w:jc w:val="left"/>
        <w:rPr>
          <w:b/>
          <w:szCs w:val="24"/>
        </w:rPr>
        <w:sectPr w:rsidR="00B07DD0" w:rsidSect="001E19CA">
          <w:headerReference w:type="even" r:id="rId8"/>
          <w:headerReference w:type="default" r:id="rId9"/>
          <w:headerReference w:type="first" r:id="rId10"/>
          <w:pgSz w:w="12240" w:h="15840" w:code="1"/>
          <w:pgMar w:top="1440" w:right="1440" w:bottom="1440" w:left="1440" w:header="763" w:footer="720" w:gutter="0"/>
          <w:cols w:space="720"/>
          <w:docGrid w:linePitch="326"/>
        </w:sectPr>
      </w:pPr>
    </w:p>
    <w:tbl>
      <w:tblPr>
        <w:tblW w:w="19623" w:type="dxa"/>
        <w:tblLook w:val="04A0" w:firstRow="1" w:lastRow="0" w:firstColumn="1" w:lastColumn="0" w:noHBand="0" w:noVBand="1"/>
      </w:tblPr>
      <w:tblGrid>
        <w:gridCol w:w="1229"/>
        <w:gridCol w:w="1123"/>
        <w:gridCol w:w="2036"/>
        <w:gridCol w:w="2226"/>
        <w:gridCol w:w="1552"/>
        <w:gridCol w:w="1341"/>
        <w:gridCol w:w="1411"/>
        <w:gridCol w:w="1350"/>
        <w:gridCol w:w="1524"/>
        <w:gridCol w:w="1250"/>
        <w:gridCol w:w="2088"/>
        <w:gridCol w:w="686"/>
        <w:gridCol w:w="889"/>
        <w:gridCol w:w="918"/>
      </w:tblGrid>
      <w:tr w:rsidR="00B07DD0" w:rsidRPr="007053D8" w14:paraId="04380556" w14:textId="77777777" w:rsidTr="009527CE">
        <w:trPr>
          <w:trHeight w:val="420"/>
        </w:trPr>
        <w:tc>
          <w:tcPr>
            <w:tcW w:w="8166" w:type="dxa"/>
            <w:gridSpan w:val="5"/>
            <w:tcBorders>
              <w:top w:val="single" w:sz="4" w:space="0" w:color="auto"/>
              <w:left w:val="nil"/>
              <w:bottom w:val="nil"/>
              <w:right w:val="nil"/>
            </w:tcBorders>
            <w:shd w:val="clear" w:color="auto" w:fill="auto"/>
            <w:noWrap/>
            <w:vAlign w:val="bottom"/>
            <w:hideMark/>
          </w:tcPr>
          <w:p w14:paraId="3D49FF27" w14:textId="77777777" w:rsidR="00B07DD0" w:rsidRPr="007053D8" w:rsidRDefault="00B07DD0" w:rsidP="009527CE">
            <w:pPr>
              <w:spacing w:after="0" w:line="240" w:lineRule="auto"/>
              <w:ind w:left="0" w:firstLine="0"/>
              <w:jc w:val="center"/>
              <w:rPr>
                <w:b/>
                <w:bCs/>
                <w:sz w:val="44"/>
                <w:szCs w:val="44"/>
              </w:rPr>
            </w:pPr>
            <w:r w:rsidRPr="007053D8">
              <w:rPr>
                <w:b/>
                <w:bCs/>
                <w:sz w:val="44"/>
                <w:szCs w:val="44"/>
              </w:rPr>
              <w:lastRenderedPageBreak/>
              <w:t>Model Details</w:t>
            </w:r>
          </w:p>
        </w:tc>
        <w:tc>
          <w:tcPr>
            <w:tcW w:w="1341" w:type="dxa"/>
            <w:vMerge w:val="restart"/>
            <w:tcBorders>
              <w:top w:val="single" w:sz="4" w:space="0" w:color="auto"/>
              <w:left w:val="nil"/>
              <w:bottom w:val="single" w:sz="8" w:space="0" w:color="000000"/>
              <w:right w:val="nil"/>
            </w:tcBorders>
            <w:shd w:val="clear" w:color="auto" w:fill="auto"/>
            <w:vAlign w:val="center"/>
            <w:hideMark/>
          </w:tcPr>
          <w:p w14:paraId="5ACE517C" w14:textId="77777777" w:rsidR="00B07DD0" w:rsidRPr="007053D8" w:rsidRDefault="00B07DD0" w:rsidP="009527CE">
            <w:pPr>
              <w:spacing w:after="0" w:line="240" w:lineRule="auto"/>
              <w:ind w:left="0" w:firstLine="0"/>
              <w:jc w:val="center"/>
              <w:rPr>
                <w:b/>
                <w:bCs/>
                <w:sz w:val="20"/>
                <w:szCs w:val="20"/>
              </w:rPr>
            </w:pPr>
            <w:r w:rsidRPr="007053D8">
              <w:rPr>
                <w:b/>
                <w:bCs/>
                <w:sz w:val="20"/>
                <w:szCs w:val="20"/>
              </w:rPr>
              <w:t xml:space="preserve">Participants </w:t>
            </w:r>
            <w:r w:rsidRPr="007053D8">
              <w:rPr>
                <w:sz w:val="20"/>
                <w:szCs w:val="20"/>
              </w:rPr>
              <w:t>(n)</w:t>
            </w:r>
          </w:p>
        </w:tc>
        <w:tc>
          <w:tcPr>
            <w:tcW w:w="1411" w:type="dxa"/>
            <w:vMerge w:val="restart"/>
            <w:tcBorders>
              <w:top w:val="single" w:sz="4" w:space="0" w:color="auto"/>
              <w:left w:val="nil"/>
              <w:bottom w:val="single" w:sz="8" w:space="0" w:color="000000"/>
              <w:right w:val="nil"/>
            </w:tcBorders>
            <w:shd w:val="clear" w:color="auto" w:fill="auto"/>
            <w:noWrap/>
            <w:vAlign w:val="center"/>
            <w:hideMark/>
          </w:tcPr>
          <w:p w14:paraId="3818E57A" w14:textId="77777777" w:rsidR="00B07DD0" w:rsidRPr="007053D8" w:rsidRDefault="00B07DD0" w:rsidP="009527CE">
            <w:pPr>
              <w:spacing w:after="0" w:line="240" w:lineRule="auto"/>
              <w:ind w:left="0" w:firstLine="0"/>
              <w:jc w:val="center"/>
              <w:rPr>
                <w:b/>
                <w:bCs/>
                <w:sz w:val="20"/>
                <w:szCs w:val="20"/>
              </w:rPr>
            </w:pPr>
            <w:r w:rsidRPr="007053D8">
              <w:rPr>
                <w:b/>
                <w:bCs/>
                <w:sz w:val="20"/>
                <w:szCs w:val="20"/>
              </w:rPr>
              <w:t>Observations</w:t>
            </w:r>
          </w:p>
        </w:tc>
        <w:tc>
          <w:tcPr>
            <w:tcW w:w="1350" w:type="dxa"/>
            <w:vMerge w:val="restart"/>
            <w:tcBorders>
              <w:top w:val="single" w:sz="4" w:space="0" w:color="auto"/>
              <w:left w:val="nil"/>
              <w:bottom w:val="single" w:sz="8" w:space="0" w:color="000000"/>
              <w:right w:val="nil"/>
            </w:tcBorders>
            <w:shd w:val="clear" w:color="auto" w:fill="auto"/>
            <w:noWrap/>
            <w:vAlign w:val="center"/>
            <w:hideMark/>
          </w:tcPr>
          <w:p w14:paraId="2E285496" w14:textId="77777777" w:rsidR="00B07DD0" w:rsidRPr="007053D8" w:rsidRDefault="00B07DD0" w:rsidP="009527CE">
            <w:pPr>
              <w:spacing w:after="0" w:line="240" w:lineRule="auto"/>
              <w:ind w:left="0" w:firstLine="0"/>
              <w:jc w:val="center"/>
              <w:rPr>
                <w:b/>
                <w:bCs/>
                <w:sz w:val="20"/>
                <w:szCs w:val="20"/>
              </w:rPr>
            </w:pPr>
            <w:r w:rsidRPr="007053D8">
              <w:rPr>
                <w:b/>
                <w:bCs/>
                <w:sz w:val="20"/>
                <w:szCs w:val="20"/>
              </w:rPr>
              <w:t>Null ICC</w:t>
            </w:r>
          </w:p>
        </w:tc>
        <w:tc>
          <w:tcPr>
            <w:tcW w:w="1524" w:type="dxa"/>
            <w:vMerge w:val="restart"/>
            <w:tcBorders>
              <w:top w:val="single" w:sz="4" w:space="0" w:color="auto"/>
              <w:left w:val="nil"/>
              <w:bottom w:val="single" w:sz="8" w:space="0" w:color="000000"/>
              <w:right w:val="nil"/>
            </w:tcBorders>
            <w:shd w:val="clear" w:color="auto" w:fill="auto"/>
            <w:vAlign w:val="center"/>
            <w:hideMark/>
          </w:tcPr>
          <w:p w14:paraId="5C41BB1C" w14:textId="77777777" w:rsidR="00B07DD0" w:rsidRPr="007053D8" w:rsidRDefault="00B07DD0" w:rsidP="009527CE">
            <w:pPr>
              <w:spacing w:after="0" w:line="240" w:lineRule="auto"/>
              <w:ind w:left="0" w:firstLine="0"/>
              <w:jc w:val="center"/>
              <w:rPr>
                <w:b/>
                <w:bCs/>
                <w:i/>
                <w:iCs/>
                <w:sz w:val="20"/>
                <w:szCs w:val="20"/>
              </w:rPr>
            </w:pPr>
            <w:r w:rsidRPr="007053D8">
              <w:rPr>
                <w:b/>
                <w:bCs/>
                <w:sz w:val="20"/>
                <w:szCs w:val="20"/>
              </w:rPr>
              <w:t xml:space="preserve">Model Comparison </w:t>
            </w:r>
            <w:r w:rsidRPr="007053D8">
              <w:rPr>
                <w:sz w:val="20"/>
                <w:szCs w:val="20"/>
              </w:rPr>
              <w:t>(</w:t>
            </w:r>
            <w:r w:rsidRPr="007053D8">
              <w:rPr>
                <w:i/>
                <w:iCs/>
                <w:sz w:val="20"/>
                <w:szCs w:val="20"/>
              </w:rPr>
              <w:t>x</w:t>
            </w:r>
            <w:r w:rsidRPr="007053D8">
              <w:rPr>
                <w:i/>
                <w:iCs/>
                <w:sz w:val="20"/>
                <w:szCs w:val="20"/>
                <w:vertAlign w:val="superscript"/>
              </w:rPr>
              <w:t>2</w:t>
            </w:r>
            <w:r w:rsidRPr="007053D8">
              <w:rPr>
                <w:sz w:val="20"/>
                <w:szCs w:val="20"/>
              </w:rPr>
              <w:t>)</w:t>
            </w:r>
          </w:p>
        </w:tc>
        <w:tc>
          <w:tcPr>
            <w:tcW w:w="1250" w:type="dxa"/>
            <w:vMerge w:val="restart"/>
            <w:tcBorders>
              <w:top w:val="single" w:sz="4" w:space="0" w:color="auto"/>
              <w:left w:val="nil"/>
              <w:right w:val="nil"/>
            </w:tcBorders>
            <w:vAlign w:val="center"/>
          </w:tcPr>
          <w:p w14:paraId="60B3F8FC" w14:textId="77777777" w:rsidR="00B07DD0" w:rsidRPr="007053D8" w:rsidRDefault="00B07DD0" w:rsidP="009527CE">
            <w:pPr>
              <w:spacing w:after="0" w:line="240" w:lineRule="auto"/>
              <w:ind w:left="0" w:firstLine="0"/>
              <w:jc w:val="center"/>
              <w:rPr>
                <w:b/>
                <w:bCs/>
                <w:sz w:val="20"/>
                <w:szCs w:val="20"/>
              </w:rPr>
            </w:pPr>
            <w:r w:rsidRPr="007053D8">
              <w:rPr>
                <w:b/>
                <w:bCs/>
                <w:sz w:val="20"/>
                <w:szCs w:val="20"/>
              </w:rPr>
              <w:t>Model Significance</w:t>
            </w:r>
          </w:p>
        </w:tc>
        <w:tc>
          <w:tcPr>
            <w:tcW w:w="2088" w:type="dxa"/>
            <w:vMerge w:val="restart"/>
            <w:tcBorders>
              <w:top w:val="single" w:sz="4" w:space="0" w:color="auto"/>
              <w:left w:val="nil"/>
              <w:bottom w:val="single" w:sz="8" w:space="0" w:color="000000"/>
              <w:right w:val="nil"/>
            </w:tcBorders>
            <w:shd w:val="clear" w:color="auto" w:fill="auto"/>
            <w:vAlign w:val="center"/>
            <w:hideMark/>
          </w:tcPr>
          <w:p w14:paraId="7363D740" w14:textId="77777777" w:rsidR="00B07DD0" w:rsidRPr="007053D8" w:rsidRDefault="00B07DD0" w:rsidP="009527CE">
            <w:pPr>
              <w:spacing w:after="0" w:line="240" w:lineRule="auto"/>
              <w:ind w:left="-106" w:firstLine="0"/>
              <w:jc w:val="center"/>
              <w:rPr>
                <w:b/>
                <w:bCs/>
                <w:sz w:val="20"/>
                <w:szCs w:val="20"/>
              </w:rPr>
            </w:pPr>
            <w:r>
              <w:rPr>
                <w:b/>
                <w:bCs/>
                <w:sz w:val="20"/>
                <w:szCs w:val="20"/>
              </w:rPr>
              <w:t>Bonferroni</w:t>
            </w:r>
            <w:r>
              <w:rPr>
                <w:b/>
                <w:bCs/>
                <w:sz w:val="20"/>
                <w:szCs w:val="20"/>
              </w:rPr>
              <w:br/>
              <w:t>Adjustment</w:t>
            </w:r>
          </w:p>
        </w:tc>
        <w:tc>
          <w:tcPr>
            <w:tcW w:w="2493" w:type="dxa"/>
            <w:gridSpan w:val="3"/>
            <w:tcBorders>
              <w:top w:val="single" w:sz="4" w:space="0" w:color="auto"/>
              <w:left w:val="nil"/>
              <w:bottom w:val="nil"/>
              <w:right w:val="nil"/>
            </w:tcBorders>
            <w:shd w:val="clear" w:color="auto" w:fill="auto"/>
            <w:noWrap/>
            <w:vAlign w:val="bottom"/>
            <w:hideMark/>
          </w:tcPr>
          <w:p w14:paraId="5845AE2E" w14:textId="77777777" w:rsidR="00B07DD0" w:rsidRPr="007053D8" w:rsidRDefault="00B07DD0" w:rsidP="009527CE">
            <w:pPr>
              <w:spacing w:after="0" w:line="240" w:lineRule="auto"/>
              <w:ind w:left="0" w:firstLine="0"/>
              <w:jc w:val="center"/>
              <w:rPr>
                <w:b/>
                <w:bCs/>
                <w:sz w:val="20"/>
                <w:szCs w:val="20"/>
              </w:rPr>
            </w:pPr>
            <w:r w:rsidRPr="007053D8">
              <w:rPr>
                <w:b/>
                <w:bCs/>
                <w:sz w:val="20"/>
                <w:szCs w:val="20"/>
              </w:rPr>
              <w:t>Affective Intensity (z)</w:t>
            </w:r>
          </w:p>
        </w:tc>
      </w:tr>
      <w:tr w:rsidR="00B07DD0" w:rsidRPr="007053D8" w14:paraId="261AB5FA" w14:textId="77777777" w:rsidTr="009527CE">
        <w:trPr>
          <w:trHeight w:val="585"/>
        </w:trPr>
        <w:tc>
          <w:tcPr>
            <w:tcW w:w="2352" w:type="dxa"/>
            <w:gridSpan w:val="2"/>
            <w:tcBorders>
              <w:top w:val="nil"/>
              <w:left w:val="nil"/>
              <w:bottom w:val="single" w:sz="8" w:space="0" w:color="auto"/>
              <w:right w:val="nil"/>
            </w:tcBorders>
            <w:shd w:val="clear" w:color="auto" w:fill="auto"/>
            <w:noWrap/>
            <w:vAlign w:val="bottom"/>
            <w:hideMark/>
          </w:tcPr>
          <w:p w14:paraId="743179EC" w14:textId="77777777" w:rsidR="00B07DD0" w:rsidRPr="007053D8" w:rsidRDefault="00B07DD0" w:rsidP="009527CE">
            <w:pPr>
              <w:spacing w:after="0" w:line="240" w:lineRule="auto"/>
              <w:ind w:left="0" w:firstLine="0"/>
              <w:jc w:val="center"/>
              <w:rPr>
                <w:i/>
                <w:iCs/>
                <w:sz w:val="20"/>
                <w:szCs w:val="20"/>
              </w:rPr>
            </w:pPr>
            <w:r w:rsidRPr="007053D8">
              <w:rPr>
                <w:i/>
                <w:iCs/>
                <w:sz w:val="20"/>
                <w:szCs w:val="20"/>
              </w:rPr>
              <w:t>Outcome</w:t>
            </w:r>
          </w:p>
        </w:tc>
        <w:tc>
          <w:tcPr>
            <w:tcW w:w="2036" w:type="dxa"/>
            <w:tcBorders>
              <w:top w:val="nil"/>
              <w:left w:val="nil"/>
              <w:bottom w:val="single" w:sz="8" w:space="0" w:color="auto"/>
              <w:right w:val="nil"/>
            </w:tcBorders>
            <w:shd w:val="clear" w:color="auto" w:fill="auto"/>
            <w:noWrap/>
            <w:vAlign w:val="bottom"/>
            <w:hideMark/>
          </w:tcPr>
          <w:p w14:paraId="291F5017" w14:textId="77777777" w:rsidR="00B07DD0" w:rsidRPr="007053D8" w:rsidRDefault="00B07DD0" w:rsidP="009527CE">
            <w:pPr>
              <w:spacing w:after="0" w:line="240" w:lineRule="auto"/>
              <w:ind w:left="0" w:firstLine="0"/>
              <w:jc w:val="center"/>
              <w:rPr>
                <w:i/>
                <w:iCs/>
                <w:sz w:val="20"/>
                <w:szCs w:val="20"/>
              </w:rPr>
            </w:pPr>
            <w:r w:rsidRPr="007053D8">
              <w:rPr>
                <w:i/>
                <w:iCs/>
                <w:sz w:val="20"/>
                <w:szCs w:val="20"/>
              </w:rPr>
              <w:t>Emotions Included</w:t>
            </w:r>
          </w:p>
        </w:tc>
        <w:tc>
          <w:tcPr>
            <w:tcW w:w="2226" w:type="dxa"/>
            <w:tcBorders>
              <w:top w:val="nil"/>
              <w:left w:val="nil"/>
              <w:bottom w:val="single" w:sz="8" w:space="0" w:color="auto"/>
              <w:right w:val="nil"/>
            </w:tcBorders>
            <w:shd w:val="clear" w:color="auto" w:fill="auto"/>
            <w:noWrap/>
            <w:vAlign w:val="bottom"/>
            <w:hideMark/>
          </w:tcPr>
          <w:p w14:paraId="315057DA" w14:textId="77777777" w:rsidR="00B07DD0" w:rsidRPr="007053D8" w:rsidRDefault="00B07DD0" w:rsidP="009527CE">
            <w:pPr>
              <w:spacing w:after="0" w:line="240" w:lineRule="auto"/>
              <w:ind w:left="0" w:firstLine="0"/>
              <w:jc w:val="center"/>
              <w:rPr>
                <w:i/>
                <w:iCs/>
                <w:sz w:val="20"/>
                <w:szCs w:val="20"/>
              </w:rPr>
            </w:pPr>
            <w:r w:rsidRPr="007053D8">
              <w:rPr>
                <w:i/>
                <w:iCs/>
                <w:sz w:val="20"/>
                <w:szCs w:val="20"/>
              </w:rPr>
              <w:t>Data Collection Time</w:t>
            </w:r>
          </w:p>
        </w:tc>
        <w:tc>
          <w:tcPr>
            <w:tcW w:w="1552" w:type="dxa"/>
            <w:tcBorders>
              <w:top w:val="nil"/>
              <w:left w:val="nil"/>
              <w:bottom w:val="single" w:sz="8" w:space="0" w:color="auto"/>
              <w:right w:val="nil"/>
            </w:tcBorders>
            <w:shd w:val="clear" w:color="auto" w:fill="auto"/>
            <w:noWrap/>
            <w:vAlign w:val="bottom"/>
            <w:hideMark/>
          </w:tcPr>
          <w:p w14:paraId="72470356" w14:textId="77777777" w:rsidR="00B07DD0" w:rsidRPr="007053D8" w:rsidRDefault="00B07DD0" w:rsidP="009527CE">
            <w:pPr>
              <w:spacing w:after="0" w:line="240" w:lineRule="auto"/>
              <w:ind w:left="0" w:firstLine="0"/>
              <w:jc w:val="center"/>
              <w:rPr>
                <w:i/>
                <w:iCs/>
                <w:sz w:val="20"/>
                <w:szCs w:val="20"/>
              </w:rPr>
            </w:pPr>
            <w:r w:rsidRPr="007053D8">
              <w:rPr>
                <w:i/>
                <w:iCs/>
                <w:sz w:val="20"/>
                <w:szCs w:val="20"/>
              </w:rPr>
              <w:t xml:space="preserve">Covariates </w:t>
            </w:r>
            <w:r w:rsidRPr="007053D8">
              <w:rPr>
                <w:sz w:val="20"/>
                <w:szCs w:val="20"/>
                <w:vertAlign w:val="superscript"/>
              </w:rPr>
              <w:t>†</w:t>
            </w:r>
          </w:p>
        </w:tc>
        <w:tc>
          <w:tcPr>
            <w:tcW w:w="1341" w:type="dxa"/>
            <w:vMerge/>
            <w:tcBorders>
              <w:top w:val="single" w:sz="4" w:space="0" w:color="auto"/>
              <w:left w:val="nil"/>
              <w:bottom w:val="single" w:sz="8" w:space="0" w:color="000000"/>
              <w:right w:val="nil"/>
            </w:tcBorders>
            <w:vAlign w:val="center"/>
            <w:hideMark/>
          </w:tcPr>
          <w:p w14:paraId="2957DC7A" w14:textId="77777777" w:rsidR="00B07DD0" w:rsidRPr="007053D8" w:rsidRDefault="00B07DD0" w:rsidP="009527CE">
            <w:pPr>
              <w:spacing w:after="0" w:line="240" w:lineRule="auto"/>
              <w:ind w:left="0" w:firstLine="0"/>
              <w:jc w:val="left"/>
              <w:rPr>
                <w:b/>
                <w:bCs/>
                <w:sz w:val="20"/>
                <w:szCs w:val="20"/>
              </w:rPr>
            </w:pPr>
          </w:p>
        </w:tc>
        <w:tc>
          <w:tcPr>
            <w:tcW w:w="1411" w:type="dxa"/>
            <w:vMerge/>
            <w:tcBorders>
              <w:top w:val="single" w:sz="4" w:space="0" w:color="auto"/>
              <w:left w:val="nil"/>
              <w:bottom w:val="single" w:sz="8" w:space="0" w:color="000000"/>
              <w:right w:val="nil"/>
            </w:tcBorders>
            <w:vAlign w:val="center"/>
            <w:hideMark/>
          </w:tcPr>
          <w:p w14:paraId="2AB1ECE5" w14:textId="77777777" w:rsidR="00B07DD0" w:rsidRPr="007053D8" w:rsidRDefault="00B07DD0" w:rsidP="009527CE">
            <w:pPr>
              <w:spacing w:after="0" w:line="240" w:lineRule="auto"/>
              <w:ind w:left="0" w:firstLine="0"/>
              <w:jc w:val="left"/>
              <w:rPr>
                <w:b/>
                <w:bCs/>
                <w:sz w:val="20"/>
                <w:szCs w:val="20"/>
              </w:rPr>
            </w:pPr>
          </w:p>
        </w:tc>
        <w:tc>
          <w:tcPr>
            <w:tcW w:w="1350" w:type="dxa"/>
            <w:vMerge/>
            <w:tcBorders>
              <w:top w:val="single" w:sz="4" w:space="0" w:color="auto"/>
              <w:left w:val="nil"/>
              <w:bottom w:val="single" w:sz="8" w:space="0" w:color="000000"/>
              <w:right w:val="nil"/>
            </w:tcBorders>
            <w:vAlign w:val="center"/>
            <w:hideMark/>
          </w:tcPr>
          <w:p w14:paraId="06D9C5FE" w14:textId="77777777" w:rsidR="00B07DD0" w:rsidRPr="007053D8" w:rsidRDefault="00B07DD0" w:rsidP="009527CE">
            <w:pPr>
              <w:spacing w:after="0" w:line="240" w:lineRule="auto"/>
              <w:ind w:left="0" w:firstLine="0"/>
              <w:jc w:val="left"/>
              <w:rPr>
                <w:b/>
                <w:bCs/>
                <w:sz w:val="20"/>
                <w:szCs w:val="20"/>
              </w:rPr>
            </w:pPr>
          </w:p>
        </w:tc>
        <w:tc>
          <w:tcPr>
            <w:tcW w:w="1524" w:type="dxa"/>
            <w:vMerge/>
            <w:tcBorders>
              <w:top w:val="single" w:sz="4" w:space="0" w:color="auto"/>
              <w:left w:val="nil"/>
              <w:bottom w:val="single" w:sz="8" w:space="0" w:color="000000"/>
              <w:right w:val="nil"/>
            </w:tcBorders>
            <w:vAlign w:val="center"/>
            <w:hideMark/>
          </w:tcPr>
          <w:p w14:paraId="6B8D489C" w14:textId="77777777" w:rsidR="00B07DD0" w:rsidRPr="007053D8" w:rsidRDefault="00B07DD0" w:rsidP="009527CE">
            <w:pPr>
              <w:spacing w:after="0" w:line="240" w:lineRule="auto"/>
              <w:ind w:left="0" w:firstLine="0"/>
              <w:jc w:val="left"/>
              <w:rPr>
                <w:b/>
                <w:bCs/>
                <w:i/>
                <w:iCs/>
                <w:sz w:val="20"/>
                <w:szCs w:val="20"/>
              </w:rPr>
            </w:pPr>
          </w:p>
        </w:tc>
        <w:tc>
          <w:tcPr>
            <w:tcW w:w="1250" w:type="dxa"/>
            <w:vMerge/>
            <w:tcBorders>
              <w:left w:val="nil"/>
              <w:bottom w:val="single" w:sz="8" w:space="0" w:color="000000"/>
              <w:right w:val="nil"/>
            </w:tcBorders>
          </w:tcPr>
          <w:p w14:paraId="26277060" w14:textId="77777777" w:rsidR="00B07DD0" w:rsidRPr="007053D8" w:rsidRDefault="00B07DD0" w:rsidP="009527CE">
            <w:pPr>
              <w:spacing w:after="0" w:line="240" w:lineRule="auto"/>
              <w:ind w:left="0" w:firstLine="0"/>
              <w:jc w:val="left"/>
              <w:rPr>
                <w:b/>
                <w:bCs/>
                <w:sz w:val="20"/>
                <w:szCs w:val="20"/>
              </w:rPr>
            </w:pPr>
          </w:p>
        </w:tc>
        <w:tc>
          <w:tcPr>
            <w:tcW w:w="2088" w:type="dxa"/>
            <w:vMerge/>
            <w:tcBorders>
              <w:top w:val="single" w:sz="4" w:space="0" w:color="auto"/>
              <w:left w:val="nil"/>
              <w:bottom w:val="single" w:sz="8" w:space="0" w:color="000000"/>
              <w:right w:val="nil"/>
            </w:tcBorders>
            <w:vAlign w:val="center"/>
            <w:hideMark/>
          </w:tcPr>
          <w:p w14:paraId="520ED556" w14:textId="77777777" w:rsidR="00B07DD0" w:rsidRPr="007053D8" w:rsidRDefault="00B07DD0" w:rsidP="009527CE">
            <w:pPr>
              <w:spacing w:after="0" w:line="240" w:lineRule="auto"/>
              <w:ind w:left="0" w:firstLine="0"/>
              <w:jc w:val="left"/>
              <w:rPr>
                <w:b/>
                <w:bCs/>
                <w:sz w:val="20"/>
                <w:szCs w:val="20"/>
              </w:rPr>
            </w:pPr>
          </w:p>
        </w:tc>
        <w:tc>
          <w:tcPr>
            <w:tcW w:w="686" w:type="dxa"/>
            <w:tcBorders>
              <w:top w:val="nil"/>
              <w:left w:val="nil"/>
              <w:bottom w:val="single" w:sz="8" w:space="0" w:color="auto"/>
              <w:right w:val="nil"/>
            </w:tcBorders>
            <w:shd w:val="clear" w:color="auto" w:fill="auto"/>
            <w:vAlign w:val="center"/>
            <w:hideMark/>
          </w:tcPr>
          <w:p w14:paraId="1E1B2281" w14:textId="77777777" w:rsidR="00B07DD0" w:rsidRPr="007053D8" w:rsidRDefault="00B07DD0" w:rsidP="009527CE">
            <w:pPr>
              <w:spacing w:after="0" w:line="240" w:lineRule="auto"/>
              <w:ind w:left="0" w:firstLine="0"/>
              <w:jc w:val="center"/>
              <w:rPr>
                <w:i/>
                <w:iCs/>
                <w:sz w:val="20"/>
                <w:szCs w:val="20"/>
              </w:rPr>
            </w:pPr>
            <w:r w:rsidRPr="007053D8">
              <w:rPr>
                <w:i/>
                <w:iCs/>
                <w:sz w:val="20"/>
                <w:szCs w:val="20"/>
              </w:rPr>
              <w:t>Odds Ratio</w:t>
            </w:r>
          </w:p>
        </w:tc>
        <w:tc>
          <w:tcPr>
            <w:tcW w:w="889" w:type="dxa"/>
            <w:tcBorders>
              <w:top w:val="nil"/>
              <w:left w:val="nil"/>
              <w:bottom w:val="single" w:sz="8" w:space="0" w:color="auto"/>
              <w:right w:val="nil"/>
            </w:tcBorders>
            <w:shd w:val="clear" w:color="auto" w:fill="auto"/>
            <w:vAlign w:val="center"/>
            <w:hideMark/>
          </w:tcPr>
          <w:p w14:paraId="120775AC" w14:textId="77777777" w:rsidR="00B07DD0" w:rsidRPr="007053D8" w:rsidRDefault="00B07DD0" w:rsidP="009527CE">
            <w:pPr>
              <w:spacing w:after="0" w:line="240" w:lineRule="auto"/>
              <w:ind w:left="0" w:firstLine="0"/>
              <w:jc w:val="center"/>
              <w:rPr>
                <w:i/>
                <w:iCs/>
                <w:sz w:val="20"/>
                <w:szCs w:val="20"/>
              </w:rPr>
            </w:pPr>
            <w:r w:rsidRPr="007053D8">
              <w:rPr>
                <w:i/>
                <w:iCs/>
                <w:sz w:val="20"/>
                <w:szCs w:val="20"/>
              </w:rPr>
              <w:t>Lower Bound ^</w:t>
            </w:r>
          </w:p>
        </w:tc>
        <w:tc>
          <w:tcPr>
            <w:tcW w:w="918" w:type="dxa"/>
            <w:tcBorders>
              <w:top w:val="nil"/>
              <w:left w:val="nil"/>
              <w:bottom w:val="single" w:sz="8" w:space="0" w:color="auto"/>
              <w:right w:val="nil"/>
            </w:tcBorders>
            <w:shd w:val="clear" w:color="auto" w:fill="auto"/>
            <w:vAlign w:val="center"/>
            <w:hideMark/>
          </w:tcPr>
          <w:p w14:paraId="433A13E9" w14:textId="77777777" w:rsidR="00B07DD0" w:rsidRPr="007053D8" w:rsidRDefault="00B07DD0" w:rsidP="009527CE">
            <w:pPr>
              <w:spacing w:after="0" w:line="240" w:lineRule="auto"/>
              <w:ind w:left="0" w:firstLine="0"/>
              <w:jc w:val="center"/>
              <w:rPr>
                <w:i/>
                <w:iCs/>
                <w:sz w:val="20"/>
                <w:szCs w:val="20"/>
              </w:rPr>
            </w:pPr>
            <w:r w:rsidRPr="007053D8">
              <w:rPr>
                <w:i/>
                <w:iCs/>
                <w:sz w:val="20"/>
                <w:szCs w:val="20"/>
              </w:rPr>
              <w:t>Upper Bound ^</w:t>
            </w:r>
          </w:p>
        </w:tc>
      </w:tr>
      <w:tr w:rsidR="00B07DD0" w:rsidRPr="007053D8" w14:paraId="1E49C783" w14:textId="77777777" w:rsidTr="009527CE">
        <w:trPr>
          <w:trHeight w:val="360"/>
        </w:trPr>
        <w:tc>
          <w:tcPr>
            <w:tcW w:w="2352" w:type="dxa"/>
            <w:gridSpan w:val="2"/>
            <w:vMerge w:val="restart"/>
            <w:tcBorders>
              <w:top w:val="nil"/>
              <w:left w:val="nil"/>
              <w:bottom w:val="single" w:sz="4" w:space="0" w:color="000000"/>
              <w:right w:val="nil"/>
            </w:tcBorders>
            <w:shd w:val="clear" w:color="auto" w:fill="auto"/>
            <w:noWrap/>
            <w:vAlign w:val="center"/>
            <w:hideMark/>
          </w:tcPr>
          <w:p w14:paraId="69C3F39C" w14:textId="77777777" w:rsidR="00B07DD0" w:rsidRPr="007053D8" w:rsidRDefault="00B07DD0" w:rsidP="009527CE">
            <w:pPr>
              <w:spacing w:after="0" w:line="240" w:lineRule="auto"/>
              <w:ind w:left="0" w:firstLine="0"/>
              <w:jc w:val="center"/>
              <w:rPr>
                <w:sz w:val="22"/>
              </w:rPr>
            </w:pPr>
            <w:r w:rsidRPr="007053D8">
              <w:rPr>
                <w:sz w:val="22"/>
              </w:rPr>
              <w:t>Disengage. V. Engage.</w:t>
            </w:r>
          </w:p>
        </w:tc>
        <w:tc>
          <w:tcPr>
            <w:tcW w:w="2036" w:type="dxa"/>
            <w:vMerge w:val="restart"/>
            <w:tcBorders>
              <w:top w:val="nil"/>
              <w:left w:val="nil"/>
              <w:bottom w:val="single" w:sz="4" w:space="0" w:color="000000"/>
              <w:right w:val="nil"/>
            </w:tcBorders>
            <w:shd w:val="clear" w:color="auto" w:fill="auto"/>
            <w:noWrap/>
            <w:vAlign w:val="center"/>
            <w:hideMark/>
          </w:tcPr>
          <w:p w14:paraId="1D65A5EE" w14:textId="77777777" w:rsidR="00B07DD0" w:rsidRPr="007053D8" w:rsidRDefault="00B07DD0" w:rsidP="009527CE">
            <w:pPr>
              <w:spacing w:after="0" w:line="240" w:lineRule="auto"/>
              <w:ind w:left="0" w:firstLine="0"/>
              <w:jc w:val="center"/>
              <w:rPr>
                <w:sz w:val="22"/>
              </w:rPr>
            </w:pPr>
            <w:r w:rsidRPr="007053D8">
              <w:rPr>
                <w:sz w:val="22"/>
              </w:rPr>
              <w:t>Positive &amp; Negative</w:t>
            </w:r>
          </w:p>
        </w:tc>
        <w:tc>
          <w:tcPr>
            <w:tcW w:w="2226" w:type="dxa"/>
            <w:vMerge w:val="restart"/>
            <w:tcBorders>
              <w:top w:val="nil"/>
              <w:left w:val="nil"/>
              <w:bottom w:val="single" w:sz="4" w:space="0" w:color="000000"/>
              <w:right w:val="nil"/>
            </w:tcBorders>
            <w:shd w:val="clear" w:color="auto" w:fill="auto"/>
            <w:noWrap/>
            <w:vAlign w:val="center"/>
            <w:hideMark/>
          </w:tcPr>
          <w:p w14:paraId="5F9B5168" w14:textId="77777777" w:rsidR="00B07DD0" w:rsidRPr="007053D8" w:rsidRDefault="00B07DD0" w:rsidP="009527CE">
            <w:pPr>
              <w:spacing w:after="0" w:line="240" w:lineRule="auto"/>
              <w:ind w:left="0" w:firstLine="0"/>
              <w:jc w:val="center"/>
              <w:rPr>
                <w:sz w:val="22"/>
              </w:rPr>
            </w:pPr>
            <w:r w:rsidRPr="007053D8">
              <w:rPr>
                <w:sz w:val="22"/>
              </w:rPr>
              <w:t xml:space="preserve">Immediate &amp; </w:t>
            </w:r>
            <w:proofErr w:type="gramStart"/>
            <w:r w:rsidRPr="007053D8">
              <w:rPr>
                <w:sz w:val="22"/>
              </w:rPr>
              <w:t>Delayed</w:t>
            </w:r>
            <w:proofErr w:type="gramEnd"/>
          </w:p>
        </w:tc>
        <w:tc>
          <w:tcPr>
            <w:tcW w:w="1552" w:type="dxa"/>
            <w:tcBorders>
              <w:top w:val="nil"/>
              <w:left w:val="nil"/>
              <w:bottom w:val="nil"/>
              <w:right w:val="single" w:sz="4" w:space="0" w:color="auto"/>
            </w:tcBorders>
            <w:shd w:val="clear" w:color="000000" w:fill="D9D9D9"/>
            <w:noWrap/>
            <w:vAlign w:val="center"/>
            <w:hideMark/>
          </w:tcPr>
          <w:p w14:paraId="648EFA97" w14:textId="77777777" w:rsidR="00B07DD0" w:rsidRPr="007053D8" w:rsidRDefault="00B07DD0" w:rsidP="009527CE">
            <w:pPr>
              <w:spacing w:after="0" w:line="240" w:lineRule="auto"/>
              <w:ind w:left="0" w:firstLine="0"/>
              <w:jc w:val="center"/>
              <w:rPr>
                <w:sz w:val="22"/>
              </w:rPr>
            </w:pPr>
            <w:r w:rsidRPr="007053D8">
              <w:rPr>
                <w:sz w:val="22"/>
              </w:rPr>
              <w:t>Included</w:t>
            </w:r>
          </w:p>
        </w:tc>
        <w:tc>
          <w:tcPr>
            <w:tcW w:w="1341" w:type="dxa"/>
            <w:vMerge w:val="restart"/>
            <w:tcBorders>
              <w:top w:val="nil"/>
              <w:left w:val="nil"/>
              <w:bottom w:val="single" w:sz="4" w:space="0" w:color="000000"/>
              <w:right w:val="nil"/>
            </w:tcBorders>
            <w:shd w:val="clear" w:color="auto" w:fill="auto"/>
            <w:noWrap/>
            <w:vAlign w:val="center"/>
            <w:hideMark/>
          </w:tcPr>
          <w:p w14:paraId="5C305DB4" w14:textId="77777777" w:rsidR="00B07DD0" w:rsidRPr="007053D8" w:rsidRDefault="00B07DD0" w:rsidP="009527CE">
            <w:pPr>
              <w:spacing w:after="0" w:line="240" w:lineRule="auto"/>
              <w:ind w:left="0" w:firstLine="0"/>
              <w:jc w:val="center"/>
              <w:rPr>
                <w:sz w:val="22"/>
              </w:rPr>
            </w:pPr>
            <w:r w:rsidRPr="007053D8">
              <w:rPr>
                <w:sz w:val="22"/>
              </w:rPr>
              <w:t>90</w:t>
            </w:r>
          </w:p>
        </w:tc>
        <w:tc>
          <w:tcPr>
            <w:tcW w:w="1411" w:type="dxa"/>
            <w:vMerge w:val="restart"/>
            <w:tcBorders>
              <w:top w:val="nil"/>
              <w:left w:val="nil"/>
              <w:bottom w:val="single" w:sz="4" w:space="0" w:color="000000"/>
              <w:right w:val="nil"/>
            </w:tcBorders>
            <w:shd w:val="clear" w:color="auto" w:fill="auto"/>
            <w:noWrap/>
            <w:vAlign w:val="center"/>
            <w:hideMark/>
          </w:tcPr>
          <w:p w14:paraId="46879CFB" w14:textId="77777777" w:rsidR="00B07DD0" w:rsidRPr="007053D8" w:rsidRDefault="00B07DD0" w:rsidP="009527CE">
            <w:pPr>
              <w:spacing w:after="0" w:line="240" w:lineRule="auto"/>
              <w:ind w:left="0" w:firstLine="0"/>
              <w:jc w:val="center"/>
              <w:rPr>
                <w:sz w:val="22"/>
              </w:rPr>
            </w:pPr>
            <w:r w:rsidRPr="007053D8">
              <w:rPr>
                <w:sz w:val="22"/>
              </w:rPr>
              <w:t>397</w:t>
            </w:r>
          </w:p>
        </w:tc>
        <w:tc>
          <w:tcPr>
            <w:tcW w:w="1350" w:type="dxa"/>
            <w:vMerge w:val="restart"/>
            <w:tcBorders>
              <w:top w:val="nil"/>
              <w:left w:val="nil"/>
              <w:bottom w:val="single" w:sz="4" w:space="0" w:color="000000"/>
              <w:right w:val="nil"/>
            </w:tcBorders>
            <w:shd w:val="clear" w:color="auto" w:fill="auto"/>
            <w:noWrap/>
            <w:vAlign w:val="center"/>
            <w:hideMark/>
          </w:tcPr>
          <w:p w14:paraId="5B9E13D0" w14:textId="77777777" w:rsidR="00B07DD0" w:rsidRPr="007053D8" w:rsidRDefault="00B07DD0" w:rsidP="009527CE">
            <w:pPr>
              <w:spacing w:after="0" w:line="240" w:lineRule="auto"/>
              <w:ind w:left="0" w:firstLine="0"/>
              <w:jc w:val="center"/>
              <w:rPr>
                <w:sz w:val="22"/>
              </w:rPr>
            </w:pPr>
            <w:r w:rsidRPr="007053D8">
              <w:rPr>
                <w:sz w:val="22"/>
              </w:rPr>
              <w:t>0.34</w:t>
            </w:r>
          </w:p>
        </w:tc>
        <w:tc>
          <w:tcPr>
            <w:tcW w:w="1524" w:type="dxa"/>
            <w:tcBorders>
              <w:top w:val="nil"/>
              <w:left w:val="nil"/>
              <w:bottom w:val="nil"/>
              <w:right w:val="nil"/>
            </w:tcBorders>
            <w:shd w:val="clear" w:color="000000" w:fill="D9D9D9"/>
            <w:noWrap/>
            <w:vAlign w:val="center"/>
            <w:hideMark/>
          </w:tcPr>
          <w:p w14:paraId="5A6AE91A" w14:textId="77777777" w:rsidR="00B07DD0" w:rsidRPr="007053D8" w:rsidRDefault="00B07DD0" w:rsidP="009527CE">
            <w:pPr>
              <w:spacing w:after="0" w:line="240" w:lineRule="auto"/>
              <w:ind w:left="0" w:firstLine="0"/>
              <w:jc w:val="center"/>
              <w:rPr>
                <w:sz w:val="22"/>
              </w:rPr>
            </w:pPr>
            <w:r w:rsidRPr="007053D8">
              <w:rPr>
                <w:sz w:val="22"/>
              </w:rPr>
              <w:t>-</w:t>
            </w:r>
          </w:p>
        </w:tc>
        <w:tc>
          <w:tcPr>
            <w:tcW w:w="1250" w:type="dxa"/>
            <w:tcBorders>
              <w:top w:val="nil"/>
              <w:left w:val="nil"/>
              <w:bottom w:val="nil"/>
              <w:right w:val="nil"/>
            </w:tcBorders>
            <w:shd w:val="clear" w:color="000000" w:fill="D9D9D9"/>
            <w:vAlign w:val="center"/>
          </w:tcPr>
          <w:p w14:paraId="527D82C8" w14:textId="77777777" w:rsidR="00B07DD0" w:rsidRPr="007053D8" w:rsidRDefault="00B07DD0" w:rsidP="009527CE">
            <w:pPr>
              <w:spacing w:after="0" w:line="240" w:lineRule="auto"/>
              <w:ind w:left="0" w:firstLine="0"/>
              <w:jc w:val="center"/>
              <w:rPr>
                <w:sz w:val="22"/>
              </w:rPr>
            </w:pPr>
            <w:r w:rsidRPr="007053D8">
              <w:rPr>
                <w:sz w:val="22"/>
              </w:rPr>
              <w:t>-</w:t>
            </w:r>
          </w:p>
        </w:tc>
        <w:tc>
          <w:tcPr>
            <w:tcW w:w="2088" w:type="dxa"/>
            <w:tcBorders>
              <w:top w:val="nil"/>
              <w:left w:val="nil"/>
              <w:bottom w:val="nil"/>
              <w:right w:val="single" w:sz="4" w:space="0" w:color="auto"/>
            </w:tcBorders>
            <w:shd w:val="clear" w:color="000000" w:fill="D9D9D9"/>
            <w:noWrap/>
            <w:vAlign w:val="center"/>
            <w:hideMark/>
          </w:tcPr>
          <w:p w14:paraId="340F018F" w14:textId="77777777" w:rsidR="00B07DD0" w:rsidRPr="007053D8" w:rsidRDefault="00B07DD0" w:rsidP="009527CE">
            <w:pPr>
              <w:spacing w:after="0" w:line="240" w:lineRule="auto"/>
              <w:ind w:left="0" w:firstLine="0"/>
              <w:jc w:val="center"/>
              <w:rPr>
                <w:sz w:val="22"/>
              </w:rPr>
            </w:pPr>
            <w:r w:rsidRPr="007053D8">
              <w:rPr>
                <w:sz w:val="22"/>
              </w:rPr>
              <w:t>-</w:t>
            </w:r>
          </w:p>
        </w:tc>
        <w:tc>
          <w:tcPr>
            <w:tcW w:w="686" w:type="dxa"/>
            <w:tcBorders>
              <w:top w:val="nil"/>
              <w:left w:val="nil"/>
              <w:bottom w:val="nil"/>
              <w:right w:val="nil"/>
            </w:tcBorders>
            <w:shd w:val="clear" w:color="000000" w:fill="D9D9D9"/>
            <w:noWrap/>
            <w:vAlign w:val="center"/>
            <w:hideMark/>
          </w:tcPr>
          <w:p w14:paraId="3EBB88B1" w14:textId="77777777" w:rsidR="00B07DD0" w:rsidRPr="007053D8" w:rsidRDefault="00B07DD0" w:rsidP="009527CE">
            <w:pPr>
              <w:spacing w:after="0" w:line="240" w:lineRule="auto"/>
              <w:ind w:left="0" w:firstLine="0"/>
              <w:jc w:val="center"/>
              <w:rPr>
                <w:sz w:val="22"/>
              </w:rPr>
            </w:pPr>
            <w:r w:rsidRPr="007053D8">
              <w:rPr>
                <w:sz w:val="22"/>
              </w:rPr>
              <w:t>1.27</w:t>
            </w:r>
          </w:p>
        </w:tc>
        <w:tc>
          <w:tcPr>
            <w:tcW w:w="889" w:type="dxa"/>
            <w:tcBorders>
              <w:top w:val="nil"/>
              <w:left w:val="nil"/>
              <w:bottom w:val="nil"/>
              <w:right w:val="nil"/>
            </w:tcBorders>
            <w:shd w:val="clear" w:color="000000" w:fill="D9D9D9"/>
            <w:noWrap/>
            <w:vAlign w:val="center"/>
            <w:hideMark/>
          </w:tcPr>
          <w:p w14:paraId="3B77BB8D" w14:textId="77777777" w:rsidR="00B07DD0" w:rsidRPr="007053D8" w:rsidRDefault="00B07DD0" w:rsidP="009527CE">
            <w:pPr>
              <w:spacing w:after="0" w:line="240" w:lineRule="auto"/>
              <w:ind w:left="0" w:firstLine="0"/>
              <w:jc w:val="center"/>
              <w:rPr>
                <w:sz w:val="22"/>
              </w:rPr>
            </w:pPr>
            <w:r w:rsidRPr="007053D8">
              <w:rPr>
                <w:sz w:val="22"/>
              </w:rPr>
              <w:t>0.93</w:t>
            </w:r>
          </w:p>
        </w:tc>
        <w:tc>
          <w:tcPr>
            <w:tcW w:w="918" w:type="dxa"/>
            <w:tcBorders>
              <w:top w:val="nil"/>
              <w:left w:val="nil"/>
              <w:bottom w:val="nil"/>
              <w:right w:val="nil"/>
            </w:tcBorders>
            <w:shd w:val="clear" w:color="000000" w:fill="D9D9D9"/>
            <w:noWrap/>
            <w:vAlign w:val="center"/>
            <w:hideMark/>
          </w:tcPr>
          <w:p w14:paraId="7B62F479" w14:textId="77777777" w:rsidR="00B07DD0" w:rsidRPr="007053D8" w:rsidRDefault="00B07DD0" w:rsidP="009527CE">
            <w:pPr>
              <w:spacing w:after="0" w:line="240" w:lineRule="auto"/>
              <w:ind w:left="0" w:firstLine="0"/>
              <w:jc w:val="center"/>
              <w:rPr>
                <w:sz w:val="22"/>
              </w:rPr>
            </w:pPr>
            <w:r w:rsidRPr="007053D8">
              <w:rPr>
                <w:sz w:val="22"/>
              </w:rPr>
              <w:t>1.73</w:t>
            </w:r>
          </w:p>
        </w:tc>
      </w:tr>
      <w:tr w:rsidR="00B07DD0" w:rsidRPr="007053D8" w14:paraId="3C5EECC0" w14:textId="77777777" w:rsidTr="009527CE">
        <w:trPr>
          <w:trHeight w:val="360"/>
        </w:trPr>
        <w:tc>
          <w:tcPr>
            <w:tcW w:w="2352" w:type="dxa"/>
            <w:gridSpan w:val="2"/>
            <w:vMerge/>
            <w:tcBorders>
              <w:top w:val="nil"/>
              <w:left w:val="nil"/>
              <w:bottom w:val="single" w:sz="4" w:space="0" w:color="000000"/>
              <w:right w:val="nil"/>
            </w:tcBorders>
            <w:vAlign w:val="center"/>
            <w:hideMark/>
          </w:tcPr>
          <w:p w14:paraId="0F77A251" w14:textId="77777777" w:rsidR="00B07DD0" w:rsidRPr="007053D8" w:rsidRDefault="00B07DD0" w:rsidP="009527CE">
            <w:pPr>
              <w:spacing w:after="0" w:line="240" w:lineRule="auto"/>
              <w:ind w:left="0" w:firstLine="0"/>
              <w:jc w:val="left"/>
              <w:rPr>
                <w:sz w:val="22"/>
              </w:rPr>
            </w:pPr>
          </w:p>
        </w:tc>
        <w:tc>
          <w:tcPr>
            <w:tcW w:w="2036" w:type="dxa"/>
            <w:vMerge/>
            <w:tcBorders>
              <w:top w:val="nil"/>
              <w:left w:val="nil"/>
              <w:bottom w:val="single" w:sz="4" w:space="0" w:color="000000"/>
              <w:right w:val="nil"/>
            </w:tcBorders>
            <w:vAlign w:val="center"/>
            <w:hideMark/>
          </w:tcPr>
          <w:p w14:paraId="7B9AB9F7" w14:textId="77777777" w:rsidR="00B07DD0" w:rsidRPr="007053D8" w:rsidRDefault="00B07DD0" w:rsidP="009527CE">
            <w:pPr>
              <w:spacing w:after="0" w:line="240" w:lineRule="auto"/>
              <w:ind w:left="0" w:firstLine="0"/>
              <w:jc w:val="left"/>
              <w:rPr>
                <w:sz w:val="22"/>
              </w:rPr>
            </w:pPr>
          </w:p>
        </w:tc>
        <w:tc>
          <w:tcPr>
            <w:tcW w:w="2226" w:type="dxa"/>
            <w:vMerge/>
            <w:tcBorders>
              <w:top w:val="nil"/>
              <w:left w:val="nil"/>
              <w:bottom w:val="single" w:sz="4" w:space="0" w:color="000000"/>
              <w:right w:val="nil"/>
            </w:tcBorders>
            <w:vAlign w:val="center"/>
            <w:hideMark/>
          </w:tcPr>
          <w:p w14:paraId="79DD2FF0" w14:textId="77777777" w:rsidR="00B07DD0" w:rsidRPr="007053D8" w:rsidRDefault="00B07DD0" w:rsidP="009527CE">
            <w:pPr>
              <w:spacing w:after="0" w:line="240" w:lineRule="auto"/>
              <w:ind w:left="0" w:firstLine="0"/>
              <w:jc w:val="left"/>
              <w:rPr>
                <w:sz w:val="22"/>
              </w:rPr>
            </w:pPr>
          </w:p>
        </w:tc>
        <w:tc>
          <w:tcPr>
            <w:tcW w:w="1552" w:type="dxa"/>
            <w:tcBorders>
              <w:top w:val="nil"/>
              <w:left w:val="nil"/>
              <w:bottom w:val="single" w:sz="4" w:space="0" w:color="auto"/>
              <w:right w:val="single" w:sz="4" w:space="0" w:color="auto"/>
            </w:tcBorders>
            <w:shd w:val="clear" w:color="auto" w:fill="auto"/>
            <w:noWrap/>
            <w:vAlign w:val="center"/>
            <w:hideMark/>
          </w:tcPr>
          <w:p w14:paraId="35850A17" w14:textId="77777777" w:rsidR="00B07DD0" w:rsidRPr="007053D8" w:rsidRDefault="00B07DD0" w:rsidP="009527CE">
            <w:pPr>
              <w:spacing w:after="0" w:line="240" w:lineRule="auto"/>
              <w:ind w:left="0" w:firstLine="0"/>
              <w:jc w:val="center"/>
              <w:rPr>
                <w:sz w:val="22"/>
              </w:rPr>
            </w:pPr>
            <w:r w:rsidRPr="007053D8">
              <w:rPr>
                <w:sz w:val="22"/>
              </w:rPr>
              <w:t>Not Included</w:t>
            </w:r>
          </w:p>
        </w:tc>
        <w:tc>
          <w:tcPr>
            <w:tcW w:w="1341" w:type="dxa"/>
            <w:vMerge/>
            <w:tcBorders>
              <w:top w:val="nil"/>
              <w:left w:val="nil"/>
              <w:bottom w:val="single" w:sz="4" w:space="0" w:color="000000"/>
              <w:right w:val="nil"/>
            </w:tcBorders>
            <w:vAlign w:val="center"/>
            <w:hideMark/>
          </w:tcPr>
          <w:p w14:paraId="4BE0F097" w14:textId="77777777" w:rsidR="00B07DD0" w:rsidRPr="007053D8" w:rsidRDefault="00B07DD0" w:rsidP="009527CE">
            <w:pPr>
              <w:spacing w:after="0" w:line="240" w:lineRule="auto"/>
              <w:ind w:left="0" w:firstLine="0"/>
              <w:jc w:val="left"/>
              <w:rPr>
                <w:sz w:val="22"/>
              </w:rPr>
            </w:pPr>
          </w:p>
        </w:tc>
        <w:tc>
          <w:tcPr>
            <w:tcW w:w="1411" w:type="dxa"/>
            <w:vMerge/>
            <w:tcBorders>
              <w:top w:val="nil"/>
              <w:left w:val="nil"/>
              <w:bottom w:val="single" w:sz="4" w:space="0" w:color="000000"/>
              <w:right w:val="nil"/>
            </w:tcBorders>
            <w:vAlign w:val="center"/>
            <w:hideMark/>
          </w:tcPr>
          <w:p w14:paraId="0F7AC1B3" w14:textId="77777777" w:rsidR="00B07DD0" w:rsidRPr="007053D8" w:rsidRDefault="00B07DD0" w:rsidP="009527CE">
            <w:pPr>
              <w:spacing w:after="0" w:line="240" w:lineRule="auto"/>
              <w:ind w:left="0" w:firstLine="0"/>
              <w:jc w:val="left"/>
              <w:rPr>
                <w:sz w:val="22"/>
              </w:rPr>
            </w:pPr>
          </w:p>
        </w:tc>
        <w:tc>
          <w:tcPr>
            <w:tcW w:w="1350" w:type="dxa"/>
            <w:vMerge/>
            <w:tcBorders>
              <w:top w:val="nil"/>
              <w:left w:val="nil"/>
              <w:bottom w:val="single" w:sz="4" w:space="0" w:color="000000"/>
              <w:right w:val="nil"/>
            </w:tcBorders>
            <w:vAlign w:val="center"/>
            <w:hideMark/>
          </w:tcPr>
          <w:p w14:paraId="7365B8A1" w14:textId="77777777" w:rsidR="00B07DD0" w:rsidRPr="007053D8" w:rsidRDefault="00B07DD0" w:rsidP="009527CE">
            <w:pPr>
              <w:spacing w:after="0" w:line="240" w:lineRule="auto"/>
              <w:ind w:left="0" w:firstLine="0"/>
              <w:jc w:val="left"/>
              <w:rPr>
                <w:sz w:val="22"/>
              </w:rPr>
            </w:pPr>
          </w:p>
        </w:tc>
        <w:tc>
          <w:tcPr>
            <w:tcW w:w="1524" w:type="dxa"/>
            <w:tcBorders>
              <w:top w:val="nil"/>
              <w:left w:val="nil"/>
              <w:bottom w:val="single" w:sz="4" w:space="0" w:color="auto"/>
              <w:right w:val="nil"/>
            </w:tcBorders>
            <w:shd w:val="clear" w:color="auto" w:fill="auto"/>
            <w:noWrap/>
            <w:vAlign w:val="center"/>
            <w:hideMark/>
          </w:tcPr>
          <w:p w14:paraId="2068F911" w14:textId="77777777" w:rsidR="00B07DD0" w:rsidRPr="007053D8" w:rsidRDefault="00B07DD0" w:rsidP="009527CE">
            <w:pPr>
              <w:spacing w:after="0" w:line="240" w:lineRule="auto"/>
              <w:ind w:left="0" w:firstLine="0"/>
              <w:jc w:val="center"/>
              <w:rPr>
                <w:sz w:val="22"/>
              </w:rPr>
            </w:pPr>
            <w:r w:rsidRPr="007053D8">
              <w:rPr>
                <w:sz w:val="22"/>
              </w:rPr>
              <w:t>2.64</w:t>
            </w:r>
          </w:p>
        </w:tc>
        <w:tc>
          <w:tcPr>
            <w:tcW w:w="1250" w:type="dxa"/>
            <w:tcBorders>
              <w:top w:val="nil"/>
              <w:left w:val="nil"/>
              <w:bottom w:val="single" w:sz="4" w:space="0" w:color="auto"/>
              <w:right w:val="nil"/>
            </w:tcBorders>
            <w:vAlign w:val="center"/>
          </w:tcPr>
          <w:p w14:paraId="7627CF53" w14:textId="77777777" w:rsidR="00B07DD0" w:rsidRPr="007053D8" w:rsidRDefault="00B07DD0" w:rsidP="009527CE">
            <w:pPr>
              <w:spacing w:after="0" w:line="240" w:lineRule="auto"/>
              <w:ind w:left="0" w:firstLine="0"/>
              <w:jc w:val="center"/>
              <w:rPr>
                <w:sz w:val="22"/>
              </w:rPr>
            </w:pPr>
            <w:r w:rsidRPr="007053D8">
              <w:rPr>
                <w:sz w:val="22"/>
              </w:rPr>
              <w:t>0.10</w:t>
            </w:r>
          </w:p>
        </w:tc>
        <w:tc>
          <w:tcPr>
            <w:tcW w:w="2088" w:type="dxa"/>
            <w:tcBorders>
              <w:top w:val="nil"/>
              <w:left w:val="nil"/>
              <w:bottom w:val="single" w:sz="4" w:space="0" w:color="auto"/>
              <w:right w:val="single" w:sz="4" w:space="0" w:color="auto"/>
            </w:tcBorders>
            <w:shd w:val="clear" w:color="auto" w:fill="auto"/>
            <w:noWrap/>
            <w:vAlign w:val="center"/>
            <w:hideMark/>
          </w:tcPr>
          <w:p w14:paraId="70498E4C" w14:textId="77777777" w:rsidR="00B07DD0" w:rsidRPr="007053D8" w:rsidRDefault="00B07DD0" w:rsidP="009527CE">
            <w:pPr>
              <w:spacing w:after="0" w:line="240" w:lineRule="auto"/>
              <w:ind w:left="0" w:firstLine="0"/>
              <w:jc w:val="center"/>
              <w:rPr>
                <w:sz w:val="22"/>
              </w:rPr>
            </w:pPr>
            <w:r w:rsidRPr="007053D8">
              <w:rPr>
                <w:sz w:val="22"/>
              </w:rPr>
              <w:t>0.</w:t>
            </w:r>
            <w:r>
              <w:rPr>
                <w:sz w:val="22"/>
              </w:rPr>
              <w:t>80</w:t>
            </w:r>
          </w:p>
        </w:tc>
        <w:tc>
          <w:tcPr>
            <w:tcW w:w="686" w:type="dxa"/>
            <w:tcBorders>
              <w:top w:val="nil"/>
              <w:left w:val="nil"/>
              <w:bottom w:val="single" w:sz="4" w:space="0" w:color="auto"/>
              <w:right w:val="nil"/>
            </w:tcBorders>
            <w:shd w:val="clear" w:color="auto" w:fill="auto"/>
            <w:noWrap/>
            <w:vAlign w:val="center"/>
            <w:hideMark/>
          </w:tcPr>
          <w:p w14:paraId="50E4F038" w14:textId="77777777" w:rsidR="00B07DD0" w:rsidRPr="007053D8" w:rsidRDefault="00B07DD0" w:rsidP="009527CE">
            <w:pPr>
              <w:spacing w:after="0" w:line="240" w:lineRule="auto"/>
              <w:ind w:left="0" w:firstLine="0"/>
              <w:jc w:val="center"/>
              <w:rPr>
                <w:sz w:val="22"/>
              </w:rPr>
            </w:pPr>
            <w:r w:rsidRPr="007053D8">
              <w:rPr>
                <w:sz w:val="22"/>
              </w:rPr>
              <w:t>1.28</w:t>
            </w:r>
          </w:p>
        </w:tc>
        <w:tc>
          <w:tcPr>
            <w:tcW w:w="889" w:type="dxa"/>
            <w:tcBorders>
              <w:top w:val="nil"/>
              <w:left w:val="nil"/>
              <w:bottom w:val="single" w:sz="4" w:space="0" w:color="auto"/>
              <w:right w:val="nil"/>
            </w:tcBorders>
            <w:shd w:val="clear" w:color="auto" w:fill="auto"/>
            <w:noWrap/>
            <w:vAlign w:val="center"/>
            <w:hideMark/>
          </w:tcPr>
          <w:p w14:paraId="79E082DC" w14:textId="77777777" w:rsidR="00B07DD0" w:rsidRPr="007053D8" w:rsidRDefault="00B07DD0" w:rsidP="009527CE">
            <w:pPr>
              <w:spacing w:after="0" w:line="240" w:lineRule="auto"/>
              <w:ind w:left="0" w:firstLine="0"/>
              <w:jc w:val="center"/>
              <w:rPr>
                <w:sz w:val="22"/>
              </w:rPr>
            </w:pPr>
            <w:r w:rsidRPr="007053D8">
              <w:rPr>
                <w:sz w:val="22"/>
              </w:rPr>
              <w:t>0.95</w:t>
            </w:r>
          </w:p>
        </w:tc>
        <w:tc>
          <w:tcPr>
            <w:tcW w:w="918" w:type="dxa"/>
            <w:tcBorders>
              <w:top w:val="nil"/>
              <w:left w:val="nil"/>
              <w:bottom w:val="single" w:sz="4" w:space="0" w:color="auto"/>
              <w:right w:val="nil"/>
            </w:tcBorders>
            <w:shd w:val="clear" w:color="auto" w:fill="auto"/>
            <w:noWrap/>
            <w:vAlign w:val="center"/>
            <w:hideMark/>
          </w:tcPr>
          <w:p w14:paraId="35092F0E" w14:textId="77777777" w:rsidR="00B07DD0" w:rsidRPr="007053D8" w:rsidRDefault="00B07DD0" w:rsidP="009527CE">
            <w:pPr>
              <w:spacing w:after="0" w:line="240" w:lineRule="auto"/>
              <w:ind w:left="0" w:firstLine="0"/>
              <w:jc w:val="center"/>
              <w:rPr>
                <w:sz w:val="22"/>
              </w:rPr>
            </w:pPr>
            <w:r w:rsidRPr="007053D8">
              <w:rPr>
                <w:sz w:val="22"/>
              </w:rPr>
              <w:t>1.71</w:t>
            </w:r>
          </w:p>
        </w:tc>
      </w:tr>
      <w:tr w:rsidR="00B07DD0" w:rsidRPr="007053D8" w14:paraId="57CD56E9" w14:textId="77777777" w:rsidTr="009527CE">
        <w:trPr>
          <w:trHeight w:val="360"/>
        </w:trPr>
        <w:tc>
          <w:tcPr>
            <w:tcW w:w="2352" w:type="dxa"/>
            <w:gridSpan w:val="2"/>
            <w:vMerge w:val="restart"/>
            <w:tcBorders>
              <w:top w:val="nil"/>
              <w:left w:val="nil"/>
              <w:bottom w:val="single" w:sz="4" w:space="0" w:color="000000"/>
              <w:right w:val="nil"/>
            </w:tcBorders>
            <w:shd w:val="clear" w:color="auto" w:fill="auto"/>
            <w:noWrap/>
            <w:vAlign w:val="center"/>
            <w:hideMark/>
          </w:tcPr>
          <w:p w14:paraId="20AD523A" w14:textId="77777777" w:rsidR="00B07DD0" w:rsidRPr="007053D8" w:rsidRDefault="00B07DD0" w:rsidP="009527CE">
            <w:pPr>
              <w:spacing w:after="0" w:line="240" w:lineRule="auto"/>
              <w:ind w:left="0" w:firstLine="0"/>
              <w:jc w:val="center"/>
              <w:rPr>
                <w:sz w:val="22"/>
              </w:rPr>
            </w:pPr>
            <w:r w:rsidRPr="007053D8">
              <w:rPr>
                <w:sz w:val="22"/>
              </w:rPr>
              <w:t>Disengage. V. Engage.</w:t>
            </w:r>
          </w:p>
        </w:tc>
        <w:tc>
          <w:tcPr>
            <w:tcW w:w="2036" w:type="dxa"/>
            <w:vMerge w:val="restart"/>
            <w:tcBorders>
              <w:top w:val="nil"/>
              <w:left w:val="nil"/>
              <w:bottom w:val="single" w:sz="4" w:space="0" w:color="000000"/>
              <w:right w:val="nil"/>
            </w:tcBorders>
            <w:shd w:val="clear" w:color="auto" w:fill="auto"/>
            <w:noWrap/>
            <w:vAlign w:val="center"/>
            <w:hideMark/>
          </w:tcPr>
          <w:p w14:paraId="343831B2" w14:textId="77777777" w:rsidR="00B07DD0" w:rsidRPr="007053D8" w:rsidRDefault="00B07DD0" w:rsidP="009527CE">
            <w:pPr>
              <w:spacing w:after="0" w:line="240" w:lineRule="auto"/>
              <w:ind w:left="0" w:firstLine="0"/>
              <w:jc w:val="center"/>
              <w:rPr>
                <w:sz w:val="22"/>
              </w:rPr>
            </w:pPr>
            <w:r w:rsidRPr="007053D8">
              <w:rPr>
                <w:sz w:val="22"/>
              </w:rPr>
              <w:t>Negative</w:t>
            </w:r>
          </w:p>
        </w:tc>
        <w:tc>
          <w:tcPr>
            <w:tcW w:w="2226" w:type="dxa"/>
            <w:vMerge w:val="restart"/>
            <w:tcBorders>
              <w:top w:val="nil"/>
              <w:left w:val="nil"/>
              <w:bottom w:val="single" w:sz="4" w:space="0" w:color="000000"/>
              <w:right w:val="nil"/>
            </w:tcBorders>
            <w:shd w:val="clear" w:color="auto" w:fill="auto"/>
            <w:noWrap/>
            <w:vAlign w:val="center"/>
            <w:hideMark/>
          </w:tcPr>
          <w:p w14:paraId="6AD73D19" w14:textId="77777777" w:rsidR="00B07DD0" w:rsidRPr="007053D8" w:rsidRDefault="00B07DD0" w:rsidP="009527CE">
            <w:pPr>
              <w:spacing w:after="0" w:line="240" w:lineRule="auto"/>
              <w:ind w:left="0" w:firstLine="0"/>
              <w:jc w:val="center"/>
              <w:rPr>
                <w:sz w:val="22"/>
              </w:rPr>
            </w:pPr>
            <w:r w:rsidRPr="007053D8">
              <w:rPr>
                <w:sz w:val="22"/>
              </w:rPr>
              <w:t xml:space="preserve">Immediate &amp; </w:t>
            </w:r>
            <w:proofErr w:type="gramStart"/>
            <w:r w:rsidRPr="007053D8">
              <w:rPr>
                <w:sz w:val="22"/>
              </w:rPr>
              <w:t>Delayed</w:t>
            </w:r>
            <w:proofErr w:type="gramEnd"/>
          </w:p>
        </w:tc>
        <w:tc>
          <w:tcPr>
            <w:tcW w:w="1552" w:type="dxa"/>
            <w:tcBorders>
              <w:top w:val="nil"/>
              <w:left w:val="nil"/>
              <w:bottom w:val="nil"/>
              <w:right w:val="single" w:sz="4" w:space="0" w:color="auto"/>
            </w:tcBorders>
            <w:shd w:val="clear" w:color="000000" w:fill="D9D9D9"/>
            <w:noWrap/>
            <w:vAlign w:val="center"/>
            <w:hideMark/>
          </w:tcPr>
          <w:p w14:paraId="5E4FD434" w14:textId="77777777" w:rsidR="00B07DD0" w:rsidRPr="007053D8" w:rsidRDefault="00B07DD0" w:rsidP="009527CE">
            <w:pPr>
              <w:spacing w:after="0" w:line="240" w:lineRule="auto"/>
              <w:ind w:left="0" w:firstLine="0"/>
              <w:jc w:val="center"/>
              <w:rPr>
                <w:sz w:val="22"/>
              </w:rPr>
            </w:pPr>
            <w:r w:rsidRPr="007053D8">
              <w:rPr>
                <w:sz w:val="22"/>
              </w:rPr>
              <w:t>Included</w:t>
            </w:r>
          </w:p>
        </w:tc>
        <w:tc>
          <w:tcPr>
            <w:tcW w:w="1341" w:type="dxa"/>
            <w:vMerge w:val="restart"/>
            <w:tcBorders>
              <w:top w:val="nil"/>
              <w:left w:val="nil"/>
              <w:bottom w:val="single" w:sz="4" w:space="0" w:color="000000"/>
              <w:right w:val="nil"/>
            </w:tcBorders>
            <w:shd w:val="clear" w:color="auto" w:fill="auto"/>
            <w:noWrap/>
            <w:vAlign w:val="center"/>
            <w:hideMark/>
          </w:tcPr>
          <w:p w14:paraId="378CACED" w14:textId="77777777" w:rsidR="00B07DD0" w:rsidRPr="007053D8" w:rsidRDefault="00B07DD0" w:rsidP="009527CE">
            <w:pPr>
              <w:spacing w:after="0" w:line="240" w:lineRule="auto"/>
              <w:ind w:left="0" w:firstLine="0"/>
              <w:jc w:val="center"/>
              <w:rPr>
                <w:sz w:val="22"/>
              </w:rPr>
            </w:pPr>
            <w:r w:rsidRPr="007053D8">
              <w:rPr>
                <w:sz w:val="22"/>
              </w:rPr>
              <w:t>89</w:t>
            </w:r>
          </w:p>
        </w:tc>
        <w:tc>
          <w:tcPr>
            <w:tcW w:w="1411" w:type="dxa"/>
            <w:vMerge w:val="restart"/>
            <w:tcBorders>
              <w:top w:val="nil"/>
              <w:left w:val="nil"/>
              <w:bottom w:val="single" w:sz="4" w:space="0" w:color="000000"/>
              <w:right w:val="nil"/>
            </w:tcBorders>
            <w:shd w:val="clear" w:color="auto" w:fill="auto"/>
            <w:noWrap/>
            <w:vAlign w:val="center"/>
            <w:hideMark/>
          </w:tcPr>
          <w:p w14:paraId="2AD2D85D" w14:textId="77777777" w:rsidR="00B07DD0" w:rsidRPr="007053D8" w:rsidRDefault="00B07DD0" w:rsidP="009527CE">
            <w:pPr>
              <w:spacing w:after="0" w:line="240" w:lineRule="auto"/>
              <w:ind w:left="0" w:firstLine="0"/>
              <w:jc w:val="center"/>
              <w:rPr>
                <w:sz w:val="22"/>
              </w:rPr>
            </w:pPr>
            <w:r w:rsidRPr="007053D8">
              <w:rPr>
                <w:sz w:val="22"/>
              </w:rPr>
              <w:t>360</w:t>
            </w:r>
          </w:p>
        </w:tc>
        <w:tc>
          <w:tcPr>
            <w:tcW w:w="1350" w:type="dxa"/>
            <w:vMerge w:val="restart"/>
            <w:tcBorders>
              <w:top w:val="nil"/>
              <w:left w:val="nil"/>
              <w:bottom w:val="single" w:sz="4" w:space="0" w:color="000000"/>
              <w:right w:val="nil"/>
            </w:tcBorders>
            <w:shd w:val="clear" w:color="auto" w:fill="auto"/>
            <w:noWrap/>
            <w:vAlign w:val="center"/>
            <w:hideMark/>
          </w:tcPr>
          <w:p w14:paraId="75C34092" w14:textId="77777777" w:rsidR="00B07DD0" w:rsidRPr="007053D8" w:rsidRDefault="00B07DD0" w:rsidP="009527CE">
            <w:pPr>
              <w:spacing w:after="0" w:line="240" w:lineRule="auto"/>
              <w:ind w:left="0" w:firstLine="0"/>
              <w:jc w:val="center"/>
              <w:rPr>
                <w:sz w:val="22"/>
              </w:rPr>
            </w:pPr>
            <w:r w:rsidRPr="007053D8">
              <w:rPr>
                <w:sz w:val="22"/>
              </w:rPr>
              <w:t>0.36</w:t>
            </w:r>
          </w:p>
        </w:tc>
        <w:tc>
          <w:tcPr>
            <w:tcW w:w="1524" w:type="dxa"/>
            <w:tcBorders>
              <w:top w:val="nil"/>
              <w:left w:val="nil"/>
              <w:bottom w:val="nil"/>
              <w:right w:val="nil"/>
            </w:tcBorders>
            <w:shd w:val="clear" w:color="000000" w:fill="D9D9D9"/>
            <w:noWrap/>
            <w:vAlign w:val="center"/>
            <w:hideMark/>
          </w:tcPr>
          <w:p w14:paraId="5E912A9B" w14:textId="77777777" w:rsidR="00B07DD0" w:rsidRPr="007053D8" w:rsidRDefault="00B07DD0" w:rsidP="009527CE">
            <w:pPr>
              <w:spacing w:after="0" w:line="240" w:lineRule="auto"/>
              <w:ind w:left="0" w:firstLine="0"/>
              <w:jc w:val="center"/>
              <w:rPr>
                <w:sz w:val="22"/>
              </w:rPr>
            </w:pPr>
            <w:r w:rsidRPr="007053D8">
              <w:rPr>
                <w:sz w:val="22"/>
              </w:rPr>
              <w:t>-</w:t>
            </w:r>
          </w:p>
        </w:tc>
        <w:tc>
          <w:tcPr>
            <w:tcW w:w="1250" w:type="dxa"/>
            <w:tcBorders>
              <w:top w:val="nil"/>
              <w:left w:val="nil"/>
              <w:bottom w:val="nil"/>
              <w:right w:val="nil"/>
            </w:tcBorders>
            <w:shd w:val="clear" w:color="000000" w:fill="D9D9D9"/>
            <w:vAlign w:val="center"/>
          </w:tcPr>
          <w:p w14:paraId="021C6909" w14:textId="77777777" w:rsidR="00B07DD0" w:rsidRPr="007053D8" w:rsidRDefault="00B07DD0" w:rsidP="009527CE">
            <w:pPr>
              <w:spacing w:after="0" w:line="240" w:lineRule="auto"/>
              <w:ind w:left="0" w:firstLine="0"/>
              <w:jc w:val="center"/>
              <w:rPr>
                <w:sz w:val="22"/>
              </w:rPr>
            </w:pPr>
            <w:r w:rsidRPr="007053D8">
              <w:rPr>
                <w:sz w:val="22"/>
              </w:rPr>
              <w:t>-</w:t>
            </w:r>
          </w:p>
        </w:tc>
        <w:tc>
          <w:tcPr>
            <w:tcW w:w="2088" w:type="dxa"/>
            <w:tcBorders>
              <w:top w:val="nil"/>
              <w:left w:val="nil"/>
              <w:bottom w:val="nil"/>
              <w:right w:val="single" w:sz="4" w:space="0" w:color="auto"/>
            </w:tcBorders>
            <w:shd w:val="clear" w:color="000000" w:fill="D9D9D9"/>
            <w:noWrap/>
            <w:vAlign w:val="center"/>
            <w:hideMark/>
          </w:tcPr>
          <w:p w14:paraId="16F620E4" w14:textId="77777777" w:rsidR="00B07DD0" w:rsidRPr="007053D8" w:rsidRDefault="00B07DD0" w:rsidP="009527CE">
            <w:pPr>
              <w:spacing w:after="0" w:line="240" w:lineRule="auto"/>
              <w:ind w:left="0" w:firstLine="0"/>
              <w:jc w:val="center"/>
              <w:rPr>
                <w:sz w:val="22"/>
              </w:rPr>
            </w:pPr>
            <w:r w:rsidRPr="007053D8">
              <w:rPr>
                <w:sz w:val="22"/>
              </w:rPr>
              <w:t>-</w:t>
            </w:r>
          </w:p>
        </w:tc>
        <w:tc>
          <w:tcPr>
            <w:tcW w:w="686" w:type="dxa"/>
            <w:tcBorders>
              <w:top w:val="nil"/>
              <w:left w:val="nil"/>
              <w:bottom w:val="nil"/>
              <w:right w:val="nil"/>
            </w:tcBorders>
            <w:shd w:val="clear" w:color="000000" w:fill="D9D9D9"/>
            <w:noWrap/>
            <w:vAlign w:val="center"/>
            <w:hideMark/>
          </w:tcPr>
          <w:p w14:paraId="7B587B28" w14:textId="77777777" w:rsidR="00B07DD0" w:rsidRPr="007053D8" w:rsidRDefault="00B07DD0" w:rsidP="009527CE">
            <w:pPr>
              <w:spacing w:after="0" w:line="240" w:lineRule="auto"/>
              <w:ind w:left="0" w:firstLine="0"/>
              <w:jc w:val="center"/>
              <w:rPr>
                <w:sz w:val="22"/>
              </w:rPr>
            </w:pPr>
            <w:r w:rsidRPr="007053D8">
              <w:rPr>
                <w:sz w:val="22"/>
              </w:rPr>
              <w:t>1.17</w:t>
            </w:r>
          </w:p>
        </w:tc>
        <w:tc>
          <w:tcPr>
            <w:tcW w:w="889" w:type="dxa"/>
            <w:tcBorders>
              <w:top w:val="nil"/>
              <w:left w:val="nil"/>
              <w:bottom w:val="nil"/>
              <w:right w:val="nil"/>
            </w:tcBorders>
            <w:shd w:val="clear" w:color="000000" w:fill="D9D9D9"/>
            <w:noWrap/>
            <w:vAlign w:val="center"/>
            <w:hideMark/>
          </w:tcPr>
          <w:p w14:paraId="0C79A472" w14:textId="77777777" w:rsidR="00B07DD0" w:rsidRPr="007053D8" w:rsidRDefault="00B07DD0" w:rsidP="009527CE">
            <w:pPr>
              <w:spacing w:after="0" w:line="240" w:lineRule="auto"/>
              <w:ind w:left="0" w:firstLine="0"/>
              <w:jc w:val="center"/>
              <w:rPr>
                <w:sz w:val="22"/>
              </w:rPr>
            </w:pPr>
            <w:r w:rsidRPr="007053D8">
              <w:rPr>
                <w:sz w:val="22"/>
              </w:rPr>
              <w:t>0.83</w:t>
            </w:r>
          </w:p>
        </w:tc>
        <w:tc>
          <w:tcPr>
            <w:tcW w:w="918" w:type="dxa"/>
            <w:tcBorders>
              <w:top w:val="nil"/>
              <w:left w:val="nil"/>
              <w:bottom w:val="nil"/>
              <w:right w:val="nil"/>
            </w:tcBorders>
            <w:shd w:val="clear" w:color="000000" w:fill="D9D9D9"/>
            <w:noWrap/>
            <w:vAlign w:val="center"/>
            <w:hideMark/>
          </w:tcPr>
          <w:p w14:paraId="31A66715" w14:textId="77777777" w:rsidR="00B07DD0" w:rsidRPr="007053D8" w:rsidRDefault="00B07DD0" w:rsidP="009527CE">
            <w:pPr>
              <w:spacing w:after="0" w:line="240" w:lineRule="auto"/>
              <w:ind w:left="0" w:firstLine="0"/>
              <w:jc w:val="center"/>
              <w:rPr>
                <w:sz w:val="22"/>
              </w:rPr>
            </w:pPr>
            <w:r w:rsidRPr="007053D8">
              <w:rPr>
                <w:sz w:val="22"/>
              </w:rPr>
              <w:t>1.64</w:t>
            </w:r>
          </w:p>
        </w:tc>
      </w:tr>
      <w:tr w:rsidR="00B07DD0" w:rsidRPr="007053D8" w14:paraId="0C38DE8E" w14:textId="77777777" w:rsidTr="009527CE">
        <w:trPr>
          <w:trHeight w:val="360"/>
        </w:trPr>
        <w:tc>
          <w:tcPr>
            <w:tcW w:w="2352" w:type="dxa"/>
            <w:gridSpan w:val="2"/>
            <w:vMerge/>
            <w:tcBorders>
              <w:top w:val="nil"/>
              <w:left w:val="nil"/>
              <w:bottom w:val="single" w:sz="4" w:space="0" w:color="000000"/>
              <w:right w:val="nil"/>
            </w:tcBorders>
            <w:vAlign w:val="center"/>
            <w:hideMark/>
          </w:tcPr>
          <w:p w14:paraId="7B8C1104" w14:textId="77777777" w:rsidR="00B07DD0" w:rsidRPr="007053D8" w:rsidRDefault="00B07DD0" w:rsidP="009527CE">
            <w:pPr>
              <w:spacing w:after="0" w:line="240" w:lineRule="auto"/>
              <w:ind w:left="0" w:firstLine="0"/>
              <w:jc w:val="left"/>
              <w:rPr>
                <w:sz w:val="22"/>
              </w:rPr>
            </w:pPr>
          </w:p>
        </w:tc>
        <w:tc>
          <w:tcPr>
            <w:tcW w:w="2036" w:type="dxa"/>
            <w:vMerge/>
            <w:tcBorders>
              <w:top w:val="nil"/>
              <w:left w:val="nil"/>
              <w:bottom w:val="single" w:sz="4" w:space="0" w:color="000000"/>
              <w:right w:val="nil"/>
            </w:tcBorders>
            <w:vAlign w:val="center"/>
            <w:hideMark/>
          </w:tcPr>
          <w:p w14:paraId="4775C7A1" w14:textId="77777777" w:rsidR="00B07DD0" w:rsidRPr="007053D8" w:rsidRDefault="00B07DD0" w:rsidP="009527CE">
            <w:pPr>
              <w:spacing w:after="0" w:line="240" w:lineRule="auto"/>
              <w:ind w:left="0" w:firstLine="0"/>
              <w:jc w:val="left"/>
              <w:rPr>
                <w:sz w:val="22"/>
              </w:rPr>
            </w:pPr>
          </w:p>
        </w:tc>
        <w:tc>
          <w:tcPr>
            <w:tcW w:w="2226" w:type="dxa"/>
            <w:vMerge/>
            <w:tcBorders>
              <w:top w:val="nil"/>
              <w:left w:val="nil"/>
              <w:bottom w:val="single" w:sz="4" w:space="0" w:color="000000"/>
              <w:right w:val="nil"/>
            </w:tcBorders>
            <w:vAlign w:val="center"/>
            <w:hideMark/>
          </w:tcPr>
          <w:p w14:paraId="0C784B06" w14:textId="77777777" w:rsidR="00B07DD0" w:rsidRPr="007053D8" w:rsidRDefault="00B07DD0" w:rsidP="009527CE">
            <w:pPr>
              <w:spacing w:after="0" w:line="240" w:lineRule="auto"/>
              <w:ind w:left="0" w:firstLine="0"/>
              <w:jc w:val="left"/>
              <w:rPr>
                <w:sz w:val="22"/>
              </w:rPr>
            </w:pPr>
          </w:p>
        </w:tc>
        <w:tc>
          <w:tcPr>
            <w:tcW w:w="1552" w:type="dxa"/>
            <w:tcBorders>
              <w:top w:val="nil"/>
              <w:left w:val="nil"/>
              <w:bottom w:val="single" w:sz="4" w:space="0" w:color="auto"/>
              <w:right w:val="single" w:sz="4" w:space="0" w:color="auto"/>
            </w:tcBorders>
            <w:shd w:val="clear" w:color="auto" w:fill="auto"/>
            <w:noWrap/>
            <w:vAlign w:val="center"/>
            <w:hideMark/>
          </w:tcPr>
          <w:p w14:paraId="7DE2EF5B" w14:textId="77777777" w:rsidR="00B07DD0" w:rsidRPr="007053D8" w:rsidRDefault="00B07DD0" w:rsidP="009527CE">
            <w:pPr>
              <w:spacing w:after="0" w:line="240" w:lineRule="auto"/>
              <w:ind w:left="0" w:firstLine="0"/>
              <w:jc w:val="center"/>
              <w:rPr>
                <w:sz w:val="22"/>
              </w:rPr>
            </w:pPr>
            <w:r w:rsidRPr="007053D8">
              <w:rPr>
                <w:sz w:val="22"/>
              </w:rPr>
              <w:t>Not Included</w:t>
            </w:r>
          </w:p>
        </w:tc>
        <w:tc>
          <w:tcPr>
            <w:tcW w:w="1341" w:type="dxa"/>
            <w:vMerge/>
            <w:tcBorders>
              <w:top w:val="nil"/>
              <w:left w:val="nil"/>
              <w:bottom w:val="single" w:sz="4" w:space="0" w:color="000000"/>
              <w:right w:val="nil"/>
            </w:tcBorders>
            <w:vAlign w:val="center"/>
            <w:hideMark/>
          </w:tcPr>
          <w:p w14:paraId="06056F85" w14:textId="77777777" w:rsidR="00B07DD0" w:rsidRPr="007053D8" w:rsidRDefault="00B07DD0" w:rsidP="009527CE">
            <w:pPr>
              <w:spacing w:after="0" w:line="240" w:lineRule="auto"/>
              <w:ind w:left="0" w:firstLine="0"/>
              <w:jc w:val="left"/>
              <w:rPr>
                <w:sz w:val="22"/>
              </w:rPr>
            </w:pPr>
          </w:p>
        </w:tc>
        <w:tc>
          <w:tcPr>
            <w:tcW w:w="1411" w:type="dxa"/>
            <w:vMerge/>
            <w:tcBorders>
              <w:top w:val="nil"/>
              <w:left w:val="nil"/>
              <w:bottom w:val="single" w:sz="4" w:space="0" w:color="000000"/>
              <w:right w:val="nil"/>
            </w:tcBorders>
            <w:vAlign w:val="center"/>
            <w:hideMark/>
          </w:tcPr>
          <w:p w14:paraId="199405BB" w14:textId="77777777" w:rsidR="00B07DD0" w:rsidRPr="007053D8" w:rsidRDefault="00B07DD0" w:rsidP="009527CE">
            <w:pPr>
              <w:spacing w:after="0" w:line="240" w:lineRule="auto"/>
              <w:ind w:left="0" w:firstLine="0"/>
              <w:jc w:val="left"/>
              <w:rPr>
                <w:sz w:val="22"/>
              </w:rPr>
            </w:pPr>
          </w:p>
        </w:tc>
        <w:tc>
          <w:tcPr>
            <w:tcW w:w="1350" w:type="dxa"/>
            <w:vMerge/>
            <w:tcBorders>
              <w:top w:val="nil"/>
              <w:left w:val="nil"/>
              <w:bottom w:val="single" w:sz="4" w:space="0" w:color="000000"/>
              <w:right w:val="nil"/>
            </w:tcBorders>
            <w:vAlign w:val="center"/>
            <w:hideMark/>
          </w:tcPr>
          <w:p w14:paraId="5EAC8430" w14:textId="77777777" w:rsidR="00B07DD0" w:rsidRPr="007053D8" w:rsidRDefault="00B07DD0" w:rsidP="009527CE">
            <w:pPr>
              <w:spacing w:after="0" w:line="240" w:lineRule="auto"/>
              <w:ind w:left="0" w:firstLine="0"/>
              <w:jc w:val="left"/>
              <w:rPr>
                <w:sz w:val="22"/>
              </w:rPr>
            </w:pPr>
          </w:p>
        </w:tc>
        <w:tc>
          <w:tcPr>
            <w:tcW w:w="1524" w:type="dxa"/>
            <w:tcBorders>
              <w:top w:val="nil"/>
              <w:left w:val="nil"/>
              <w:bottom w:val="single" w:sz="4" w:space="0" w:color="auto"/>
              <w:right w:val="nil"/>
            </w:tcBorders>
            <w:shd w:val="clear" w:color="auto" w:fill="auto"/>
            <w:noWrap/>
            <w:vAlign w:val="center"/>
            <w:hideMark/>
          </w:tcPr>
          <w:p w14:paraId="1B581A8E" w14:textId="77777777" w:rsidR="00B07DD0" w:rsidRPr="007053D8" w:rsidRDefault="00B07DD0" w:rsidP="009527CE">
            <w:pPr>
              <w:spacing w:after="0" w:line="240" w:lineRule="auto"/>
              <w:ind w:left="0" w:firstLine="0"/>
              <w:jc w:val="center"/>
              <w:rPr>
                <w:sz w:val="22"/>
              </w:rPr>
            </w:pPr>
            <w:r w:rsidRPr="007053D8">
              <w:rPr>
                <w:sz w:val="22"/>
              </w:rPr>
              <w:t>0.98</w:t>
            </w:r>
          </w:p>
        </w:tc>
        <w:tc>
          <w:tcPr>
            <w:tcW w:w="1250" w:type="dxa"/>
            <w:tcBorders>
              <w:top w:val="nil"/>
              <w:left w:val="nil"/>
              <w:bottom w:val="single" w:sz="4" w:space="0" w:color="auto"/>
              <w:right w:val="nil"/>
            </w:tcBorders>
            <w:vAlign w:val="center"/>
          </w:tcPr>
          <w:p w14:paraId="1DFF6965" w14:textId="77777777" w:rsidR="00B07DD0" w:rsidRPr="007053D8" w:rsidRDefault="00B07DD0" w:rsidP="009527CE">
            <w:pPr>
              <w:spacing w:after="0" w:line="240" w:lineRule="auto"/>
              <w:ind w:left="0" w:firstLine="0"/>
              <w:jc w:val="center"/>
              <w:rPr>
                <w:sz w:val="22"/>
              </w:rPr>
            </w:pPr>
            <w:r w:rsidRPr="007053D8">
              <w:rPr>
                <w:sz w:val="22"/>
              </w:rPr>
              <w:t>0.32</w:t>
            </w:r>
          </w:p>
        </w:tc>
        <w:tc>
          <w:tcPr>
            <w:tcW w:w="2088" w:type="dxa"/>
            <w:tcBorders>
              <w:top w:val="nil"/>
              <w:left w:val="nil"/>
              <w:bottom w:val="single" w:sz="4" w:space="0" w:color="auto"/>
              <w:right w:val="single" w:sz="4" w:space="0" w:color="auto"/>
            </w:tcBorders>
            <w:shd w:val="clear" w:color="auto" w:fill="auto"/>
            <w:noWrap/>
            <w:vAlign w:val="center"/>
            <w:hideMark/>
          </w:tcPr>
          <w:p w14:paraId="6A7AF6D2" w14:textId="77777777" w:rsidR="00B07DD0" w:rsidRPr="007053D8" w:rsidRDefault="00B07DD0" w:rsidP="009527CE">
            <w:pPr>
              <w:spacing w:after="0" w:line="240" w:lineRule="auto"/>
              <w:ind w:left="0" w:firstLine="0"/>
              <w:jc w:val="center"/>
              <w:rPr>
                <w:sz w:val="22"/>
              </w:rPr>
            </w:pPr>
            <w:r>
              <w:rPr>
                <w:sz w:val="22"/>
              </w:rPr>
              <w:t>1.00</w:t>
            </w:r>
          </w:p>
        </w:tc>
        <w:tc>
          <w:tcPr>
            <w:tcW w:w="686" w:type="dxa"/>
            <w:tcBorders>
              <w:top w:val="nil"/>
              <w:left w:val="nil"/>
              <w:bottom w:val="single" w:sz="4" w:space="0" w:color="auto"/>
              <w:right w:val="nil"/>
            </w:tcBorders>
            <w:shd w:val="clear" w:color="auto" w:fill="auto"/>
            <w:noWrap/>
            <w:vAlign w:val="center"/>
            <w:hideMark/>
          </w:tcPr>
          <w:p w14:paraId="0A5BB9CC" w14:textId="77777777" w:rsidR="00B07DD0" w:rsidRPr="007053D8" w:rsidRDefault="00B07DD0" w:rsidP="009527CE">
            <w:pPr>
              <w:spacing w:after="0" w:line="240" w:lineRule="auto"/>
              <w:ind w:left="0" w:firstLine="0"/>
              <w:jc w:val="center"/>
              <w:rPr>
                <w:sz w:val="22"/>
              </w:rPr>
            </w:pPr>
            <w:r w:rsidRPr="007053D8">
              <w:rPr>
                <w:sz w:val="22"/>
              </w:rPr>
              <w:t>1.18</w:t>
            </w:r>
          </w:p>
        </w:tc>
        <w:tc>
          <w:tcPr>
            <w:tcW w:w="889" w:type="dxa"/>
            <w:tcBorders>
              <w:top w:val="nil"/>
              <w:left w:val="nil"/>
              <w:bottom w:val="single" w:sz="4" w:space="0" w:color="auto"/>
              <w:right w:val="nil"/>
            </w:tcBorders>
            <w:shd w:val="clear" w:color="auto" w:fill="auto"/>
            <w:noWrap/>
            <w:vAlign w:val="center"/>
            <w:hideMark/>
          </w:tcPr>
          <w:p w14:paraId="7BF382F9" w14:textId="77777777" w:rsidR="00B07DD0" w:rsidRPr="007053D8" w:rsidRDefault="00B07DD0" w:rsidP="009527CE">
            <w:pPr>
              <w:spacing w:after="0" w:line="240" w:lineRule="auto"/>
              <w:ind w:left="0" w:firstLine="0"/>
              <w:jc w:val="center"/>
              <w:rPr>
                <w:sz w:val="22"/>
              </w:rPr>
            </w:pPr>
            <w:r w:rsidRPr="007053D8">
              <w:rPr>
                <w:sz w:val="22"/>
              </w:rPr>
              <w:t>0.85</w:t>
            </w:r>
          </w:p>
        </w:tc>
        <w:tc>
          <w:tcPr>
            <w:tcW w:w="918" w:type="dxa"/>
            <w:tcBorders>
              <w:top w:val="nil"/>
              <w:left w:val="nil"/>
              <w:bottom w:val="single" w:sz="4" w:space="0" w:color="auto"/>
              <w:right w:val="nil"/>
            </w:tcBorders>
            <w:shd w:val="clear" w:color="auto" w:fill="auto"/>
            <w:noWrap/>
            <w:vAlign w:val="center"/>
            <w:hideMark/>
          </w:tcPr>
          <w:p w14:paraId="47F48FAE" w14:textId="77777777" w:rsidR="00B07DD0" w:rsidRPr="007053D8" w:rsidRDefault="00B07DD0" w:rsidP="009527CE">
            <w:pPr>
              <w:spacing w:after="0" w:line="240" w:lineRule="auto"/>
              <w:ind w:left="0" w:firstLine="0"/>
              <w:jc w:val="center"/>
              <w:rPr>
                <w:sz w:val="22"/>
              </w:rPr>
            </w:pPr>
            <w:r w:rsidRPr="007053D8">
              <w:rPr>
                <w:sz w:val="22"/>
              </w:rPr>
              <w:t>1.63</w:t>
            </w:r>
          </w:p>
        </w:tc>
      </w:tr>
      <w:tr w:rsidR="00B07DD0" w:rsidRPr="007053D8" w14:paraId="3B476FAA" w14:textId="77777777" w:rsidTr="009527CE">
        <w:trPr>
          <w:trHeight w:val="360"/>
        </w:trPr>
        <w:tc>
          <w:tcPr>
            <w:tcW w:w="2352" w:type="dxa"/>
            <w:gridSpan w:val="2"/>
            <w:vMerge w:val="restart"/>
            <w:tcBorders>
              <w:top w:val="nil"/>
              <w:left w:val="nil"/>
              <w:bottom w:val="single" w:sz="4" w:space="0" w:color="000000"/>
              <w:right w:val="nil"/>
            </w:tcBorders>
            <w:shd w:val="clear" w:color="auto" w:fill="auto"/>
            <w:noWrap/>
            <w:vAlign w:val="center"/>
            <w:hideMark/>
          </w:tcPr>
          <w:p w14:paraId="7CBEA6FA" w14:textId="77777777" w:rsidR="00B07DD0" w:rsidRPr="007053D8" w:rsidRDefault="00B07DD0" w:rsidP="009527CE">
            <w:pPr>
              <w:spacing w:after="0" w:line="240" w:lineRule="auto"/>
              <w:ind w:left="0" w:firstLine="0"/>
              <w:jc w:val="center"/>
              <w:rPr>
                <w:sz w:val="22"/>
              </w:rPr>
            </w:pPr>
            <w:r w:rsidRPr="007053D8">
              <w:rPr>
                <w:sz w:val="22"/>
              </w:rPr>
              <w:t xml:space="preserve">Distract. V. Reappraisal </w:t>
            </w:r>
          </w:p>
        </w:tc>
        <w:tc>
          <w:tcPr>
            <w:tcW w:w="2036" w:type="dxa"/>
            <w:vMerge w:val="restart"/>
            <w:tcBorders>
              <w:top w:val="nil"/>
              <w:left w:val="nil"/>
              <w:bottom w:val="single" w:sz="4" w:space="0" w:color="000000"/>
              <w:right w:val="nil"/>
            </w:tcBorders>
            <w:shd w:val="clear" w:color="auto" w:fill="auto"/>
            <w:noWrap/>
            <w:vAlign w:val="center"/>
            <w:hideMark/>
          </w:tcPr>
          <w:p w14:paraId="3918CA45" w14:textId="77777777" w:rsidR="00B07DD0" w:rsidRPr="007053D8" w:rsidRDefault="00B07DD0" w:rsidP="009527CE">
            <w:pPr>
              <w:spacing w:after="0" w:line="240" w:lineRule="auto"/>
              <w:ind w:left="0" w:firstLine="0"/>
              <w:jc w:val="center"/>
              <w:rPr>
                <w:sz w:val="22"/>
              </w:rPr>
            </w:pPr>
            <w:r w:rsidRPr="007053D8">
              <w:rPr>
                <w:sz w:val="22"/>
              </w:rPr>
              <w:t>Positive &amp; Negative</w:t>
            </w:r>
          </w:p>
        </w:tc>
        <w:tc>
          <w:tcPr>
            <w:tcW w:w="2226" w:type="dxa"/>
            <w:vMerge w:val="restart"/>
            <w:tcBorders>
              <w:top w:val="nil"/>
              <w:left w:val="nil"/>
              <w:bottom w:val="single" w:sz="4" w:space="0" w:color="000000"/>
              <w:right w:val="nil"/>
            </w:tcBorders>
            <w:shd w:val="clear" w:color="auto" w:fill="auto"/>
            <w:noWrap/>
            <w:vAlign w:val="center"/>
            <w:hideMark/>
          </w:tcPr>
          <w:p w14:paraId="07147FE1" w14:textId="77777777" w:rsidR="00B07DD0" w:rsidRPr="007053D8" w:rsidRDefault="00B07DD0" w:rsidP="009527CE">
            <w:pPr>
              <w:spacing w:after="0" w:line="240" w:lineRule="auto"/>
              <w:ind w:left="0" w:firstLine="0"/>
              <w:jc w:val="center"/>
              <w:rPr>
                <w:sz w:val="22"/>
              </w:rPr>
            </w:pPr>
            <w:r w:rsidRPr="007053D8">
              <w:rPr>
                <w:sz w:val="22"/>
              </w:rPr>
              <w:t xml:space="preserve">Immediate &amp; </w:t>
            </w:r>
            <w:proofErr w:type="gramStart"/>
            <w:r w:rsidRPr="007053D8">
              <w:rPr>
                <w:sz w:val="22"/>
              </w:rPr>
              <w:t>Delayed</w:t>
            </w:r>
            <w:proofErr w:type="gramEnd"/>
          </w:p>
        </w:tc>
        <w:tc>
          <w:tcPr>
            <w:tcW w:w="1552" w:type="dxa"/>
            <w:tcBorders>
              <w:top w:val="nil"/>
              <w:left w:val="nil"/>
              <w:bottom w:val="nil"/>
              <w:right w:val="single" w:sz="4" w:space="0" w:color="auto"/>
            </w:tcBorders>
            <w:shd w:val="clear" w:color="000000" w:fill="D9D9D9"/>
            <w:noWrap/>
            <w:vAlign w:val="center"/>
            <w:hideMark/>
          </w:tcPr>
          <w:p w14:paraId="387A80CD" w14:textId="77777777" w:rsidR="00B07DD0" w:rsidRPr="007053D8" w:rsidRDefault="00B07DD0" w:rsidP="009527CE">
            <w:pPr>
              <w:spacing w:after="0" w:line="240" w:lineRule="auto"/>
              <w:ind w:left="0" w:firstLine="0"/>
              <w:jc w:val="center"/>
              <w:rPr>
                <w:sz w:val="22"/>
              </w:rPr>
            </w:pPr>
            <w:r w:rsidRPr="007053D8">
              <w:rPr>
                <w:sz w:val="22"/>
              </w:rPr>
              <w:t>Included</w:t>
            </w:r>
          </w:p>
        </w:tc>
        <w:tc>
          <w:tcPr>
            <w:tcW w:w="1341" w:type="dxa"/>
            <w:vMerge w:val="restart"/>
            <w:tcBorders>
              <w:top w:val="nil"/>
              <w:left w:val="nil"/>
              <w:bottom w:val="single" w:sz="4" w:space="0" w:color="000000"/>
              <w:right w:val="nil"/>
            </w:tcBorders>
            <w:shd w:val="clear" w:color="auto" w:fill="auto"/>
            <w:noWrap/>
            <w:vAlign w:val="center"/>
            <w:hideMark/>
          </w:tcPr>
          <w:p w14:paraId="4EAC1CCD" w14:textId="77777777" w:rsidR="00B07DD0" w:rsidRPr="007053D8" w:rsidRDefault="00B07DD0" w:rsidP="009527CE">
            <w:pPr>
              <w:spacing w:after="0" w:line="240" w:lineRule="auto"/>
              <w:ind w:left="0" w:firstLine="0"/>
              <w:jc w:val="center"/>
              <w:rPr>
                <w:sz w:val="22"/>
              </w:rPr>
            </w:pPr>
            <w:r w:rsidRPr="007053D8">
              <w:rPr>
                <w:sz w:val="22"/>
              </w:rPr>
              <w:t>78</w:t>
            </w:r>
          </w:p>
        </w:tc>
        <w:tc>
          <w:tcPr>
            <w:tcW w:w="1411" w:type="dxa"/>
            <w:vMerge w:val="restart"/>
            <w:tcBorders>
              <w:top w:val="nil"/>
              <w:left w:val="nil"/>
              <w:bottom w:val="single" w:sz="4" w:space="0" w:color="000000"/>
              <w:right w:val="nil"/>
            </w:tcBorders>
            <w:shd w:val="clear" w:color="auto" w:fill="auto"/>
            <w:noWrap/>
            <w:vAlign w:val="center"/>
            <w:hideMark/>
          </w:tcPr>
          <w:p w14:paraId="3BD9C6A1" w14:textId="77777777" w:rsidR="00B07DD0" w:rsidRPr="007053D8" w:rsidRDefault="00B07DD0" w:rsidP="009527CE">
            <w:pPr>
              <w:spacing w:after="0" w:line="240" w:lineRule="auto"/>
              <w:ind w:left="0" w:firstLine="0"/>
              <w:jc w:val="center"/>
              <w:rPr>
                <w:sz w:val="22"/>
              </w:rPr>
            </w:pPr>
            <w:r w:rsidRPr="007053D8">
              <w:rPr>
                <w:sz w:val="22"/>
              </w:rPr>
              <w:t>328</w:t>
            </w:r>
          </w:p>
        </w:tc>
        <w:tc>
          <w:tcPr>
            <w:tcW w:w="1350" w:type="dxa"/>
            <w:vMerge w:val="restart"/>
            <w:tcBorders>
              <w:top w:val="nil"/>
              <w:left w:val="nil"/>
              <w:bottom w:val="single" w:sz="4" w:space="0" w:color="000000"/>
              <w:right w:val="nil"/>
            </w:tcBorders>
            <w:shd w:val="clear" w:color="auto" w:fill="auto"/>
            <w:noWrap/>
            <w:vAlign w:val="center"/>
            <w:hideMark/>
          </w:tcPr>
          <w:p w14:paraId="2CA5E661" w14:textId="77777777" w:rsidR="00B07DD0" w:rsidRPr="007053D8" w:rsidRDefault="00B07DD0" w:rsidP="009527CE">
            <w:pPr>
              <w:spacing w:after="0" w:line="240" w:lineRule="auto"/>
              <w:ind w:left="0" w:firstLine="0"/>
              <w:jc w:val="center"/>
              <w:rPr>
                <w:sz w:val="22"/>
              </w:rPr>
            </w:pPr>
            <w:r w:rsidRPr="007053D8">
              <w:rPr>
                <w:sz w:val="22"/>
              </w:rPr>
              <w:t>0.37</w:t>
            </w:r>
          </w:p>
        </w:tc>
        <w:tc>
          <w:tcPr>
            <w:tcW w:w="1524" w:type="dxa"/>
            <w:tcBorders>
              <w:top w:val="nil"/>
              <w:left w:val="nil"/>
              <w:bottom w:val="nil"/>
              <w:right w:val="nil"/>
            </w:tcBorders>
            <w:shd w:val="clear" w:color="000000" w:fill="D9D9D9"/>
            <w:noWrap/>
            <w:vAlign w:val="center"/>
            <w:hideMark/>
          </w:tcPr>
          <w:p w14:paraId="7383F38C" w14:textId="77777777" w:rsidR="00B07DD0" w:rsidRPr="007053D8" w:rsidRDefault="00B07DD0" w:rsidP="009527CE">
            <w:pPr>
              <w:spacing w:after="0" w:line="240" w:lineRule="auto"/>
              <w:ind w:left="0" w:firstLine="0"/>
              <w:jc w:val="center"/>
              <w:rPr>
                <w:sz w:val="22"/>
              </w:rPr>
            </w:pPr>
            <w:r w:rsidRPr="007053D8">
              <w:rPr>
                <w:sz w:val="22"/>
              </w:rPr>
              <w:t>-</w:t>
            </w:r>
          </w:p>
        </w:tc>
        <w:tc>
          <w:tcPr>
            <w:tcW w:w="1250" w:type="dxa"/>
            <w:tcBorders>
              <w:top w:val="nil"/>
              <w:left w:val="nil"/>
              <w:bottom w:val="nil"/>
              <w:right w:val="nil"/>
            </w:tcBorders>
            <w:shd w:val="clear" w:color="000000" w:fill="D9D9D9"/>
            <w:vAlign w:val="center"/>
          </w:tcPr>
          <w:p w14:paraId="282339AC" w14:textId="77777777" w:rsidR="00B07DD0" w:rsidRPr="007053D8" w:rsidRDefault="00B07DD0" w:rsidP="009527CE">
            <w:pPr>
              <w:spacing w:after="0" w:line="240" w:lineRule="auto"/>
              <w:ind w:left="0" w:firstLine="0"/>
              <w:jc w:val="center"/>
              <w:rPr>
                <w:sz w:val="22"/>
              </w:rPr>
            </w:pPr>
            <w:r w:rsidRPr="007053D8">
              <w:rPr>
                <w:sz w:val="22"/>
              </w:rPr>
              <w:t>-</w:t>
            </w:r>
          </w:p>
        </w:tc>
        <w:tc>
          <w:tcPr>
            <w:tcW w:w="2088" w:type="dxa"/>
            <w:tcBorders>
              <w:top w:val="nil"/>
              <w:left w:val="nil"/>
              <w:bottom w:val="nil"/>
              <w:right w:val="single" w:sz="4" w:space="0" w:color="auto"/>
            </w:tcBorders>
            <w:shd w:val="clear" w:color="000000" w:fill="D9D9D9"/>
            <w:noWrap/>
            <w:vAlign w:val="center"/>
            <w:hideMark/>
          </w:tcPr>
          <w:p w14:paraId="6A68400B" w14:textId="77777777" w:rsidR="00B07DD0" w:rsidRPr="007053D8" w:rsidRDefault="00B07DD0" w:rsidP="009527CE">
            <w:pPr>
              <w:spacing w:after="0" w:line="240" w:lineRule="auto"/>
              <w:ind w:left="0" w:firstLine="0"/>
              <w:jc w:val="center"/>
              <w:rPr>
                <w:sz w:val="22"/>
              </w:rPr>
            </w:pPr>
            <w:r w:rsidRPr="007053D8">
              <w:rPr>
                <w:sz w:val="22"/>
              </w:rPr>
              <w:t>-</w:t>
            </w:r>
          </w:p>
        </w:tc>
        <w:tc>
          <w:tcPr>
            <w:tcW w:w="686" w:type="dxa"/>
            <w:tcBorders>
              <w:top w:val="nil"/>
              <w:left w:val="nil"/>
              <w:bottom w:val="nil"/>
              <w:right w:val="nil"/>
            </w:tcBorders>
            <w:shd w:val="clear" w:color="000000" w:fill="D9D9D9"/>
            <w:noWrap/>
            <w:vAlign w:val="center"/>
            <w:hideMark/>
          </w:tcPr>
          <w:p w14:paraId="3C6DC78E" w14:textId="77777777" w:rsidR="00B07DD0" w:rsidRPr="007053D8" w:rsidRDefault="00B07DD0" w:rsidP="009527CE">
            <w:pPr>
              <w:spacing w:after="0" w:line="240" w:lineRule="auto"/>
              <w:ind w:left="0" w:firstLine="0"/>
              <w:jc w:val="center"/>
              <w:rPr>
                <w:sz w:val="22"/>
              </w:rPr>
            </w:pPr>
            <w:r w:rsidRPr="007053D8">
              <w:rPr>
                <w:sz w:val="22"/>
              </w:rPr>
              <w:t>1.45</w:t>
            </w:r>
          </w:p>
        </w:tc>
        <w:tc>
          <w:tcPr>
            <w:tcW w:w="889" w:type="dxa"/>
            <w:tcBorders>
              <w:top w:val="nil"/>
              <w:left w:val="nil"/>
              <w:bottom w:val="nil"/>
              <w:right w:val="nil"/>
            </w:tcBorders>
            <w:shd w:val="clear" w:color="000000" w:fill="D9D9D9"/>
            <w:noWrap/>
            <w:vAlign w:val="center"/>
            <w:hideMark/>
          </w:tcPr>
          <w:p w14:paraId="5A8D5918" w14:textId="77777777" w:rsidR="00B07DD0" w:rsidRPr="007053D8" w:rsidRDefault="00B07DD0" w:rsidP="009527CE">
            <w:pPr>
              <w:spacing w:after="0" w:line="240" w:lineRule="auto"/>
              <w:ind w:left="0" w:firstLine="0"/>
              <w:jc w:val="center"/>
              <w:rPr>
                <w:sz w:val="22"/>
              </w:rPr>
            </w:pPr>
            <w:r w:rsidRPr="007053D8">
              <w:rPr>
                <w:sz w:val="22"/>
              </w:rPr>
              <w:t>1.03</w:t>
            </w:r>
          </w:p>
        </w:tc>
        <w:tc>
          <w:tcPr>
            <w:tcW w:w="918" w:type="dxa"/>
            <w:tcBorders>
              <w:top w:val="nil"/>
              <w:left w:val="nil"/>
              <w:bottom w:val="nil"/>
              <w:right w:val="nil"/>
            </w:tcBorders>
            <w:shd w:val="clear" w:color="000000" w:fill="D9D9D9"/>
            <w:noWrap/>
            <w:vAlign w:val="center"/>
            <w:hideMark/>
          </w:tcPr>
          <w:p w14:paraId="7B9FC4A2" w14:textId="77777777" w:rsidR="00B07DD0" w:rsidRPr="007053D8" w:rsidRDefault="00B07DD0" w:rsidP="009527CE">
            <w:pPr>
              <w:spacing w:after="0" w:line="240" w:lineRule="auto"/>
              <w:ind w:left="0" w:firstLine="0"/>
              <w:jc w:val="center"/>
              <w:rPr>
                <w:sz w:val="22"/>
              </w:rPr>
            </w:pPr>
            <w:r w:rsidRPr="007053D8">
              <w:rPr>
                <w:sz w:val="22"/>
              </w:rPr>
              <w:t>2.05</w:t>
            </w:r>
          </w:p>
        </w:tc>
      </w:tr>
      <w:tr w:rsidR="00B07DD0" w:rsidRPr="007053D8" w14:paraId="76D9F48C" w14:textId="77777777" w:rsidTr="009527CE">
        <w:trPr>
          <w:trHeight w:val="360"/>
        </w:trPr>
        <w:tc>
          <w:tcPr>
            <w:tcW w:w="2352" w:type="dxa"/>
            <w:gridSpan w:val="2"/>
            <w:vMerge/>
            <w:tcBorders>
              <w:top w:val="nil"/>
              <w:left w:val="nil"/>
              <w:bottom w:val="single" w:sz="4" w:space="0" w:color="000000"/>
              <w:right w:val="nil"/>
            </w:tcBorders>
            <w:vAlign w:val="center"/>
            <w:hideMark/>
          </w:tcPr>
          <w:p w14:paraId="3E93AD7E" w14:textId="77777777" w:rsidR="00B07DD0" w:rsidRPr="007053D8" w:rsidRDefault="00B07DD0" w:rsidP="009527CE">
            <w:pPr>
              <w:spacing w:after="0" w:line="240" w:lineRule="auto"/>
              <w:ind w:left="0" w:firstLine="0"/>
              <w:jc w:val="left"/>
              <w:rPr>
                <w:sz w:val="22"/>
              </w:rPr>
            </w:pPr>
          </w:p>
        </w:tc>
        <w:tc>
          <w:tcPr>
            <w:tcW w:w="2036" w:type="dxa"/>
            <w:vMerge/>
            <w:tcBorders>
              <w:top w:val="nil"/>
              <w:left w:val="nil"/>
              <w:bottom w:val="single" w:sz="4" w:space="0" w:color="000000"/>
              <w:right w:val="nil"/>
            </w:tcBorders>
            <w:vAlign w:val="center"/>
            <w:hideMark/>
          </w:tcPr>
          <w:p w14:paraId="4273815B" w14:textId="77777777" w:rsidR="00B07DD0" w:rsidRPr="007053D8" w:rsidRDefault="00B07DD0" w:rsidP="009527CE">
            <w:pPr>
              <w:spacing w:after="0" w:line="240" w:lineRule="auto"/>
              <w:ind w:left="0" w:firstLine="0"/>
              <w:jc w:val="left"/>
              <w:rPr>
                <w:sz w:val="22"/>
              </w:rPr>
            </w:pPr>
          </w:p>
        </w:tc>
        <w:tc>
          <w:tcPr>
            <w:tcW w:w="2226" w:type="dxa"/>
            <w:vMerge/>
            <w:tcBorders>
              <w:top w:val="nil"/>
              <w:left w:val="nil"/>
              <w:bottom w:val="single" w:sz="4" w:space="0" w:color="000000"/>
              <w:right w:val="nil"/>
            </w:tcBorders>
            <w:vAlign w:val="center"/>
            <w:hideMark/>
          </w:tcPr>
          <w:p w14:paraId="64365DF1" w14:textId="77777777" w:rsidR="00B07DD0" w:rsidRPr="007053D8" w:rsidRDefault="00B07DD0" w:rsidP="009527CE">
            <w:pPr>
              <w:spacing w:after="0" w:line="240" w:lineRule="auto"/>
              <w:ind w:left="0" w:firstLine="0"/>
              <w:jc w:val="left"/>
              <w:rPr>
                <w:sz w:val="22"/>
              </w:rPr>
            </w:pPr>
          </w:p>
        </w:tc>
        <w:tc>
          <w:tcPr>
            <w:tcW w:w="1552" w:type="dxa"/>
            <w:tcBorders>
              <w:top w:val="nil"/>
              <w:left w:val="nil"/>
              <w:bottom w:val="single" w:sz="4" w:space="0" w:color="auto"/>
              <w:right w:val="single" w:sz="4" w:space="0" w:color="auto"/>
            </w:tcBorders>
            <w:shd w:val="clear" w:color="auto" w:fill="auto"/>
            <w:noWrap/>
            <w:vAlign w:val="center"/>
            <w:hideMark/>
          </w:tcPr>
          <w:p w14:paraId="14BED73F" w14:textId="77777777" w:rsidR="00B07DD0" w:rsidRPr="007053D8" w:rsidRDefault="00B07DD0" w:rsidP="009527CE">
            <w:pPr>
              <w:spacing w:after="0" w:line="240" w:lineRule="auto"/>
              <w:ind w:left="0" w:firstLine="0"/>
              <w:jc w:val="center"/>
              <w:rPr>
                <w:sz w:val="22"/>
              </w:rPr>
            </w:pPr>
            <w:r w:rsidRPr="007053D8">
              <w:rPr>
                <w:sz w:val="22"/>
              </w:rPr>
              <w:t>Not Included</w:t>
            </w:r>
          </w:p>
        </w:tc>
        <w:tc>
          <w:tcPr>
            <w:tcW w:w="1341" w:type="dxa"/>
            <w:vMerge/>
            <w:tcBorders>
              <w:top w:val="nil"/>
              <w:left w:val="nil"/>
              <w:bottom w:val="single" w:sz="4" w:space="0" w:color="000000"/>
              <w:right w:val="nil"/>
            </w:tcBorders>
            <w:vAlign w:val="center"/>
            <w:hideMark/>
          </w:tcPr>
          <w:p w14:paraId="7854468D" w14:textId="77777777" w:rsidR="00B07DD0" w:rsidRPr="007053D8" w:rsidRDefault="00B07DD0" w:rsidP="009527CE">
            <w:pPr>
              <w:spacing w:after="0" w:line="240" w:lineRule="auto"/>
              <w:ind w:left="0" w:firstLine="0"/>
              <w:jc w:val="left"/>
              <w:rPr>
                <w:sz w:val="22"/>
              </w:rPr>
            </w:pPr>
          </w:p>
        </w:tc>
        <w:tc>
          <w:tcPr>
            <w:tcW w:w="1411" w:type="dxa"/>
            <w:vMerge/>
            <w:tcBorders>
              <w:top w:val="nil"/>
              <w:left w:val="nil"/>
              <w:bottom w:val="single" w:sz="4" w:space="0" w:color="000000"/>
              <w:right w:val="nil"/>
            </w:tcBorders>
            <w:vAlign w:val="center"/>
            <w:hideMark/>
          </w:tcPr>
          <w:p w14:paraId="5423980A" w14:textId="77777777" w:rsidR="00B07DD0" w:rsidRPr="007053D8" w:rsidRDefault="00B07DD0" w:rsidP="009527CE">
            <w:pPr>
              <w:spacing w:after="0" w:line="240" w:lineRule="auto"/>
              <w:ind w:left="0" w:firstLine="0"/>
              <w:jc w:val="left"/>
              <w:rPr>
                <w:sz w:val="22"/>
              </w:rPr>
            </w:pPr>
          </w:p>
        </w:tc>
        <w:tc>
          <w:tcPr>
            <w:tcW w:w="1350" w:type="dxa"/>
            <w:vMerge/>
            <w:tcBorders>
              <w:top w:val="nil"/>
              <w:left w:val="nil"/>
              <w:bottom w:val="single" w:sz="4" w:space="0" w:color="000000"/>
              <w:right w:val="nil"/>
            </w:tcBorders>
            <w:vAlign w:val="center"/>
            <w:hideMark/>
          </w:tcPr>
          <w:p w14:paraId="748CAB8B" w14:textId="77777777" w:rsidR="00B07DD0" w:rsidRPr="007053D8" w:rsidRDefault="00B07DD0" w:rsidP="009527CE">
            <w:pPr>
              <w:spacing w:after="0" w:line="240" w:lineRule="auto"/>
              <w:ind w:left="0" w:firstLine="0"/>
              <w:jc w:val="left"/>
              <w:rPr>
                <w:sz w:val="22"/>
              </w:rPr>
            </w:pPr>
          </w:p>
        </w:tc>
        <w:tc>
          <w:tcPr>
            <w:tcW w:w="1524" w:type="dxa"/>
            <w:tcBorders>
              <w:top w:val="nil"/>
              <w:left w:val="nil"/>
              <w:bottom w:val="single" w:sz="4" w:space="0" w:color="auto"/>
              <w:right w:val="nil"/>
            </w:tcBorders>
            <w:shd w:val="clear" w:color="auto" w:fill="auto"/>
            <w:noWrap/>
            <w:vAlign w:val="center"/>
            <w:hideMark/>
          </w:tcPr>
          <w:p w14:paraId="539DF39F" w14:textId="77777777" w:rsidR="00B07DD0" w:rsidRPr="007053D8" w:rsidRDefault="00B07DD0" w:rsidP="009527CE">
            <w:pPr>
              <w:spacing w:after="0" w:line="240" w:lineRule="auto"/>
              <w:ind w:left="0" w:firstLine="0"/>
              <w:jc w:val="center"/>
              <w:rPr>
                <w:sz w:val="22"/>
              </w:rPr>
            </w:pPr>
            <w:r w:rsidRPr="007053D8">
              <w:rPr>
                <w:sz w:val="22"/>
              </w:rPr>
              <w:t>4.45</w:t>
            </w:r>
          </w:p>
        </w:tc>
        <w:tc>
          <w:tcPr>
            <w:tcW w:w="1250" w:type="dxa"/>
            <w:tcBorders>
              <w:top w:val="nil"/>
              <w:left w:val="nil"/>
              <w:bottom w:val="single" w:sz="4" w:space="0" w:color="auto"/>
              <w:right w:val="nil"/>
            </w:tcBorders>
            <w:vAlign w:val="center"/>
          </w:tcPr>
          <w:p w14:paraId="6D980BFA" w14:textId="77777777" w:rsidR="00B07DD0" w:rsidRPr="007053D8" w:rsidRDefault="00B07DD0" w:rsidP="009527CE">
            <w:pPr>
              <w:spacing w:after="0" w:line="240" w:lineRule="auto"/>
              <w:ind w:left="0" w:firstLine="0"/>
              <w:jc w:val="center"/>
              <w:rPr>
                <w:sz w:val="22"/>
              </w:rPr>
            </w:pPr>
            <w:r w:rsidRPr="007053D8">
              <w:rPr>
                <w:sz w:val="22"/>
              </w:rPr>
              <w:t>0.04 *</w:t>
            </w:r>
          </w:p>
        </w:tc>
        <w:tc>
          <w:tcPr>
            <w:tcW w:w="2088" w:type="dxa"/>
            <w:tcBorders>
              <w:top w:val="nil"/>
              <w:left w:val="nil"/>
              <w:bottom w:val="single" w:sz="4" w:space="0" w:color="auto"/>
              <w:right w:val="single" w:sz="4" w:space="0" w:color="auto"/>
            </w:tcBorders>
            <w:shd w:val="clear" w:color="auto" w:fill="auto"/>
            <w:noWrap/>
            <w:vAlign w:val="center"/>
            <w:hideMark/>
          </w:tcPr>
          <w:p w14:paraId="7D106144" w14:textId="77777777" w:rsidR="00B07DD0" w:rsidRPr="007053D8" w:rsidRDefault="00B07DD0" w:rsidP="009527CE">
            <w:pPr>
              <w:spacing w:after="0" w:line="240" w:lineRule="auto"/>
              <w:ind w:left="0" w:firstLine="0"/>
              <w:jc w:val="center"/>
              <w:rPr>
                <w:sz w:val="22"/>
              </w:rPr>
            </w:pPr>
            <w:r w:rsidRPr="007053D8">
              <w:rPr>
                <w:sz w:val="22"/>
              </w:rPr>
              <w:t>0.</w:t>
            </w:r>
            <w:r>
              <w:rPr>
                <w:sz w:val="22"/>
              </w:rPr>
              <w:t>32</w:t>
            </w:r>
          </w:p>
        </w:tc>
        <w:tc>
          <w:tcPr>
            <w:tcW w:w="686" w:type="dxa"/>
            <w:tcBorders>
              <w:top w:val="nil"/>
              <w:left w:val="nil"/>
              <w:bottom w:val="single" w:sz="4" w:space="0" w:color="auto"/>
              <w:right w:val="nil"/>
            </w:tcBorders>
            <w:shd w:val="clear" w:color="auto" w:fill="auto"/>
            <w:noWrap/>
            <w:vAlign w:val="center"/>
            <w:hideMark/>
          </w:tcPr>
          <w:p w14:paraId="787059D2" w14:textId="77777777" w:rsidR="00B07DD0" w:rsidRPr="007053D8" w:rsidRDefault="00B07DD0" w:rsidP="009527CE">
            <w:pPr>
              <w:spacing w:after="0" w:line="240" w:lineRule="auto"/>
              <w:ind w:left="0" w:firstLine="0"/>
              <w:jc w:val="center"/>
              <w:rPr>
                <w:sz w:val="22"/>
              </w:rPr>
            </w:pPr>
            <w:r w:rsidRPr="007053D8">
              <w:rPr>
                <w:sz w:val="22"/>
              </w:rPr>
              <w:t>1.42</w:t>
            </w:r>
          </w:p>
        </w:tc>
        <w:tc>
          <w:tcPr>
            <w:tcW w:w="889" w:type="dxa"/>
            <w:tcBorders>
              <w:top w:val="nil"/>
              <w:left w:val="nil"/>
              <w:bottom w:val="single" w:sz="4" w:space="0" w:color="auto"/>
              <w:right w:val="nil"/>
            </w:tcBorders>
            <w:shd w:val="clear" w:color="auto" w:fill="auto"/>
            <w:noWrap/>
            <w:vAlign w:val="center"/>
            <w:hideMark/>
          </w:tcPr>
          <w:p w14:paraId="0932D1B1" w14:textId="77777777" w:rsidR="00B07DD0" w:rsidRPr="007053D8" w:rsidRDefault="00B07DD0" w:rsidP="009527CE">
            <w:pPr>
              <w:spacing w:after="0" w:line="240" w:lineRule="auto"/>
              <w:ind w:left="0" w:firstLine="0"/>
              <w:jc w:val="center"/>
              <w:rPr>
                <w:sz w:val="22"/>
              </w:rPr>
            </w:pPr>
            <w:r w:rsidRPr="007053D8">
              <w:rPr>
                <w:sz w:val="22"/>
              </w:rPr>
              <w:t>1.03</w:t>
            </w:r>
          </w:p>
        </w:tc>
        <w:tc>
          <w:tcPr>
            <w:tcW w:w="918" w:type="dxa"/>
            <w:tcBorders>
              <w:top w:val="nil"/>
              <w:left w:val="nil"/>
              <w:bottom w:val="single" w:sz="4" w:space="0" w:color="auto"/>
              <w:right w:val="nil"/>
            </w:tcBorders>
            <w:shd w:val="clear" w:color="auto" w:fill="auto"/>
            <w:noWrap/>
            <w:vAlign w:val="center"/>
            <w:hideMark/>
          </w:tcPr>
          <w:p w14:paraId="7DA32546" w14:textId="77777777" w:rsidR="00B07DD0" w:rsidRPr="007053D8" w:rsidRDefault="00B07DD0" w:rsidP="009527CE">
            <w:pPr>
              <w:spacing w:after="0" w:line="240" w:lineRule="auto"/>
              <w:ind w:left="0" w:firstLine="0"/>
              <w:jc w:val="center"/>
              <w:rPr>
                <w:sz w:val="22"/>
              </w:rPr>
            </w:pPr>
            <w:r w:rsidRPr="007053D8">
              <w:rPr>
                <w:sz w:val="22"/>
              </w:rPr>
              <w:t>1.98</w:t>
            </w:r>
          </w:p>
        </w:tc>
      </w:tr>
      <w:tr w:rsidR="00B07DD0" w:rsidRPr="007053D8" w14:paraId="4A47957F" w14:textId="77777777" w:rsidTr="009527CE">
        <w:trPr>
          <w:trHeight w:val="360"/>
        </w:trPr>
        <w:tc>
          <w:tcPr>
            <w:tcW w:w="2352" w:type="dxa"/>
            <w:gridSpan w:val="2"/>
            <w:vMerge w:val="restart"/>
            <w:tcBorders>
              <w:top w:val="nil"/>
              <w:left w:val="nil"/>
              <w:bottom w:val="single" w:sz="4" w:space="0" w:color="000000"/>
              <w:right w:val="nil"/>
            </w:tcBorders>
            <w:shd w:val="clear" w:color="auto" w:fill="auto"/>
            <w:noWrap/>
            <w:vAlign w:val="center"/>
            <w:hideMark/>
          </w:tcPr>
          <w:p w14:paraId="2287A475" w14:textId="77777777" w:rsidR="00B07DD0" w:rsidRPr="007053D8" w:rsidRDefault="00B07DD0" w:rsidP="009527CE">
            <w:pPr>
              <w:spacing w:after="0" w:line="240" w:lineRule="auto"/>
              <w:ind w:left="0" w:firstLine="0"/>
              <w:jc w:val="center"/>
              <w:rPr>
                <w:sz w:val="22"/>
              </w:rPr>
            </w:pPr>
            <w:r w:rsidRPr="007053D8">
              <w:rPr>
                <w:sz w:val="22"/>
              </w:rPr>
              <w:t xml:space="preserve">Distract. V. Reappraisal </w:t>
            </w:r>
          </w:p>
        </w:tc>
        <w:tc>
          <w:tcPr>
            <w:tcW w:w="2036" w:type="dxa"/>
            <w:vMerge w:val="restart"/>
            <w:tcBorders>
              <w:top w:val="nil"/>
              <w:left w:val="nil"/>
              <w:bottom w:val="single" w:sz="4" w:space="0" w:color="000000"/>
              <w:right w:val="nil"/>
            </w:tcBorders>
            <w:shd w:val="clear" w:color="auto" w:fill="auto"/>
            <w:noWrap/>
            <w:vAlign w:val="center"/>
            <w:hideMark/>
          </w:tcPr>
          <w:p w14:paraId="48BCF13F" w14:textId="77777777" w:rsidR="00B07DD0" w:rsidRPr="007053D8" w:rsidRDefault="00B07DD0" w:rsidP="009527CE">
            <w:pPr>
              <w:spacing w:after="0" w:line="240" w:lineRule="auto"/>
              <w:ind w:left="0" w:firstLine="0"/>
              <w:jc w:val="center"/>
              <w:rPr>
                <w:sz w:val="22"/>
              </w:rPr>
            </w:pPr>
            <w:r w:rsidRPr="007053D8">
              <w:rPr>
                <w:sz w:val="22"/>
              </w:rPr>
              <w:t>Negative</w:t>
            </w:r>
          </w:p>
        </w:tc>
        <w:tc>
          <w:tcPr>
            <w:tcW w:w="2226" w:type="dxa"/>
            <w:vMerge w:val="restart"/>
            <w:tcBorders>
              <w:top w:val="nil"/>
              <w:left w:val="nil"/>
              <w:bottom w:val="single" w:sz="4" w:space="0" w:color="000000"/>
              <w:right w:val="nil"/>
            </w:tcBorders>
            <w:shd w:val="clear" w:color="auto" w:fill="auto"/>
            <w:noWrap/>
            <w:vAlign w:val="center"/>
            <w:hideMark/>
          </w:tcPr>
          <w:p w14:paraId="137FE870" w14:textId="77777777" w:rsidR="00B07DD0" w:rsidRPr="007053D8" w:rsidRDefault="00B07DD0" w:rsidP="009527CE">
            <w:pPr>
              <w:spacing w:after="0" w:line="240" w:lineRule="auto"/>
              <w:ind w:left="0" w:firstLine="0"/>
              <w:jc w:val="center"/>
              <w:rPr>
                <w:sz w:val="22"/>
              </w:rPr>
            </w:pPr>
            <w:r w:rsidRPr="007053D8">
              <w:rPr>
                <w:sz w:val="22"/>
              </w:rPr>
              <w:t xml:space="preserve">Immediate &amp; </w:t>
            </w:r>
            <w:proofErr w:type="gramStart"/>
            <w:r w:rsidRPr="007053D8">
              <w:rPr>
                <w:sz w:val="22"/>
              </w:rPr>
              <w:t>Delayed</w:t>
            </w:r>
            <w:proofErr w:type="gramEnd"/>
          </w:p>
        </w:tc>
        <w:tc>
          <w:tcPr>
            <w:tcW w:w="1552" w:type="dxa"/>
            <w:tcBorders>
              <w:top w:val="nil"/>
              <w:left w:val="nil"/>
              <w:bottom w:val="nil"/>
              <w:right w:val="single" w:sz="4" w:space="0" w:color="auto"/>
            </w:tcBorders>
            <w:shd w:val="clear" w:color="000000" w:fill="D9D9D9"/>
            <w:noWrap/>
            <w:vAlign w:val="center"/>
            <w:hideMark/>
          </w:tcPr>
          <w:p w14:paraId="2D04CF67" w14:textId="77777777" w:rsidR="00B07DD0" w:rsidRPr="007053D8" w:rsidRDefault="00B07DD0" w:rsidP="009527CE">
            <w:pPr>
              <w:spacing w:after="0" w:line="240" w:lineRule="auto"/>
              <w:ind w:left="0" w:firstLine="0"/>
              <w:jc w:val="center"/>
              <w:rPr>
                <w:sz w:val="22"/>
              </w:rPr>
            </w:pPr>
            <w:r w:rsidRPr="007053D8">
              <w:rPr>
                <w:sz w:val="22"/>
              </w:rPr>
              <w:t>Included</w:t>
            </w:r>
          </w:p>
        </w:tc>
        <w:tc>
          <w:tcPr>
            <w:tcW w:w="1341" w:type="dxa"/>
            <w:vMerge w:val="restart"/>
            <w:tcBorders>
              <w:top w:val="nil"/>
              <w:left w:val="nil"/>
              <w:bottom w:val="single" w:sz="4" w:space="0" w:color="000000"/>
              <w:right w:val="nil"/>
            </w:tcBorders>
            <w:shd w:val="clear" w:color="auto" w:fill="auto"/>
            <w:noWrap/>
            <w:vAlign w:val="center"/>
            <w:hideMark/>
          </w:tcPr>
          <w:p w14:paraId="2C957D88" w14:textId="77777777" w:rsidR="00B07DD0" w:rsidRPr="007053D8" w:rsidRDefault="00B07DD0" w:rsidP="009527CE">
            <w:pPr>
              <w:spacing w:after="0" w:line="240" w:lineRule="auto"/>
              <w:ind w:left="0" w:firstLine="0"/>
              <w:jc w:val="center"/>
              <w:rPr>
                <w:sz w:val="22"/>
              </w:rPr>
            </w:pPr>
            <w:r w:rsidRPr="007053D8">
              <w:rPr>
                <w:sz w:val="22"/>
              </w:rPr>
              <w:t>77</w:t>
            </w:r>
          </w:p>
        </w:tc>
        <w:tc>
          <w:tcPr>
            <w:tcW w:w="1411" w:type="dxa"/>
            <w:vMerge w:val="restart"/>
            <w:tcBorders>
              <w:top w:val="nil"/>
              <w:left w:val="nil"/>
              <w:bottom w:val="single" w:sz="4" w:space="0" w:color="000000"/>
              <w:right w:val="nil"/>
            </w:tcBorders>
            <w:shd w:val="clear" w:color="auto" w:fill="auto"/>
            <w:noWrap/>
            <w:vAlign w:val="center"/>
            <w:hideMark/>
          </w:tcPr>
          <w:p w14:paraId="7DFD9F72" w14:textId="77777777" w:rsidR="00B07DD0" w:rsidRPr="007053D8" w:rsidRDefault="00B07DD0" w:rsidP="009527CE">
            <w:pPr>
              <w:spacing w:after="0" w:line="240" w:lineRule="auto"/>
              <w:ind w:left="0" w:firstLine="0"/>
              <w:jc w:val="center"/>
              <w:rPr>
                <w:sz w:val="22"/>
              </w:rPr>
            </w:pPr>
            <w:r w:rsidRPr="007053D8">
              <w:rPr>
                <w:sz w:val="22"/>
              </w:rPr>
              <w:t>298</w:t>
            </w:r>
          </w:p>
        </w:tc>
        <w:tc>
          <w:tcPr>
            <w:tcW w:w="1350" w:type="dxa"/>
            <w:vMerge w:val="restart"/>
            <w:tcBorders>
              <w:top w:val="nil"/>
              <w:left w:val="nil"/>
              <w:bottom w:val="single" w:sz="4" w:space="0" w:color="000000"/>
              <w:right w:val="nil"/>
            </w:tcBorders>
            <w:shd w:val="clear" w:color="auto" w:fill="auto"/>
            <w:noWrap/>
            <w:vAlign w:val="center"/>
            <w:hideMark/>
          </w:tcPr>
          <w:p w14:paraId="05DADED7" w14:textId="77777777" w:rsidR="00B07DD0" w:rsidRPr="007053D8" w:rsidRDefault="00B07DD0" w:rsidP="009527CE">
            <w:pPr>
              <w:spacing w:after="0" w:line="240" w:lineRule="auto"/>
              <w:ind w:left="0" w:firstLine="0"/>
              <w:jc w:val="center"/>
              <w:rPr>
                <w:sz w:val="22"/>
              </w:rPr>
            </w:pPr>
            <w:r w:rsidRPr="007053D8">
              <w:rPr>
                <w:sz w:val="22"/>
              </w:rPr>
              <w:t>0.40</w:t>
            </w:r>
          </w:p>
        </w:tc>
        <w:tc>
          <w:tcPr>
            <w:tcW w:w="1524" w:type="dxa"/>
            <w:tcBorders>
              <w:top w:val="nil"/>
              <w:left w:val="nil"/>
              <w:bottom w:val="nil"/>
              <w:right w:val="nil"/>
            </w:tcBorders>
            <w:shd w:val="clear" w:color="000000" w:fill="D9D9D9"/>
            <w:noWrap/>
            <w:vAlign w:val="center"/>
            <w:hideMark/>
          </w:tcPr>
          <w:p w14:paraId="38A38C7D" w14:textId="77777777" w:rsidR="00B07DD0" w:rsidRPr="007053D8" w:rsidRDefault="00B07DD0" w:rsidP="009527CE">
            <w:pPr>
              <w:spacing w:after="0" w:line="240" w:lineRule="auto"/>
              <w:ind w:left="0" w:firstLine="0"/>
              <w:jc w:val="center"/>
              <w:rPr>
                <w:sz w:val="22"/>
              </w:rPr>
            </w:pPr>
            <w:r w:rsidRPr="007053D8">
              <w:rPr>
                <w:sz w:val="22"/>
              </w:rPr>
              <w:t>-</w:t>
            </w:r>
          </w:p>
        </w:tc>
        <w:tc>
          <w:tcPr>
            <w:tcW w:w="1250" w:type="dxa"/>
            <w:tcBorders>
              <w:top w:val="nil"/>
              <w:left w:val="nil"/>
              <w:bottom w:val="nil"/>
              <w:right w:val="nil"/>
            </w:tcBorders>
            <w:shd w:val="clear" w:color="000000" w:fill="D9D9D9"/>
            <w:vAlign w:val="center"/>
          </w:tcPr>
          <w:p w14:paraId="75515B98" w14:textId="77777777" w:rsidR="00B07DD0" w:rsidRPr="007053D8" w:rsidRDefault="00B07DD0" w:rsidP="009527CE">
            <w:pPr>
              <w:spacing w:after="0" w:line="240" w:lineRule="auto"/>
              <w:ind w:left="0" w:firstLine="0"/>
              <w:jc w:val="center"/>
              <w:rPr>
                <w:sz w:val="22"/>
              </w:rPr>
            </w:pPr>
            <w:r w:rsidRPr="007053D8">
              <w:rPr>
                <w:sz w:val="22"/>
              </w:rPr>
              <w:t>-</w:t>
            </w:r>
          </w:p>
        </w:tc>
        <w:tc>
          <w:tcPr>
            <w:tcW w:w="2088" w:type="dxa"/>
            <w:tcBorders>
              <w:top w:val="nil"/>
              <w:left w:val="nil"/>
              <w:bottom w:val="nil"/>
              <w:right w:val="single" w:sz="4" w:space="0" w:color="auto"/>
            </w:tcBorders>
            <w:shd w:val="clear" w:color="000000" w:fill="D9D9D9"/>
            <w:noWrap/>
            <w:vAlign w:val="center"/>
            <w:hideMark/>
          </w:tcPr>
          <w:p w14:paraId="4D33BB4C" w14:textId="77777777" w:rsidR="00B07DD0" w:rsidRPr="007053D8" w:rsidRDefault="00B07DD0" w:rsidP="009527CE">
            <w:pPr>
              <w:spacing w:after="0" w:line="240" w:lineRule="auto"/>
              <w:ind w:left="0" w:firstLine="0"/>
              <w:jc w:val="center"/>
              <w:rPr>
                <w:sz w:val="22"/>
              </w:rPr>
            </w:pPr>
            <w:r w:rsidRPr="007053D8">
              <w:rPr>
                <w:sz w:val="22"/>
              </w:rPr>
              <w:t>-</w:t>
            </w:r>
          </w:p>
        </w:tc>
        <w:tc>
          <w:tcPr>
            <w:tcW w:w="686" w:type="dxa"/>
            <w:tcBorders>
              <w:top w:val="nil"/>
              <w:left w:val="nil"/>
              <w:bottom w:val="nil"/>
              <w:right w:val="nil"/>
            </w:tcBorders>
            <w:shd w:val="clear" w:color="000000" w:fill="D9D9D9"/>
            <w:noWrap/>
            <w:vAlign w:val="center"/>
            <w:hideMark/>
          </w:tcPr>
          <w:p w14:paraId="54A52DCC" w14:textId="77777777" w:rsidR="00B07DD0" w:rsidRPr="007053D8" w:rsidRDefault="00B07DD0" w:rsidP="009527CE">
            <w:pPr>
              <w:spacing w:after="0" w:line="240" w:lineRule="auto"/>
              <w:ind w:left="0" w:firstLine="0"/>
              <w:jc w:val="center"/>
              <w:rPr>
                <w:sz w:val="22"/>
              </w:rPr>
            </w:pPr>
            <w:r w:rsidRPr="007053D8">
              <w:rPr>
                <w:sz w:val="22"/>
              </w:rPr>
              <w:t>1.38</w:t>
            </w:r>
          </w:p>
        </w:tc>
        <w:tc>
          <w:tcPr>
            <w:tcW w:w="889" w:type="dxa"/>
            <w:tcBorders>
              <w:top w:val="nil"/>
              <w:left w:val="nil"/>
              <w:bottom w:val="nil"/>
              <w:right w:val="nil"/>
            </w:tcBorders>
            <w:shd w:val="clear" w:color="000000" w:fill="D9D9D9"/>
            <w:noWrap/>
            <w:vAlign w:val="center"/>
            <w:hideMark/>
          </w:tcPr>
          <w:p w14:paraId="5FDAC71F" w14:textId="77777777" w:rsidR="00B07DD0" w:rsidRPr="007053D8" w:rsidRDefault="00B07DD0" w:rsidP="009527CE">
            <w:pPr>
              <w:spacing w:after="0" w:line="240" w:lineRule="auto"/>
              <w:ind w:left="0" w:firstLine="0"/>
              <w:jc w:val="center"/>
              <w:rPr>
                <w:sz w:val="22"/>
              </w:rPr>
            </w:pPr>
            <w:r w:rsidRPr="007053D8">
              <w:rPr>
                <w:sz w:val="22"/>
              </w:rPr>
              <w:t>0.95</w:t>
            </w:r>
          </w:p>
        </w:tc>
        <w:tc>
          <w:tcPr>
            <w:tcW w:w="918" w:type="dxa"/>
            <w:tcBorders>
              <w:top w:val="nil"/>
              <w:left w:val="nil"/>
              <w:bottom w:val="nil"/>
              <w:right w:val="nil"/>
            </w:tcBorders>
            <w:shd w:val="clear" w:color="000000" w:fill="D9D9D9"/>
            <w:noWrap/>
            <w:vAlign w:val="center"/>
            <w:hideMark/>
          </w:tcPr>
          <w:p w14:paraId="6715CC32" w14:textId="77777777" w:rsidR="00B07DD0" w:rsidRPr="007053D8" w:rsidRDefault="00B07DD0" w:rsidP="009527CE">
            <w:pPr>
              <w:spacing w:after="0" w:line="240" w:lineRule="auto"/>
              <w:ind w:left="0" w:firstLine="0"/>
              <w:jc w:val="center"/>
              <w:rPr>
                <w:sz w:val="22"/>
              </w:rPr>
            </w:pPr>
            <w:r w:rsidRPr="007053D8">
              <w:rPr>
                <w:sz w:val="22"/>
              </w:rPr>
              <w:t>1.99</w:t>
            </w:r>
          </w:p>
        </w:tc>
      </w:tr>
      <w:tr w:rsidR="00B07DD0" w:rsidRPr="007053D8" w14:paraId="32948B32" w14:textId="77777777" w:rsidTr="009527CE">
        <w:trPr>
          <w:trHeight w:val="360"/>
        </w:trPr>
        <w:tc>
          <w:tcPr>
            <w:tcW w:w="2352" w:type="dxa"/>
            <w:gridSpan w:val="2"/>
            <w:vMerge/>
            <w:tcBorders>
              <w:top w:val="nil"/>
              <w:left w:val="nil"/>
              <w:bottom w:val="single" w:sz="4" w:space="0" w:color="000000"/>
              <w:right w:val="nil"/>
            </w:tcBorders>
            <w:vAlign w:val="center"/>
            <w:hideMark/>
          </w:tcPr>
          <w:p w14:paraId="373F023A" w14:textId="77777777" w:rsidR="00B07DD0" w:rsidRPr="007053D8" w:rsidRDefault="00B07DD0" w:rsidP="009527CE">
            <w:pPr>
              <w:spacing w:after="0" w:line="240" w:lineRule="auto"/>
              <w:ind w:left="0" w:firstLine="0"/>
              <w:jc w:val="left"/>
              <w:rPr>
                <w:sz w:val="22"/>
              </w:rPr>
            </w:pPr>
          </w:p>
        </w:tc>
        <w:tc>
          <w:tcPr>
            <w:tcW w:w="2036" w:type="dxa"/>
            <w:vMerge/>
            <w:tcBorders>
              <w:top w:val="nil"/>
              <w:left w:val="nil"/>
              <w:bottom w:val="single" w:sz="4" w:space="0" w:color="000000"/>
              <w:right w:val="nil"/>
            </w:tcBorders>
            <w:vAlign w:val="center"/>
            <w:hideMark/>
          </w:tcPr>
          <w:p w14:paraId="074543CA" w14:textId="77777777" w:rsidR="00B07DD0" w:rsidRPr="007053D8" w:rsidRDefault="00B07DD0" w:rsidP="009527CE">
            <w:pPr>
              <w:spacing w:after="0" w:line="240" w:lineRule="auto"/>
              <w:ind w:left="0" w:firstLine="0"/>
              <w:jc w:val="left"/>
              <w:rPr>
                <w:sz w:val="22"/>
              </w:rPr>
            </w:pPr>
          </w:p>
        </w:tc>
        <w:tc>
          <w:tcPr>
            <w:tcW w:w="2226" w:type="dxa"/>
            <w:vMerge/>
            <w:tcBorders>
              <w:top w:val="nil"/>
              <w:left w:val="nil"/>
              <w:bottom w:val="single" w:sz="4" w:space="0" w:color="000000"/>
              <w:right w:val="nil"/>
            </w:tcBorders>
            <w:vAlign w:val="center"/>
            <w:hideMark/>
          </w:tcPr>
          <w:p w14:paraId="07465243" w14:textId="77777777" w:rsidR="00B07DD0" w:rsidRPr="007053D8" w:rsidRDefault="00B07DD0" w:rsidP="009527CE">
            <w:pPr>
              <w:spacing w:after="0" w:line="240" w:lineRule="auto"/>
              <w:ind w:left="0" w:firstLine="0"/>
              <w:jc w:val="left"/>
              <w:rPr>
                <w:sz w:val="22"/>
              </w:rPr>
            </w:pPr>
          </w:p>
        </w:tc>
        <w:tc>
          <w:tcPr>
            <w:tcW w:w="1552" w:type="dxa"/>
            <w:tcBorders>
              <w:top w:val="nil"/>
              <w:left w:val="nil"/>
              <w:bottom w:val="single" w:sz="4" w:space="0" w:color="auto"/>
              <w:right w:val="single" w:sz="4" w:space="0" w:color="auto"/>
            </w:tcBorders>
            <w:shd w:val="clear" w:color="auto" w:fill="auto"/>
            <w:noWrap/>
            <w:vAlign w:val="center"/>
            <w:hideMark/>
          </w:tcPr>
          <w:p w14:paraId="2FCE7875" w14:textId="77777777" w:rsidR="00B07DD0" w:rsidRPr="007053D8" w:rsidRDefault="00B07DD0" w:rsidP="009527CE">
            <w:pPr>
              <w:spacing w:after="0" w:line="240" w:lineRule="auto"/>
              <w:ind w:left="0" w:firstLine="0"/>
              <w:jc w:val="center"/>
              <w:rPr>
                <w:sz w:val="22"/>
              </w:rPr>
            </w:pPr>
            <w:r w:rsidRPr="007053D8">
              <w:rPr>
                <w:sz w:val="22"/>
              </w:rPr>
              <w:t>Not Included</w:t>
            </w:r>
          </w:p>
        </w:tc>
        <w:tc>
          <w:tcPr>
            <w:tcW w:w="1341" w:type="dxa"/>
            <w:vMerge/>
            <w:tcBorders>
              <w:top w:val="nil"/>
              <w:left w:val="nil"/>
              <w:bottom w:val="single" w:sz="4" w:space="0" w:color="000000"/>
              <w:right w:val="nil"/>
            </w:tcBorders>
            <w:vAlign w:val="center"/>
            <w:hideMark/>
          </w:tcPr>
          <w:p w14:paraId="1EEFE91D" w14:textId="77777777" w:rsidR="00B07DD0" w:rsidRPr="007053D8" w:rsidRDefault="00B07DD0" w:rsidP="009527CE">
            <w:pPr>
              <w:spacing w:after="0" w:line="240" w:lineRule="auto"/>
              <w:ind w:left="0" w:firstLine="0"/>
              <w:jc w:val="left"/>
              <w:rPr>
                <w:sz w:val="22"/>
              </w:rPr>
            </w:pPr>
          </w:p>
        </w:tc>
        <w:tc>
          <w:tcPr>
            <w:tcW w:w="1411" w:type="dxa"/>
            <w:vMerge/>
            <w:tcBorders>
              <w:top w:val="nil"/>
              <w:left w:val="nil"/>
              <w:bottom w:val="single" w:sz="4" w:space="0" w:color="000000"/>
              <w:right w:val="nil"/>
            </w:tcBorders>
            <w:vAlign w:val="center"/>
            <w:hideMark/>
          </w:tcPr>
          <w:p w14:paraId="74CEB162" w14:textId="77777777" w:rsidR="00B07DD0" w:rsidRPr="007053D8" w:rsidRDefault="00B07DD0" w:rsidP="009527CE">
            <w:pPr>
              <w:spacing w:after="0" w:line="240" w:lineRule="auto"/>
              <w:ind w:left="0" w:firstLine="0"/>
              <w:jc w:val="left"/>
              <w:rPr>
                <w:sz w:val="22"/>
              </w:rPr>
            </w:pPr>
          </w:p>
        </w:tc>
        <w:tc>
          <w:tcPr>
            <w:tcW w:w="1350" w:type="dxa"/>
            <w:vMerge/>
            <w:tcBorders>
              <w:top w:val="nil"/>
              <w:left w:val="nil"/>
              <w:bottom w:val="single" w:sz="4" w:space="0" w:color="000000"/>
              <w:right w:val="nil"/>
            </w:tcBorders>
            <w:vAlign w:val="center"/>
            <w:hideMark/>
          </w:tcPr>
          <w:p w14:paraId="3877F11E" w14:textId="77777777" w:rsidR="00B07DD0" w:rsidRPr="007053D8" w:rsidRDefault="00B07DD0" w:rsidP="009527CE">
            <w:pPr>
              <w:spacing w:after="0" w:line="240" w:lineRule="auto"/>
              <w:ind w:left="0" w:firstLine="0"/>
              <w:jc w:val="left"/>
              <w:rPr>
                <w:sz w:val="22"/>
              </w:rPr>
            </w:pPr>
          </w:p>
        </w:tc>
        <w:tc>
          <w:tcPr>
            <w:tcW w:w="1524" w:type="dxa"/>
            <w:tcBorders>
              <w:top w:val="nil"/>
              <w:left w:val="nil"/>
              <w:bottom w:val="single" w:sz="4" w:space="0" w:color="auto"/>
              <w:right w:val="nil"/>
            </w:tcBorders>
            <w:shd w:val="clear" w:color="auto" w:fill="auto"/>
            <w:noWrap/>
            <w:vAlign w:val="center"/>
            <w:hideMark/>
          </w:tcPr>
          <w:p w14:paraId="6C69D0C1" w14:textId="77777777" w:rsidR="00B07DD0" w:rsidRPr="007053D8" w:rsidRDefault="00B07DD0" w:rsidP="009527CE">
            <w:pPr>
              <w:spacing w:after="0" w:line="240" w:lineRule="auto"/>
              <w:ind w:left="0" w:firstLine="0"/>
              <w:jc w:val="center"/>
              <w:rPr>
                <w:sz w:val="22"/>
              </w:rPr>
            </w:pPr>
            <w:r w:rsidRPr="007053D8">
              <w:rPr>
                <w:sz w:val="22"/>
              </w:rPr>
              <w:t>2.70</w:t>
            </w:r>
          </w:p>
        </w:tc>
        <w:tc>
          <w:tcPr>
            <w:tcW w:w="1250" w:type="dxa"/>
            <w:tcBorders>
              <w:top w:val="nil"/>
              <w:left w:val="nil"/>
              <w:bottom w:val="single" w:sz="4" w:space="0" w:color="auto"/>
              <w:right w:val="nil"/>
            </w:tcBorders>
            <w:vAlign w:val="center"/>
          </w:tcPr>
          <w:p w14:paraId="327A798B" w14:textId="77777777" w:rsidR="00B07DD0" w:rsidRPr="007053D8" w:rsidRDefault="00B07DD0" w:rsidP="009527CE">
            <w:pPr>
              <w:spacing w:after="0" w:line="240" w:lineRule="auto"/>
              <w:ind w:left="0" w:firstLine="0"/>
              <w:jc w:val="center"/>
              <w:rPr>
                <w:sz w:val="22"/>
              </w:rPr>
            </w:pPr>
            <w:r w:rsidRPr="007053D8">
              <w:rPr>
                <w:sz w:val="22"/>
              </w:rPr>
              <w:t>0.10</w:t>
            </w:r>
          </w:p>
        </w:tc>
        <w:tc>
          <w:tcPr>
            <w:tcW w:w="2088" w:type="dxa"/>
            <w:tcBorders>
              <w:top w:val="nil"/>
              <w:left w:val="nil"/>
              <w:bottom w:val="single" w:sz="4" w:space="0" w:color="auto"/>
              <w:right w:val="single" w:sz="4" w:space="0" w:color="auto"/>
            </w:tcBorders>
            <w:shd w:val="clear" w:color="auto" w:fill="auto"/>
            <w:noWrap/>
            <w:vAlign w:val="center"/>
            <w:hideMark/>
          </w:tcPr>
          <w:p w14:paraId="1F95A609" w14:textId="77777777" w:rsidR="00B07DD0" w:rsidRPr="007053D8" w:rsidRDefault="00B07DD0" w:rsidP="009527CE">
            <w:pPr>
              <w:spacing w:after="0" w:line="240" w:lineRule="auto"/>
              <w:ind w:left="0" w:firstLine="0"/>
              <w:jc w:val="center"/>
              <w:rPr>
                <w:sz w:val="22"/>
              </w:rPr>
            </w:pPr>
            <w:r w:rsidRPr="007053D8">
              <w:rPr>
                <w:sz w:val="22"/>
              </w:rPr>
              <w:t>0.</w:t>
            </w:r>
            <w:r>
              <w:rPr>
                <w:sz w:val="22"/>
              </w:rPr>
              <w:t>80</w:t>
            </w:r>
          </w:p>
        </w:tc>
        <w:tc>
          <w:tcPr>
            <w:tcW w:w="686" w:type="dxa"/>
            <w:tcBorders>
              <w:top w:val="nil"/>
              <w:left w:val="nil"/>
              <w:bottom w:val="single" w:sz="4" w:space="0" w:color="auto"/>
              <w:right w:val="nil"/>
            </w:tcBorders>
            <w:shd w:val="clear" w:color="auto" w:fill="auto"/>
            <w:noWrap/>
            <w:vAlign w:val="center"/>
            <w:hideMark/>
          </w:tcPr>
          <w:p w14:paraId="4B0F6742" w14:textId="77777777" w:rsidR="00B07DD0" w:rsidRPr="007053D8" w:rsidRDefault="00B07DD0" w:rsidP="009527CE">
            <w:pPr>
              <w:spacing w:after="0" w:line="240" w:lineRule="auto"/>
              <w:ind w:left="0" w:firstLine="0"/>
              <w:jc w:val="center"/>
              <w:rPr>
                <w:sz w:val="22"/>
              </w:rPr>
            </w:pPr>
            <w:r w:rsidRPr="007053D8">
              <w:rPr>
                <w:sz w:val="22"/>
              </w:rPr>
              <w:t>1.36</w:t>
            </w:r>
          </w:p>
        </w:tc>
        <w:tc>
          <w:tcPr>
            <w:tcW w:w="889" w:type="dxa"/>
            <w:tcBorders>
              <w:top w:val="nil"/>
              <w:left w:val="nil"/>
              <w:bottom w:val="single" w:sz="4" w:space="0" w:color="auto"/>
              <w:right w:val="nil"/>
            </w:tcBorders>
            <w:shd w:val="clear" w:color="auto" w:fill="auto"/>
            <w:noWrap/>
            <w:vAlign w:val="center"/>
            <w:hideMark/>
          </w:tcPr>
          <w:p w14:paraId="28F92D76" w14:textId="77777777" w:rsidR="00B07DD0" w:rsidRPr="007053D8" w:rsidRDefault="00B07DD0" w:rsidP="009527CE">
            <w:pPr>
              <w:spacing w:after="0" w:line="240" w:lineRule="auto"/>
              <w:ind w:left="0" w:firstLine="0"/>
              <w:jc w:val="center"/>
              <w:rPr>
                <w:sz w:val="22"/>
              </w:rPr>
            </w:pPr>
            <w:r w:rsidRPr="007053D8">
              <w:rPr>
                <w:sz w:val="22"/>
              </w:rPr>
              <w:t>0.95</w:t>
            </w:r>
          </w:p>
        </w:tc>
        <w:tc>
          <w:tcPr>
            <w:tcW w:w="918" w:type="dxa"/>
            <w:tcBorders>
              <w:top w:val="nil"/>
              <w:left w:val="nil"/>
              <w:bottom w:val="single" w:sz="4" w:space="0" w:color="auto"/>
              <w:right w:val="nil"/>
            </w:tcBorders>
            <w:shd w:val="clear" w:color="auto" w:fill="auto"/>
            <w:noWrap/>
            <w:vAlign w:val="center"/>
            <w:hideMark/>
          </w:tcPr>
          <w:p w14:paraId="7A51E394" w14:textId="77777777" w:rsidR="00B07DD0" w:rsidRPr="007053D8" w:rsidRDefault="00B07DD0" w:rsidP="009527CE">
            <w:pPr>
              <w:spacing w:after="0" w:line="240" w:lineRule="auto"/>
              <w:ind w:left="0" w:firstLine="0"/>
              <w:jc w:val="center"/>
              <w:rPr>
                <w:sz w:val="22"/>
              </w:rPr>
            </w:pPr>
            <w:r w:rsidRPr="007053D8">
              <w:rPr>
                <w:sz w:val="22"/>
              </w:rPr>
              <w:t>1.95</w:t>
            </w:r>
          </w:p>
        </w:tc>
      </w:tr>
      <w:tr w:rsidR="00B07DD0" w:rsidRPr="007053D8" w14:paraId="7DBD0F3F" w14:textId="77777777" w:rsidTr="009527CE">
        <w:trPr>
          <w:trHeight w:val="360"/>
        </w:trPr>
        <w:tc>
          <w:tcPr>
            <w:tcW w:w="2352" w:type="dxa"/>
            <w:gridSpan w:val="2"/>
            <w:vMerge w:val="restart"/>
            <w:tcBorders>
              <w:top w:val="nil"/>
              <w:left w:val="nil"/>
              <w:bottom w:val="single" w:sz="4" w:space="0" w:color="000000"/>
              <w:right w:val="nil"/>
            </w:tcBorders>
            <w:shd w:val="clear" w:color="auto" w:fill="auto"/>
            <w:noWrap/>
            <w:vAlign w:val="center"/>
            <w:hideMark/>
          </w:tcPr>
          <w:p w14:paraId="07ACBC55" w14:textId="77777777" w:rsidR="00B07DD0" w:rsidRPr="007053D8" w:rsidRDefault="00B07DD0" w:rsidP="009527CE">
            <w:pPr>
              <w:spacing w:after="0" w:line="240" w:lineRule="auto"/>
              <w:ind w:left="0" w:firstLine="0"/>
              <w:jc w:val="center"/>
              <w:rPr>
                <w:sz w:val="22"/>
              </w:rPr>
            </w:pPr>
            <w:r w:rsidRPr="007053D8">
              <w:rPr>
                <w:sz w:val="22"/>
              </w:rPr>
              <w:t>Disengage. V. Engage.</w:t>
            </w:r>
          </w:p>
        </w:tc>
        <w:tc>
          <w:tcPr>
            <w:tcW w:w="2036" w:type="dxa"/>
            <w:vMerge w:val="restart"/>
            <w:tcBorders>
              <w:top w:val="nil"/>
              <w:left w:val="nil"/>
              <w:bottom w:val="single" w:sz="4" w:space="0" w:color="000000"/>
              <w:right w:val="nil"/>
            </w:tcBorders>
            <w:shd w:val="clear" w:color="auto" w:fill="auto"/>
            <w:noWrap/>
            <w:vAlign w:val="center"/>
            <w:hideMark/>
          </w:tcPr>
          <w:p w14:paraId="08C1C114" w14:textId="77777777" w:rsidR="00B07DD0" w:rsidRPr="007053D8" w:rsidRDefault="00B07DD0" w:rsidP="009527CE">
            <w:pPr>
              <w:spacing w:after="0" w:line="240" w:lineRule="auto"/>
              <w:ind w:left="0" w:firstLine="0"/>
              <w:jc w:val="center"/>
              <w:rPr>
                <w:sz w:val="22"/>
              </w:rPr>
            </w:pPr>
            <w:r w:rsidRPr="007053D8">
              <w:rPr>
                <w:sz w:val="22"/>
              </w:rPr>
              <w:t>Positive &amp; Negative</w:t>
            </w:r>
          </w:p>
        </w:tc>
        <w:tc>
          <w:tcPr>
            <w:tcW w:w="2226" w:type="dxa"/>
            <w:vMerge w:val="restart"/>
            <w:tcBorders>
              <w:top w:val="nil"/>
              <w:left w:val="nil"/>
              <w:bottom w:val="single" w:sz="4" w:space="0" w:color="000000"/>
              <w:right w:val="nil"/>
            </w:tcBorders>
            <w:shd w:val="clear" w:color="auto" w:fill="auto"/>
            <w:noWrap/>
            <w:vAlign w:val="center"/>
            <w:hideMark/>
          </w:tcPr>
          <w:p w14:paraId="0C18D896" w14:textId="77777777" w:rsidR="00B07DD0" w:rsidRPr="007053D8" w:rsidRDefault="00B07DD0" w:rsidP="009527CE">
            <w:pPr>
              <w:spacing w:after="0" w:line="240" w:lineRule="auto"/>
              <w:ind w:left="0" w:firstLine="0"/>
              <w:jc w:val="center"/>
              <w:rPr>
                <w:sz w:val="22"/>
              </w:rPr>
            </w:pPr>
            <w:r w:rsidRPr="007053D8">
              <w:rPr>
                <w:sz w:val="22"/>
              </w:rPr>
              <w:t>Immediate</w:t>
            </w:r>
          </w:p>
        </w:tc>
        <w:tc>
          <w:tcPr>
            <w:tcW w:w="1552" w:type="dxa"/>
            <w:tcBorders>
              <w:top w:val="nil"/>
              <w:left w:val="nil"/>
              <w:bottom w:val="nil"/>
              <w:right w:val="single" w:sz="4" w:space="0" w:color="auto"/>
            </w:tcBorders>
            <w:shd w:val="clear" w:color="000000" w:fill="D9D9D9"/>
            <w:noWrap/>
            <w:vAlign w:val="center"/>
            <w:hideMark/>
          </w:tcPr>
          <w:p w14:paraId="3039AE70" w14:textId="77777777" w:rsidR="00B07DD0" w:rsidRPr="007053D8" w:rsidRDefault="00B07DD0" w:rsidP="009527CE">
            <w:pPr>
              <w:spacing w:after="0" w:line="240" w:lineRule="auto"/>
              <w:ind w:left="0" w:firstLine="0"/>
              <w:jc w:val="center"/>
              <w:rPr>
                <w:sz w:val="22"/>
              </w:rPr>
            </w:pPr>
            <w:r w:rsidRPr="007053D8">
              <w:rPr>
                <w:sz w:val="22"/>
              </w:rPr>
              <w:t>Included</w:t>
            </w:r>
          </w:p>
        </w:tc>
        <w:tc>
          <w:tcPr>
            <w:tcW w:w="1341" w:type="dxa"/>
            <w:vMerge w:val="restart"/>
            <w:tcBorders>
              <w:top w:val="nil"/>
              <w:left w:val="nil"/>
              <w:bottom w:val="single" w:sz="4" w:space="0" w:color="000000"/>
              <w:right w:val="nil"/>
            </w:tcBorders>
            <w:shd w:val="clear" w:color="auto" w:fill="auto"/>
            <w:noWrap/>
            <w:vAlign w:val="center"/>
            <w:hideMark/>
          </w:tcPr>
          <w:p w14:paraId="2FE5BE27" w14:textId="77777777" w:rsidR="00B07DD0" w:rsidRPr="007053D8" w:rsidRDefault="00B07DD0" w:rsidP="009527CE">
            <w:pPr>
              <w:spacing w:after="0" w:line="240" w:lineRule="auto"/>
              <w:ind w:left="0" w:firstLine="0"/>
              <w:jc w:val="center"/>
              <w:rPr>
                <w:sz w:val="22"/>
              </w:rPr>
            </w:pPr>
            <w:r w:rsidRPr="007053D8">
              <w:rPr>
                <w:sz w:val="22"/>
              </w:rPr>
              <w:t>79</w:t>
            </w:r>
          </w:p>
        </w:tc>
        <w:tc>
          <w:tcPr>
            <w:tcW w:w="1411" w:type="dxa"/>
            <w:vMerge w:val="restart"/>
            <w:tcBorders>
              <w:top w:val="nil"/>
              <w:left w:val="nil"/>
              <w:bottom w:val="single" w:sz="4" w:space="0" w:color="000000"/>
              <w:right w:val="nil"/>
            </w:tcBorders>
            <w:shd w:val="clear" w:color="auto" w:fill="auto"/>
            <w:noWrap/>
            <w:vAlign w:val="center"/>
            <w:hideMark/>
          </w:tcPr>
          <w:p w14:paraId="1BBCB23D" w14:textId="77777777" w:rsidR="00B07DD0" w:rsidRPr="007053D8" w:rsidRDefault="00B07DD0" w:rsidP="009527CE">
            <w:pPr>
              <w:spacing w:after="0" w:line="240" w:lineRule="auto"/>
              <w:ind w:left="0" w:firstLine="0"/>
              <w:jc w:val="center"/>
              <w:rPr>
                <w:sz w:val="22"/>
              </w:rPr>
            </w:pPr>
            <w:r w:rsidRPr="007053D8">
              <w:rPr>
                <w:sz w:val="22"/>
              </w:rPr>
              <w:t>213</w:t>
            </w:r>
          </w:p>
        </w:tc>
        <w:tc>
          <w:tcPr>
            <w:tcW w:w="1350" w:type="dxa"/>
            <w:vMerge w:val="restart"/>
            <w:tcBorders>
              <w:top w:val="nil"/>
              <w:left w:val="nil"/>
              <w:bottom w:val="single" w:sz="4" w:space="0" w:color="000000"/>
              <w:right w:val="nil"/>
            </w:tcBorders>
            <w:shd w:val="clear" w:color="auto" w:fill="auto"/>
            <w:noWrap/>
            <w:vAlign w:val="center"/>
            <w:hideMark/>
          </w:tcPr>
          <w:p w14:paraId="310EA05C" w14:textId="77777777" w:rsidR="00B07DD0" w:rsidRPr="007053D8" w:rsidRDefault="00B07DD0" w:rsidP="009527CE">
            <w:pPr>
              <w:spacing w:after="0" w:line="240" w:lineRule="auto"/>
              <w:ind w:left="0" w:firstLine="0"/>
              <w:jc w:val="center"/>
              <w:rPr>
                <w:sz w:val="22"/>
              </w:rPr>
            </w:pPr>
            <w:r w:rsidRPr="007053D8">
              <w:rPr>
                <w:sz w:val="22"/>
              </w:rPr>
              <w:t>0.42</w:t>
            </w:r>
          </w:p>
        </w:tc>
        <w:tc>
          <w:tcPr>
            <w:tcW w:w="1524" w:type="dxa"/>
            <w:tcBorders>
              <w:top w:val="nil"/>
              <w:left w:val="nil"/>
              <w:bottom w:val="nil"/>
              <w:right w:val="nil"/>
            </w:tcBorders>
            <w:shd w:val="clear" w:color="000000" w:fill="D9D9D9"/>
            <w:noWrap/>
            <w:vAlign w:val="center"/>
            <w:hideMark/>
          </w:tcPr>
          <w:p w14:paraId="192AA6DE" w14:textId="77777777" w:rsidR="00B07DD0" w:rsidRPr="007053D8" w:rsidRDefault="00B07DD0" w:rsidP="009527CE">
            <w:pPr>
              <w:spacing w:after="0" w:line="240" w:lineRule="auto"/>
              <w:ind w:left="0" w:firstLine="0"/>
              <w:jc w:val="center"/>
              <w:rPr>
                <w:sz w:val="22"/>
              </w:rPr>
            </w:pPr>
            <w:r w:rsidRPr="007053D8">
              <w:rPr>
                <w:sz w:val="22"/>
              </w:rPr>
              <w:t>-</w:t>
            </w:r>
          </w:p>
        </w:tc>
        <w:tc>
          <w:tcPr>
            <w:tcW w:w="1250" w:type="dxa"/>
            <w:tcBorders>
              <w:top w:val="nil"/>
              <w:left w:val="nil"/>
              <w:bottom w:val="nil"/>
              <w:right w:val="nil"/>
            </w:tcBorders>
            <w:shd w:val="clear" w:color="000000" w:fill="D9D9D9"/>
            <w:vAlign w:val="center"/>
          </w:tcPr>
          <w:p w14:paraId="14504407" w14:textId="77777777" w:rsidR="00B07DD0" w:rsidRPr="007053D8" w:rsidRDefault="00B07DD0" w:rsidP="009527CE">
            <w:pPr>
              <w:spacing w:after="0" w:line="240" w:lineRule="auto"/>
              <w:ind w:left="0" w:firstLine="0"/>
              <w:jc w:val="center"/>
              <w:rPr>
                <w:sz w:val="22"/>
              </w:rPr>
            </w:pPr>
            <w:r w:rsidRPr="007053D8">
              <w:rPr>
                <w:sz w:val="22"/>
              </w:rPr>
              <w:t>-</w:t>
            </w:r>
          </w:p>
        </w:tc>
        <w:tc>
          <w:tcPr>
            <w:tcW w:w="2088" w:type="dxa"/>
            <w:tcBorders>
              <w:top w:val="nil"/>
              <w:left w:val="nil"/>
              <w:bottom w:val="nil"/>
              <w:right w:val="single" w:sz="4" w:space="0" w:color="auto"/>
            </w:tcBorders>
            <w:shd w:val="clear" w:color="000000" w:fill="D9D9D9"/>
            <w:noWrap/>
            <w:vAlign w:val="center"/>
            <w:hideMark/>
          </w:tcPr>
          <w:p w14:paraId="664E8EEA" w14:textId="77777777" w:rsidR="00B07DD0" w:rsidRPr="007053D8" w:rsidRDefault="00B07DD0" w:rsidP="009527CE">
            <w:pPr>
              <w:spacing w:after="0" w:line="240" w:lineRule="auto"/>
              <w:ind w:left="0" w:firstLine="0"/>
              <w:jc w:val="center"/>
              <w:rPr>
                <w:sz w:val="22"/>
              </w:rPr>
            </w:pPr>
            <w:r w:rsidRPr="007053D8">
              <w:rPr>
                <w:sz w:val="22"/>
              </w:rPr>
              <w:t>-</w:t>
            </w:r>
          </w:p>
        </w:tc>
        <w:tc>
          <w:tcPr>
            <w:tcW w:w="686" w:type="dxa"/>
            <w:tcBorders>
              <w:top w:val="nil"/>
              <w:left w:val="nil"/>
              <w:bottom w:val="nil"/>
              <w:right w:val="nil"/>
            </w:tcBorders>
            <w:shd w:val="clear" w:color="000000" w:fill="D9D9D9"/>
            <w:noWrap/>
            <w:vAlign w:val="center"/>
            <w:hideMark/>
          </w:tcPr>
          <w:p w14:paraId="6ECDA70F" w14:textId="77777777" w:rsidR="00B07DD0" w:rsidRPr="007053D8" w:rsidRDefault="00B07DD0" w:rsidP="009527CE">
            <w:pPr>
              <w:spacing w:after="0" w:line="240" w:lineRule="auto"/>
              <w:ind w:left="0" w:firstLine="0"/>
              <w:jc w:val="center"/>
              <w:rPr>
                <w:sz w:val="22"/>
              </w:rPr>
            </w:pPr>
            <w:r w:rsidRPr="007053D8">
              <w:rPr>
                <w:sz w:val="22"/>
              </w:rPr>
              <w:t>1.02</w:t>
            </w:r>
          </w:p>
        </w:tc>
        <w:tc>
          <w:tcPr>
            <w:tcW w:w="889" w:type="dxa"/>
            <w:tcBorders>
              <w:top w:val="nil"/>
              <w:left w:val="nil"/>
              <w:bottom w:val="nil"/>
              <w:right w:val="nil"/>
            </w:tcBorders>
            <w:shd w:val="clear" w:color="000000" w:fill="D9D9D9"/>
            <w:noWrap/>
            <w:vAlign w:val="center"/>
            <w:hideMark/>
          </w:tcPr>
          <w:p w14:paraId="628ED48C" w14:textId="77777777" w:rsidR="00B07DD0" w:rsidRPr="007053D8" w:rsidRDefault="00B07DD0" w:rsidP="009527CE">
            <w:pPr>
              <w:spacing w:after="0" w:line="240" w:lineRule="auto"/>
              <w:ind w:left="0" w:firstLine="0"/>
              <w:jc w:val="center"/>
              <w:rPr>
                <w:sz w:val="22"/>
              </w:rPr>
            </w:pPr>
            <w:r w:rsidRPr="007053D8">
              <w:rPr>
                <w:sz w:val="22"/>
              </w:rPr>
              <w:t>0.65</w:t>
            </w:r>
          </w:p>
        </w:tc>
        <w:tc>
          <w:tcPr>
            <w:tcW w:w="918" w:type="dxa"/>
            <w:tcBorders>
              <w:top w:val="nil"/>
              <w:left w:val="nil"/>
              <w:bottom w:val="nil"/>
              <w:right w:val="nil"/>
            </w:tcBorders>
            <w:shd w:val="clear" w:color="000000" w:fill="D9D9D9"/>
            <w:noWrap/>
            <w:vAlign w:val="center"/>
            <w:hideMark/>
          </w:tcPr>
          <w:p w14:paraId="1C7CE07E" w14:textId="77777777" w:rsidR="00B07DD0" w:rsidRPr="007053D8" w:rsidRDefault="00B07DD0" w:rsidP="009527CE">
            <w:pPr>
              <w:spacing w:after="0" w:line="240" w:lineRule="auto"/>
              <w:ind w:left="0" w:firstLine="0"/>
              <w:jc w:val="center"/>
              <w:rPr>
                <w:sz w:val="22"/>
              </w:rPr>
            </w:pPr>
            <w:r w:rsidRPr="007053D8">
              <w:rPr>
                <w:sz w:val="22"/>
              </w:rPr>
              <w:t>1.58</w:t>
            </w:r>
          </w:p>
        </w:tc>
      </w:tr>
      <w:tr w:rsidR="00B07DD0" w:rsidRPr="007053D8" w14:paraId="5FDDC529" w14:textId="77777777" w:rsidTr="009527CE">
        <w:trPr>
          <w:trHeight w:val="360"/>
        </w:trPr>
        <w:tc>
          <w:tcPr>
            <w:tcW w:w="2352" w:type="dxa"/>
            <w:gridSpan w:val="2"/>
            <w:vMerge/>
            <w:tcBorders>
              <w:top w:val="nil"/>
              <w:left w:val="nil"/>
              <w:bottom w:val="single" w:sz="4" w:space="0" w:color="000000"/>
              <w:right w:val="nil"/>
            </w:tcBorders>
            <w:vAlign w:val="center"/>
            <w:hideMark/>
          </w:tcPr>
          <w:p w14:paraId="58FEDD0B" w14:textId="77777777" w:rsidR="00B07DD0" w:rsidRPr="007053D8" w:rsidRDefault="00B07DD0" w:rsidP="009527CE">
            <w:pPr>
              <w:spacing w:after="0" w:line="240" w:lineRule="auto"/>
              <w:ind w:left="0" w:firstLine="0"/>
              <w:jc w:val="left"/>
              <w:rPr>
                <w:sz w:val="22"/>
              </w:rPr>
            </w:pPr>
          </w:p>
        </w:tc>
        <w:tc>
          <w:tcPr>
            <w:tcW w:w="2036" w:type="dxa"/>
            <w:vMerge/>
            <w:tcBorders>
              <w:top w:val="nil"/>
              <w:left w:val="nil"/>
              <w:bottom w:val="single" w:sz="4" w:space="0" w:color="000000"/>
              <w:right w:val="nil"/>
            </w:tcBorders>
            <w:vAlign w:val="center"/>
            <w:hideMark/>
          </w:tcPr>
          <w:p w14:paraId="4472E442" w14:textId="77777777" w:rsidR="00B07DD0" w:rsidRPr="007053D8" w:rsidRDefault="00B07DD0" w:rsidP="009527CE">
            <w:pPr>
              <w:spacing w:after="0" w:line="240" w:lineRule="auto"/>
              <w:ind w:left="0" w:firstLine="0"/>
              <w:jc w:val="left"/>
              <w:rPr>
                <w:sz w:val="22"/>
              </w:rPr>
            </w:pPr>
          </w:p>
        </w:tc>
        <w:tc>
          <w:tcPr>
            <w:tcW w:w="2226" w:type="dxa"/>
            <w:vMerge/>
            <w:tcBorders>
              <w:top w:val="nil"/>
              <w:left w:val="nil"/>
              <w:bottom w:val="single" w:sz="4" w:space="0" w:color="000000"/>
              <w:right w:val="nil"/>
            </w:tcBorders>
            <w:vAlign w:val="center"/>
            <w:hideMark/>
          </w:tcPr>
          <w:p w14:paraId="06AB9C16" w14:textId="77777777" w:rsidR="00B07DD0" w:rsidRPr="007053D8" w:rsidRDefault="00B07DD0" w:rsidP="009527CE">
            <w:pPr>
              <w:spacing w:after="0" w:line="240" w:lineRule="auto"/>
              <w:ind w:left="0" w:firstLine="0"/>
              <w:jc w:val="left"/>
              <w:rPr>
                <w:sz w:val="22"/>
              </w:rPr>
            </w:pPr>
          </w:p>
        </w:tc>
        <w:tc>
          <w:tcPr>
            <w:tcW w:w="1552" w:type="dxa"/>
            <w:tcBorders>
              <w:top w:val="nil"/>
              <w:left w:val="nil"/>
              <w:bottom w:val="single" w:sz="4" w:space="0" w:color="auto"/>
              <w:right w:val="single" w:sz="4" w:space="0" w:color="auto"/>
            </w:tcBorders>
            <w:shd w:val="clear" w:color="auto" w:fill="auto"/>
            <w:noWrap/>
            <w:vAlign w:val="center"/>
            <w:hideMark/>
          </w:tcPr>
          <w:p w14:paraId="008F9EE2" w14:textId="77777777" w:rsidR="00B07DD0" w:rsidRPr="007053D8" w:rsidRDefault="00B07DD0" w:rsidP="009527CE">
            <w:pPr>
              <w:spacing w:after="0" w:line="240" w:lineRule="auto"/>
              <w:ind w:left="0" w:firstLine="0"/>
              <w:jc w:val="center"/>
              <w:rPr>
                <w:sz w:val="22"/>
              </w:rPr>
            </w:pPr>
            <w:r w:rsidRPr="007053D8">
              <w:rPr>
                <w:sz w:val="22"/>
              </w:rPr>
              <w:t>Not Included</w:t>
            </w:r>
          </w:p>
        </w:tc>
        <w:tc>
          <w:tcPr>
            <w:tcW w:w="1341" w:type="dxa"/>
            <w:vMerge/>
            <w:tcBorders>
              <w:top w:val="nil"/>
              <w:left w:val="nil"/>
              <w:bottom w:val="single" w:sz="4" w:space="0" w:color="000000"/>
              <w:right w:val="nil"/>
            </w:tcBorders>
            <w:vAlign w:val="center"/>
            <w:hideMark/>
          </w:tcPr>
          <w:p w14:paraId="20CF01FF" w14:textId="77777777" w:rsidR="00B07DD0" w:rsidRPr="007053D8" w:rsidRDefault="00B07DD0" w:rsidP="009527CE">
            <w:pPr>
              <w:spacing w:after="0" w:line="240" w:lineRule="auto"/>
              <w:ind w:left="0" w:firstLine="0"/>
              <w:jc w:val="left"/>
              <w:rPr>
                <w:sz w:val="22"/>
              </w:rPr>
            </w:pPr>
          </w:p>
        </w:tc>
        <w:tc>
          <w:tcPr>
            <w:tcW w:w="1411" w:type="dxa"/>
            <w:vMerge/>
            <w:tcBorders>
              <w:top w:val="nil"/>
              <w:left w:val="nil"/>
              <w:bottom w:val="single" w:sz="4" w:space="0" w:color="000000"/>
              <w:right w:val="nil"/>
            </w:tcBorders>
            <w:vAlign w:val="center"/>
            <w:hideMark/>
          </w:tcPr>
          <w:p w14:paraId="408C4876" w14:textId="77777777" w:rsidR="00B07DD0" w:rsidRPr="007053D8" w:rsidRDefault="00B07DD0" w:rsidP="009527CE">
            <w:pPr>
              <w:spacing w:after="0" w:line="240" w:lineRule="auto"/>
              <w:ind w:left="0" w:firstLine="0"/>
              <w:jc w:val="left"/>
              <w:rPr>
                <w:sz w:val="22"/>
              </w:rPr>
            </w:pPr>
          </w:p>
        </w:tc>
        <w:tc>
          <w:tcPr>
            <w:tcW w:w="1350" w:type="dxa"/>
            <w:vMerge/>
            <w:tcBorders>
              <w:top w:val="nil"/>
              <w:left w:val="nil"/>
              <w:bottom w:val="single" w:sz="4" w:space="0" w:color="000000"/>
              <w:right w:val="nil"/>
            </w:tcBorders>
            <w:vAlign w:val="center"/>
            <w:hideMark/>
          </w:tcPr>
          <w:p w14:paraId="60C4BE61" w14:textId="77777777" w:rsidR="00B07DD0" w:rsidRPr="007053D8" w:rsidRDefault="00B07DD0" w:rsidP="009527CE">
            <w:pPr>
              <w:spacing w:after="0" w:line="240" w:lineRule="auto"/>
              <w:ind w:left="0" w:firstLine="0"/>
              <w:jc w:val="left"/>
              <w:rPr>
                <w:sz w:val="22"/>
              </w:rPr>
            </w:pPr>
          </w:p>
        </w:tc>
        <w:tc>
          <w:tcPr>
            <w:tcW w:w="1524" w:type="dxa"/>
            <w:tcBorders>
              <w:top w:val="nil"/>
              <w:left w:val="nil"/>
              <w:bottom w:val="single" w:sz="4" w:space="0" w:color="auto"/>
              <w:right w:val="nil"/>
            </w:tcBorders>
            <w:shd w:val="clear" w:color="auto" w:fill="auto"/>
            <w:noWrap/>
            <w:vAlign w:val="center"/>
            <w:hideMark/>
          </w:tcPr>
          <w:p w14:paraId="76C879C9" w14:textId="77777777" w:rsidR="00B07DD0" w:rsidRPr="007053D8" w:rsidRDefault="00B07DD0" w:rsidP="009527CE">
            <w:pPr>
              <w:spacing w:after="0" w:line="240" w:lineRule="auto"/>
              <w:ind w:left="0" w:firstLine="0"/>
              <w:jc w:val="center"/>
              <w:rPr>
                <w:sz w:val="22"/>
              </w:rPr>
            </w:pPr>
            <w:r w:rsidRPr="007053D8">
              <w:rPr>
                <w:sz w:val="22"/>
              </w:rPr>
              <w:t>0.09</w:t>
            </w:r>
          </w:p>
        </w:tc>
        <w:tc>
          <w:tcPr>
            <w:tcW w:w="1250" w:type="dxa"/>
            <w:tcBorders>
              <w:top w:val="nil"/>
              <w:left w:val="nil"/>
              <w:bottom w:val="single" w:sz="4" w:space="0" w:color="auto"/>
              <w:right w:val="nil"/>
            </w:tcBorders>
            <w:vAlign w:val="center"/>
          </w:tcPr>
          <w:p w14:paraId="03F4F91A" w14:textId="77777777" w:rsidR="00B07DD0" w:rsidRPr="007053D8" w:rsidRDefault="00B07DD0" w:rsidP="009527CE">
            <w:pPr>
              <w:spacing w:after="0" w:line="240" w:lineRule="auto"/>
              <w:ind w:left="0" w:firstLine="0"/>
              <w:jc w:val="center"/>
              <w:rPr>
                <w:sz w:val="22"/>
              </w:rPr>
            </w:pPr>
            <w:r w:rsidRPr="007053D8">
              <w:rPr>
                <w:sz w:val="22"/>
              </w:rPr>
              <w:t>0.76</w:t>
            </w:r>
          </w:p>
        </w:tc>
        <w:tc>
          <w:tcPr>
            <w:tcW w:w="2088" w:type="dxa"/>
            <w:tcBorders>
              <w:top w:val="nil"/>
              <w:left w:val="nil"/>
              <w:bottom w:val="single" w:sz="4" w:space="0" w:color="auto"/>
              <w:right w:val="single" w:sz="4" w:space="0" w:color="auto"/>
            </w:tcBorders>
            <w:shd w:val="clear" w:color="auto" w:fill="auto"/>
            <w:noWrap/>
            <w:vAlign w:val="center"/>
            <w:hideMark/>
          </w:tcPr>
          <w:p w14:paraId="68050F45" w14:textId="77777777" w:rsidR="00B07DD0" w:rsidRPr="007053D8" w:rsidRDefault="00B07DD0" w:rsidP="009527CE">
            <w:pPr>
              <w:spacing w:after="0" w:line="240" w:lineRule="auto"/>
              <w:ind w:left="0" w:firstLine="0"/>
              <w:jc w:val="center"/>
              <w:rPr>
                <w:sz w:val="22"/>
              </w:rPr>
            </w:pPr>
            <w:r>
              <w:rPr>
                <w:sz w:val="22"/>
              </w:rPr>
              <w:t>1.00</w:t>
            </w:r>
          </w:p>
        </w:tc>
        <w:tc>
          <w:tcPr>
            <w:tcW w:w="686" w:type="dxa"/>
            <w:tcBorders>
              <w:top w:val="nil"/>
              <w:left w:val="nil"/>
              <w:bottom w:val="single" w:sz="4" w:space="0" w:color="auto"/>
              <w:right w:val="nil"/>
            </w:tcBorders>
            <w:shd w:val="clear" w:color="auto" w:fill="auto"/>
            <w:noWrap/>
            <w:vAlign w:val="center"/>
            <w:hideMark/>
          </w:tcPr>
          <w:p w14:paraId="2527A615" w14:textId="77777777" w:rsidR="00B07DD0" w:rsidRPr="007053D8" w:rsidRDefault="00B07DD0" w:rsidP="009527CE">
            <w:pPr>
              <w:spacing w:after="0" w:line="240" w:lineRule="auto"/>
              <w:ind w:left="0" w:firstLine="0"/>
              <w:jc w:val="center"/>
              <w:rPr>
                <w:sz w:val="22"/>
              </w:rPr>
            </w:pPr>
            <w:r w:rsidRPr="007053D8">
              <w:rPr>
                <w:sz w:val="22"/>
              </w:rPr>
              <w:t>1.07</w:t>
            </w:r>
          </w:p>
        </w:tc>
        <w:tc>
          <w:tcPr>
            <w:tcW w:w="889" w:type="dxa"/>
            <w:tcBorders>
              <w:top w:val="nil"/>
              <w:left w:val="nil"/>
              <w:bottom w:val="single" w:sz="4" w:space="0" w:color="auto"/>
              <w:right w:val="nil"/>
            </w:tcBorders>
            <w:shd w:val="clear" w:color="auto" w:fill="auto"/>
            <w:noWrap/>
            <w:vAlign w:val="center"/>
            <w:hideMark/>
          </w:tcPr>
          <w:p w14:paraId="7D1B2933" w14:textId="77777777" w:rsidR="00B07DD0" w:rsidRPr="007053D8" w:rsidRDefault="00B07DD0" w:rsidP="009527CE">
            <w:pPr>
              <w:spacing w:after="0" w:line="240" w:lineRule="auto"/>
              <w:ind w:left="0" w:firstLine="0"/>
              <w:jc w:val="center"/>
              <w:rPr>
                <w:sz w:val="22"/>
              </w:rPr>
            </w:pPr>
            <w:r w:rsidRPr="007053D8">
              <w:rPr>
                <w:sz w:val="22"/>
              </w:rPr>
              <w:t>0.71</w:t>
            </w:r>
          </w:p>
        </w:tc>
        <w:tc>
          <w:tcPr>
            <w:tcW w:w="918" w:type="dxa"/>
            <w:tcBorders>
              <w:top w:val="nil"/>
              <w:left w:val="nil"/>
              <w:bottom w:val="single" w:sz="4" w:space="0" w:color="auto"/>
              <w:right w:val="nil"/>
            </w:tcBorders>
            <w:shd w:val="clear" w:color="auto" w:fill="auto"/>
            <w:noWrap/>
            <w:vAlign w:val="center"/>
            <w:hideMark/>
          </w:tcPr>
          <w:p w14:paraId="160884DD" w14:textId="77777777" w:rsidR="00B07DD0" w:rsidRPr="007053D8" w:rsidRDefault="00B07DD0" w:rsidP="009527CE">
            <w:pPr>
              <w:spacing w:after="0" w:line="240" w:lineRule="auto"/>
              <w:ind w:left="0" w:firstLine="0"/>
              <w:jc w:val="center"/>
              <w:rPr>
                <w:sz w:val="22"/>
              </w:rPr>
            </w:pPr>
            <w:r w:rsidRPr="007053D8">
              <w:rPr>
                <w:sz w:val="22"/>
              </w:rPr>
              <w:t>1.61</w:t>
            </w:r>
          </w:p>
        </w:tc>
      </w:tr>
      <w:tr w:rsidR="00B07DD0" w:rsidRPr="007053D8" w14:paraId="7F03CA79" w14:textId="77777777" w:rsidTr="009527CE">
        <w:trPr>
          <w:trHeight w:val="360"/>
        </w:trPr>
        <w:tc>
          <w:tcPr>
            <w:tcW w:w="2352" w:type="dxa"/>
            <w:gridSpan w:val="2"/>
            <w:vMerge w:val="restart"/>
            <w:tcBorders>
              <w:top w:val="nil"/>
              <w:left w:val="nil"/>
              <w:bottom w:val="single" w:sz="4" w:space="0" w:color="000000"/>
              <w:right w:val="nil"/>
            </w:tcBorders>
            <w:shd w:val="clear" w:color="auto" w:fill="auto"/>
            <w:noWrap/>
            <w:vAlign w:val="center"/>
            <w:hideMark/>
          </w:tcPr>
          <w:p w14:paraId="59E19C8C" w14:textId="77777777" w:rsidR="00B07DD0" w:rsidRPr="007053D8" w:rsidRDefault="00B07DD0" w:rsidP="009527CE">
            <w:pPr>
              <w:spacing w:after="0" w:line="240" w:lineRule="auto"/>
              <w:ind w:left="0" w:firstLine="0"/>
              <w:jc w:val="center"/>
              <w:rPr>
                <w:sz w:val="22"/>
              </w:rPr>
            </w:pPr>
            <w:r w:rsidRPr="007053D8">
              <w:rPr>
                <w:sz w:val="22"/>
              </w:rPr>
              <w:t>Disengage. V. Engage.</w:t>
            </w:r>
          </w:p>
        </w:tc>
        <w:tc>
          <w:tcPr>
            <w:tcW w:w="2036" w:type="dxa"/>
            <w:vMerge w:val="restart"/>
            <w:tcBorders>
              <w:top w:val="nil"/>
              <w:left w:val="nil"/>
              <w:bottom w:val="single" w:sz="4" w:space="0" w:color="000000"/>
              <w:right w:val="nil"/>
            </w:tcBorders>
            <w:shd w:val="clear" w:color="auto" w:fill="auto"/>
            <w:noWrap/>
            <w:vAlign w:val="center"/>
            <w:hideMark/>
          </w:tcPr>
          <w:p w14:paraId="3F3F7ADB" w14:textId="77777777" w:rsidR="00B07DD0" w:rsidRPr="007053D8" w:rsidRDefault="00B07DD0" w:rsidP="009527CE">
            <w:pPr>
              <w:spacing w:after="0" w:line="240" w:lineRule="auto"/>
              <w:ind w:left="0" w:firstLine="0"/>
              <w:jc w:val="center"/>
              <w:rPr>
                <w:sz w:val="22"/>
              </w:rPr>
            </w:pPr>
            <w:r w:rsidRPr="007053D8">
              <w:rPr>
                <w:sz w:val="22"/>
              </w:rPr>
              <w:t>Negative</w:t>
            </w:r>
          </w:p>
        </w:tc>
        <w:tc>
          <w:tcPr>
            <w:tcW w:w="2226" w:type="dxa"/>
            <w:vMerge w:val="restart"/>
            <w:tcBorders>
              <w:top w:val="nil"/>
              <w:left w:val="nil"/>
              <w:bottom w:val="single" w:sz="4" w:space="0" w:color="000000"/>
              <w:right w:val="nil"/>
            </w:tcBorders>
            <w:shd w:val="clear" w:color="auto" w:fill="auto"/>
            <w:noWrap/>
            <w:vAlign w:val="center"/>
            <w:hideMark/>
          </w:tcPr>
          <w:p w14:paraId="0158EECA" w14:textId="77777777" w:rsidR="00B07DD0" w:rsidRPr="007053D8" w:rsidRDefault="00B07DD0" w:rsidP="009527CE">
            <w:pPr>
              <w:spacing w:after="0" w:line="240" w:lineRule="auto"/>
              <w:ind w:left="0" w:firstLine="0"/>
              <w:jc w:val="center"/>
              <w:rPr>
                <w:sz w:val="22"/>
              </w:rPr>
            </w:pPr>
            <w:r w:rsidRPr="007053D8">
              <w:rPr>
                <w:sz w:val="22"/>
              </w:rPr>
              <w:t>Immediate</w:t>
            </w:r>
          </w:p>
        </w:tc>
        <w:tc>
          <w:tcPr>
            <w:tcW w:w="1552" w:type="dxa"/>
            <w:tcBorders>
              <w:top w:val="nil"/>
              <w:left w:val="nil"/>
              <w:bottom w:val="nil"/>
              <w:right w:val="single" w:sz="4" w:space="0" w:color="auto"/>
            </w:tcBorders>
            <w:shd w:val="clear" w:color="000000" w:fill="D9D9D9"/>
            <w:noWrap/>
            <w:vAlign w:val="center"/>
            <w:hideMark/>
          </w:tcPr>
          <w:p w14:paraId="4BCD7CF2" w14:textId="77777777" w:rsidR="00B07DD0" w:rsidRPr="007053D8" w:rsidRDefault="00B07DD0" w:rsidP="009527CE">
            <w:pPr>
              <w:spacing w:after="0" w:line="240" w:lineRule="auto"/>
              <w:ind w:left="0" w:firstLine="0"/>
              <w:jc w:val="center"/>
              <w:rPr>
                <w:sz w:val="22"/>
              </w:rPr>
            </w:pPr>
            <w:r w:rsidRPr="007053D8">
              <w:rPr>
                <w:sz w:val="22"/>
              </w:rPr>
              <w:t>Included</w:t>
            </w:r>
          </w:p>
        </w:tc>
        <w:tc>
          <w:tcPr>
            <w:tcW w:w="1341" w:type="dxa"/>
            <w:vMerge w:val="restart"/>
            <w:tcBorders>
              <w:top w:val="nil"/>
              <w:left w:val="nil"/>
              <w:bottom w:val="single" w:sz="4" w:space="0" w:color="000000"/>
              <w:right w:val="nil"/>
            </w:tcBorders>
            <w:shd w:val="clear" w:color="auto" w:fill="auto"/>
            <w:noWrap/>
            <w:vAlign w:val="center"/>
            <w:hideMark/>
          </w:tcPr>
          <w:p w14:paraId="253F2749" w14:textId="77777777" w:rsidR="00B07DD0" w:rsidRPr="007053D8" w:rsidRDefault="00B07DD0" w:rsidP="009527CE">
            <w:pPr>
              <w:spacing w:after="0" w:line="240" w:lineRule="auto"/>
              <w:ind w:left="0" w:firstLine="0"/>
              <w:jc w:val="center"/>
              <w:rPr>
                <w:sz w:val="22"/>
              </w:rPr>
            </w:pPr>
            <w:r w:rsidRPr="007053D8">
              <w:rPr>
                <w:sz w:val="22"/>
              </w:rPr>
              <w:t>77</w:t>
            </w:r>
          </w:p>
        </w:tc>
        <w:tc>
          <w:tcPr>
            <w:tcW w:w="1411" w:type="dxa"/>
            <w:vMerge w:val="restart"/>
            <w:tcBorders>
              <w:top w:val="nil"/>
              <w:left w:val="nil"/>
              <w:bottom w:val="single" w:sz="4" w:space="0" w:color="000000"/>
              <w:right w:val="nil"/>
            </w:tcBorders>
            <w:shd w:val="clear" w:color="auto" w:fill="auto"/>
            <w:noWrap/>
            <w:vAlign w:val="center"/>
            <w:hideMark/>
          </w:tcPr>
          <w:p w14:paraId="02D2D285" w14:textId="77777777" w:rsidR="00B07DD0" w:rsidRPr="007053D8" w:rsidRDefault="00B07DD0" w:rsidP="009527CE">
            <w:pPr>
              <w:spacing w:after="0" w:line="240" w:lineRule="auto"/>
              <w:ind w:left="0" w:firstLine="0"/>
              <w:jc w:val="center"/>
              <w:rPr>
                <w:sz w:val="22"/>
              </w:rPr>
            </w:pPr>
            <w:r w:rsidRPr="007053D8">
              <w:rPr>
                <w:sz w:val="22"/>
              </w:rPr>
              <w:t>194</w:t>
            </w:r>
          </w:p>
        </w:tc>
        <w:tc>
          <w:tcPr>
            <w:tcW w:w="1350" w:type="dxa"/>
            <w:vMerge w:val="restart"/>
            <w:tcBorders>
              <w:top w:val="nil"/>
              <w:left w:val="nil"/>
              <w:bottom w:val="single" w:sz="4" w:space="0" w:color="000000"/>
              <w:right w:val="nil"/>
            </w:tcBorders>
            <w:shd w:val="clear" w:color="auto" w:fill="auto"/>
            <w:noWrap/>
            <w:vAlign w:val="center"/>
            <w:hideMark/>
          </w:tcPr>
          <w:p w14:paraId="6CE2F83A" w14:textId="77777777" w:rsidR="00B07DD0" w:rsidRPr="007053D8" w:rsidRDefault="00B07DD0" w:rsidP="009527CE">
            <w:pPr>
              <w:spacing w:after="0" w:line="240" w:lineRule="auto"/>
              <w:ind w:left="0" w:firstLine="0"/>
              <w:jc w:val="center"/>
              <w:rPr>
                <w:sz w:val="22"/>
              </w:rPr>
            </w:pPr>
            <w:r w:rsidRPr="007053D8">
              <w:rPr>
                <w:sz w:val="22"/>
              </w:rPr>
              <w:t>0.39</w:t>
            </w:r>
          </w:p>
        </w:tc>
        <w:tc>
          <w:tcPr>
            <w:tcW w:w="1524" w:type="dxa"/>
            <w:tcBorders>
              <w:top w:val="nil"/>
              <w:left w:val="nil"/>
              <w:bottom w:val="nil"/>
              <w:right w:val="nil"/>
            </w:tcBorders>
            <w:shd w:val="clear" w:color="000000" w:fill="D9D9D9"/>
            <w:noWrap/>
            <w:vAlign w:val="center"/>
            <w:hideMark/>
          </w:tcPr>
          <w:p w14:paraId="5A59C6F3" w14:textId="77777777" w:rsidR="00B07DD0" w:rsidRPr="007053D8" w:rsidRDefault="00B07DD0" w:rsidP="009527CE">
            <w:pPr>
              <w:spacing w:after="0" w:line="240" w:lineRule="auto"/>
              <w:ind w:left="0" w:firstLine="0"/>
              <w:jc w:val="center"/>
              <w:rPr>
                <w:sz w:val="22"/>
              </w:rPr>
            </w:pPr>
            <w:r w:rsidRPr="007053D8">
              <w:rPr>
                <w:sz w:val="22"/>
              </w:rPr>
              <w:t>-</w:t>
            </w:r>
          </w:p>
        </w:tc>
        <w:tc>
          <w:tcPr>
            <w:tcW w:w="1250" w:type="dxa"/>
            <w:tcBorders>
              <w:top w:val="nil"/>
              <w:left w:val="nil"/>
              <w:bottom w:val="nil"/>
              <w:right w:val="nil"/>
            </w:tcBorders>
            <w:shd w:val="clear" w:color="000000" w:fill="D9D9D9"/>
            <w:vAlign w:val="center"/>
          </w:tcPr>
          <w:p w14:paraId="41324F30" w14:textId="77777777" w:rsidR="00B07DD0" w:rsidRPr="007053D8" w:rsidRDefault="00B07DD0" w:rsidP="009527CE">
            <w:pPr>
              <w:spacing w:after="0" w:line="240" w:lineRule="auto"/>
              <w:ind w:left="0" w:firstLine="0"/>
              <w:jc w:val="center"/>
              <w:rPr>
                <w:sz w:val="22"/>
              </w:rPr>
            </w:pPr>
            <w:r w:rsidRPr="007053D8">
              <w:rPr>
                <w:sz w:val="22"/>
              </w:rPr>
              <w:t>-</w:t>
            </w:r>
          </w:p>
        </w:tc>
        <w:tc>
          <w:tcPr>
            <w:tcW w:w="2088" w:type="dxa"/>
            <w:tcBorders>
              <w:top w:val="nil"/>
              <w:left w:val="nil"/>
              <w:bottom w:val="nil"/>
              <w:right w:val="single" w:sz="4" w:space="0" w:color="auto"/>
            </w:tcBorders>
            <w:shd w:val="clear" w:color="000000" w:fill="D9D9D9"/>
            <w:noWrap/>
            <w:vAlign w:val="center"/>
            <w:hideMark/>
          </w:tcPr>
          <w:p w14:paraId="4214C864" w14:textId="77777777" w:rsidR="00B07DD0" w:rsidRPr="007053D8" w:rsidRDefault="00B07DD0" w:rsidP="009527CE">
            <w:pPr>
              <w:spacing w:after="0" w:line="240" w:lineRule="auto"/>
              <w:ind w:left="0" w:firstLine="0"/>
              <w:jc w:val="center"/>
              <w:rPr>
                <w:sz w:val="22"/>
              </w:rPr>
            </w:pPr>
            <w:r w:rsidRPr="007053D8">
              <w:rPr>
                <w:sz w:val="22"/>
              </w:rPr>
              <w:t>-</w:t>
            </w:r>
          </w:p>
        </w:tc>
        <w:tc>
          <w:tcPr>
            <w:tcW w:w="686" w:type="dxa"/>
            <w:tcBorders>
              <w:top w:val="nil"/>
              <w:left w:val="nil"/>
              <w:bottom w:val="nil"/>
              <w:right w:val="nil"/>
            </w:tcBorders>
            <w:shd w:val="clear" w:color="000000" w:fill="D9D9D9"/>
            <w:noWrap/>
            <w:vAlign w:val="center"/>
            <w:hideMark/>
          </w:tcPr>
          <w:p w14:paraId="32588A02" w14:textId="77777777" w:rsidR="00B07DD0" w:rsidRPr="007053D8" w:rsidRDefault="00B07DD0" w:rsidP="009527CE">
            <w:pPr>
              <w:spacing w:after="0" w:line="240" w:lineRule="auto"/>
              <w:ind w:left="0" w:firstLine="0"/>
              <w:jc w:val="center"/>
              <w:rPr>
                <w:sz w:val="22"/>
              </w:rPr>
            </w:pPr>
            <w:r w:rsidRPr="007053D8">
              <w:rPr>
                <w:sz w:val="22"/>
              </w:rPr>
              <w:t>1.05</w:t>
            </w:r>
          </w:p>
        </w:tc>
        <w:tc>
          <w:tcPr>
            <w:tcW w:w="889" w:type="dxa"/>
            <w:tcBorders>
              <w:top w:val="nil"/>
              <w:left w:val="nil"/>
              <w:bottom w:val="nil"/>
              <w:right w:val="nil"/>
            </w:tcBorders>
            <w:shd w:val="clear" w:color="000000" w:fill="D9D9D9"/>
            <w:noWrap/>
            <w:vAlign w:val="center"/>
            <w:hideMark/>
          </w:tcPr>
          <w:p w14:paraId="09B334DD" w14:textId="77777777" w:rsidR="00B07DD0" w:rsidRPr="007053D8" w:rsidRDefault="00B07DD0" w:rsidP="009527CE">
            <w:pPr>
              <w:spacing w:after="0" w:line="240" w:lineRule="auto"/>
              <w:ind w:left="0" w:firstLine="0"/>
              <w:jc w:val="center"/>
              <w:rPr>
                <w:sz w:val="22"/>
              </w:rPr>
            </w:pPr>
            <w:r w:rsidRPr="007053D8">
              <w:rPr>
                <w:sz w:val="22"/>
              </w:rPr>
              <w:t>0.65</w:t>
            </w:r>
          </w:p>
        </w:tc>
        <w:tc>
          <w:tcPr>
            <w:tcW w:w="918" w:type="dxa"/>
            <w:tcBorders>
              <w:top w:val="nil"/>
              <w:left w:val="nil"/>
              <w:bottom w:val="nil"/>
              <w:right w:val="nil"/>
            </w:tcBorders>
            <w:shd w:val="clear" w:color="000000" w:fill="D9D9D9"/>
            <w:noWrap/>
            <w:vAlign w:val="center"/>
            <w:hideMark/>
          </w:tcPr>
          <w:p w14:paraId="3AFFB65C" w14:textId="77777777" w:rsidR="00B07DD0" w:rsidRPr="007053D8" w:rsidRDefault="00B07DD0" w:rsidP="009527CE">
            <w:pPr>
              <w:spacing w:after="0" w:line="240" w:lineRule="auto"/>
              <w:ind w:left="0" w:firstLine="0"/>
              <w:jc w:val="center"/>
              <w:rPr>
                <w:sz w:val="22"/>
              </w:rPr>
            </w:pPr>
            <w:r w:rsidRPr="007053D8">
              <w:rPr>
                <w:sz w:val="22"/>
              </w:rPr>
              <w:t>1.68</w:t>
            </w:r>
          </w:p>
        </w:tc>
      </w:tr>
      <w:tr w:rsidR="00B07DD0" w:rsidRPr="007053D8" w14:paraId="12E96D18" w14:textId="77777777" w:rsidTr="009527CE">
        <w:trPr>
          <w:trHeight w:val="360"/>
        </w:trPr>
        <w:tc>
          <w:tcPr>
            <w:tcW w:w="2352" w:type="dxa"/>
            <w:gridSpan w:val="2"/>
            <w:vMerge/>
            <w:tcBorders>
              <w:top w:val="nil"/>
              <w:left w:val="nil"/>
              <w:bottom w:val="single" w:sz="4" w:space="0" w:color="000000"/>
              <w:right w:val="nil"/>
            </w:tcBorders>
            <w:vAlign w:val="center"/>
            <w:hideMark/>
          </w:tcPr>
          <w:p w14:paraId="4F7B891B" w14:textId="77777777" w:rsidR="00B07DD0" w:rsidRPr="007053D8" w:rsidRDefault="00B07DD0" w:rsidP="009527CE">
            <w:pPr>
              <w:spacing w:after="0" w:line="240" w:lineRule="auto"/>
              <w:ind w:left="0" w:firstLine="0"/>
              <w:jc w:val="left"/>
              <w:rPr>
                <w:sz w:val="22"/>
              </w:rPr>
            </w:pPr>
          </w:p>
        </w:tc>
        <w:tc>
          <w:tcPr>
            <w:tcW w:w="2036" w:type="dxa"/>
            <w:vMerge/>
            <w:tcBorders>
              <w:top w:val="nil"/>
              <w:left w:val="nil"/>
              <w:bottom w:val="single" w:sz="4" w:space="0" w:color="000000"/>
              <w:right w:val="nil"/>
            </w:tcBorders>
            <w:vAlign w:val="center"/>
            <w:hideMark/>
          </w:tcPr>
          <w:p w14:paraId="5147A21B" w14:textId="77777777" w:rsidR="00B07DD0" w:rsidRPr="007053D8" w:rsidRDefault="00B07DD0" w:rsidP="009527CE">
            <w:pPr>
              <w:spacing w:after="0" w:line="240" w:lineRule="auto"/>
              <w:ind w:left="0" w:firstLine="0"/>
              <w:jc w:val="left"/>
              <w:rPr>
                <w:sz w:val="22"/>
              </w:rPr>
            </w:pPr>
          </w:p>
        </w:tc>
        <w:tc>
          <w:tcPr>
            <w:tcW w:w="2226" w:type="dxa"/>
            <w:vMerge/>
            <w:tcBorders>
              <w:top w:val="nil"/>
              <w:left w:val="nil"/>
              <w:bottom w:val="single" w:sz="4" w:space="0" w:color="000000"/>
              <w:right w:val="nil"/>
            </w:tcBorders>
            <w:vAlign w:val="center"/>
            <w:hideMark/>
          </w:tcPr>
          <w:p w14:paraId="4422C2B8" w14:textId="77777777" w:rsidR="00B07DD0" w:rsidRPr="007053D8" w:rsidRDefault="00B07DD0" w:rsidP="009527CE">
            <w:pPr>
              <w:spacing w:after="0" w:line="240" w:lineRule="auto"/>
              <w:ind w:left="0" w:firstLine="0"/>
              <w:jc w:val="left"/>
              <w:rPr>
                <w:sz w:val="22"/>
              </w:rPr>
            </w:pPr>
          </w:p>
        </w:tc>
        <w:tc>
          <w:tcPr>
            <w:tcW w:w="1552" w:type="dxa"/>
            <w:tcBorders>
              <w:top w:val="nil"/>
              <w:left w:val="nil"/>
              <w:bottom w:val="single" w:sz="4" w:space="0" w:color="auto"/>
              <w:right w:val="single" w:sz="4" w:space="0" w:color="auto"/>
            </w:tcBorders>
            <w:shd w:val="clear" w:color="auto" w:fill="auto"/>
            <w:noWrap/>
            <w:vAlign w:val="center"/>
            <w:hideMark/>
          </w:tcPr>
          <w:p w14:paraId="0494EFAE" w14:textId="77777777" w:rsidR="00B07DD0" w:rsidRPr="007053D8" w:rsidRDefault="00B07DD0" w:rsidP="009527CE">
            <w:pPr>
              <w:spacing w:after="0" w:line="240" w:lineRule="auto"/>
              <w:ind w:left="0" w:firstLine="0"/>
              <w:jc w:val="center"/>
              <w:rPr>
                <w:sz w:val="22"/>
              </w:rPr>
            </w:pPr>
            <w:r w:rsidRPr="007053D8">
              <w:rPr>
                <w:sz w:val="22"/>
              </w:rPr>
              <w:t>Not Included</w:t>
            </w:r>
          </w:p>
        </w:tc>
        <w:tc>
          <w:tcPr>
            <w:tcW w:w="1341" w:type="dxa"/>
            <w:vMerge/>
            <w:tcBorders>
              <w:top w:val="nil"/>
              <w:left w:val="nil"/>
              <w:bottom w:val="single" w:sz="4" w:space="0" w:color="000000"/>
              <w:right w:val="nil"/>
            </w:tcBorders>
            <w:vAlign w:val="center"/>
            <w:hideMark/>
          </w:tcPr>
          <w:p w14:paraId="60BB89BA" w14:textId="77777777" w:rsidR="00B07DD0" w:rsidRPr="007053D8" w:rsidRDefault="00B07DD0" w:rsidP="009527CE">
            <w:pPr>
              <w:spacing w:after="0" w:line="240" w:lineRule="auto"/>
              <w:ind w:left="0" w:firstLine="0"/>
              <w:jc w:val="left"/>
              <w:rPr>
                <w:sz w:val="22"/>
              </w:rPr>
            </w:pPr>
          </w:p>
        </w:tc>
        <w:tc>
          <w:tcPr>
            <w:tcW w:w="1411" w:type="dxa"/>
            <w:vMerge/>
            <w:tcBorders>
              <w:top w:val="nil"/>
              <w:left w:val="nil"/>
              <w:bottom w:val="single" w:sz="4" w:space="0" w:color="000000"/>
              <w:right w:val="nil"/>
            </w:tcBorders>
            <w:vAlign w:val="center"/>
            <w:hideMark/>
          </w:tcPr>
          <w:p w14:paraId="159F8229" w14:textId="77777777" w:rsidR="00B07DD0" w:rsidRPr="007053D8" w:rsidRDefault="00B07DD0" w:rsidP="009527CE">
            <w:pPr>
              <w:spacing w:after="0" w:line="240" w:lineRule="auto"/>
              <w:ind w:left="0" w:firstLine="0"/>
              <w:jc w:val="left"/>
              <w:rPr>
                <w:sz w:val="22"/>
              </w:rPr>
            </w:pPr>
          </w:p>
        </w:tc>
        <w:tc>
          <w:tcPr>
            <w:tcW w:w="1350" w:type="dxa"/>
            <w:vMerge/>
            <w:tcBorders>
              <w:top w:val="nil"/>
              <w:left w:val="nil"/>
              <w:bottom w:val="single" w:sz="4" w:space="0" w:color="000000"/>
              <w:right w:val="nil"/>
            </w:tcBorders>
            <w:vAlign w:val="center"/>
            <w:hideMark/>
          </w:tcPr>
          <w:p w14:paraId="23510D5A" w14:textId="77777777" w:rsidR="00B07DD0" w:rsidRPr="007053D8" w:rsidRDefault="00B07DD0" w:rsidP="009527CE">
            <w:pPr>
              <w:spacing w:after="0" w:line="240" w:lineRule="auto"/>
              <w:ind w:left="0" w:firstLine="0"/>
              <w:jc w:val="left"/>
              <w:rPr>
                <w:sz w:val="22"/>
              </w:rPr>
            </w:pPr>
          </w:p>
        </w:tc>
        <w:tc>
          <w:tcPr>
            <w:tcW w:w="1524" w:type="dxa"/>
            <w:tcBorders>
              <w:top w:val="nil"/>
              <w:left w:val="nil"/>
              <w:bottom w:val="single" w:sz="4" w:space="0" w:color="auto"/>
              <w:right w:val="nil"/>
            </w:tcBorders>
            <w:shd w:val="clear" w:color="auto" w:fill="auto"/>
            <w:noWrap/>
            <w:vAlign w:val="center"/>
            <w:hideMark/>
          </w:tcPr>
          <w:p w14:paraId="777A00D8" w14:textId="77777777" w:rsidR="00B07DD0" w:rsidRPr="007053D8" w:rsidRDefault="00B07DD0" w:rsidP="009527CE">
            <w:pPr>
              <w:spacing w:after="0" w:line="240" w:lineRule="auto"/>
              <w:ind w:left="0" w:firstLine="0"/>
              <w:jc w:val="center"/>
              <w:rPr>
                <w:sz w:val="22"/>
              </w:rPr>
            </w:pPr>
            <w:r w:rsidRPr="007053D8">
              <w:rPr>
                <w:sz w:val="22"/>
              </w:rPr>
              <w:t>0.14</w:t>
            </w:r>
          </w:p>
        </w:tc>
        <w:tc>
          <w:tcPr>
            <w:tcW w:w="1250" w:type="dxa"/>
            <w:tcBorders>
              <w:top w:val="nil"/>
              <w:left w:val="nil"/>
              <w:bottom w:val="single" w:sz="4" w:space="0" w:color="auto"/>
              <w:right w:val="nil"/>
            </w:tcBorders>
            <w:vAlign w:val="center"/>
          </w:tcPr>
          <w:p w14:paraId="1E7F65CB" w14:textId="77777777" w:rsidR="00B07DD0" w:rsidRPr="007053D8" w:rsidRDefault="00B07DD0" w:rsidP="009527CE">
            <w:pPr>
              <w:spacing w:after="0" w:line="240" w:lineRule="auto"/>
              <w:ind w:left="0" w:firstLine="0"/>
              <w:jc w:val="center"/>
              <w:rPr>
                <w:sz w:val="22"/>
              </w:rPr>
            </w:pPr>
            <w:r w:rsidRPr="007053D8">
              <w:rPr>
                <w:sz w:val="22"/>
              </w:rPr>
              <w:t>0.71</w:t>
            </w:r>
          </w:p>
        </w:tc>
        <w:tc>
          <w:tcPr>
            <w:tcW w:w="2088" w:type="dxa"/>
            <w:tcBorders>
              <w:top w:val="nil"/>
              <w:left w:val="nil"/>
              <w:bottom w:val="single" w:sz="4" w:space="0" w:color="auto"/>
              <w:right w:val="single" w:sz="4" w:space="0" w:color="auto"/>
            </w:tcBorders>
            <w:shd w:val="clear" w:color="auto" w:fill="auto"/>
            <w:noWrap/>
            <w:vAlign w:val="center"/>
            <w:hideMark/>
          </w:tcPr>
          <w:p w14:paraId="1870D206" w14:textId="77777777" w:rsidR="00B07DD0" w:rsidRPr="007053D8" w:rsidRDefault="00B07DD0" w:rsidP="009527CE">
            <w:pPr>
              <w:spacing w:after="0" w:line="240" w:lineRule="auto"/>
              <w:ind w:left="0" w:firstLine="0"/>
              <w:jc w:val="center"/>
              <w:rPr>
                <w:sz w:val="22"/>
              </w:rPr>
            </w:pPr>
            <w:r>
              <w:rPr>
                <w:sz w:val="22"/>
              </w:rPr>
              <w:t>1.00</w:t>
            </w:r>
          </w:p>
        </w:tc>
        <w:tc>
          <w:tcPr>
            <w:tcW w:w="686" w:type="dxa"/>
            <w:tcBorders>
              <w:top w:val="nil"/>
              <w:left w:val="nil"/>
              <w:bottom w:val="single" w:sz="4" w:space="0" w:color="auto"/>
              <w:right w:val="nil"/>
            </w:tcBorders>
            <w:shd w:val="clear" w:color="auto" w:fill="auto"/>
            <w:noWrap/>
            <w:vAlign w:val="center"/>
            <w:hideMark/>
          </w:tcPr>
          <w:p w14:paraId="3B35E947" w14:textId="77777777" w:rsidR="00B07DD0" w:rsidRPr="007053D8" w:rsidRDefault="00B07DD0" w:rsidP="009527CE">
            <w:pPr>
              <w:spacing w:after="0" w:line="240" w:lineRule="auto"/>
              <w:ind w:left="0" w:firstLine="0"/>
              <w:jc w:val="center"/>
              <w:rPr>
                <w:sz w:val="22"/>
              </w:rPr>
            </w:pPr>
            <w:r w:rsidRPr="007053D8">
              <w:rPr>
                <w:sz w:val="22"/>
              </w:rPr>
              <w:t>1.09</w:t>
            </w:r>
          </w:p>
        </w:tc>
        <w:tc>
          <w:tcPr>
            <w:tcW w:w="889" w:type="dxa"/>
            <w:tcBorders>
              <w:top w:val="nil"/>
              <w:left w:val="nil"/>
              <w:bottom w:val="single" w:sz="4" w:space="0" w:color="auto"/>
              <w:right w:val="nil"/>
            </w:tcBorders>
            <w:shd w:val="clear" w:color="auto" w:fill="auto"/>
            <w:noWrap/>
            <w:vAlign w:val="center"/>
            <w:hideMark/>
          </w:tcPr>
          <w:p w14:paraId="1E430C02" w14:textId="77777777" w:rsidR="00B07DD0" w:rsidRPr="007053D8" w:rsidRDefault="00B07DD0" w:rsidP="009527CE">
            <w:pPr>
              <w:spacing w:after="0" w:line="240" w:lineRule="auto"/>
              <w:ind w:left="0" w:firstLine="0"/>
              <w:jc w:val="center"/>
              <w:rPr>
                <w:sz w:val="22"/>
              </w:rPr>
            </w:pPr>
            <w:r w:rsidRPr="007053D8">
              <w:rPr>
                <w:sz w:val="22"/>
              </w:rPr>
              <w:t>0.70</w:t>
            </w:r>
          </w:p>
        </w:tc>
        <w:tc>
          <w:tcPr>
            <w:tcW w:w="918" w:type="dxa"/>
            <w:tcBorders>
              <w:top w:val="nil"/>
              <w:left w:val="nil"/>
              <w:bottom w:val="single" w:sz="4" w:space="0" w:color="auto"/>
              <w:right w:val="nil"/>
            </w:tcBorders>
            <w:shd w:val="clear" w:color="auto" w:fill="auto"/>
            <w:noWrap/>
            <w:vAlign w:val="center"/>
            <w:hideMark/>
          </w:tcPr>
          <w:p w14:paraId="0D305995" w14:textId="77777777" w:rsidR="00B07DD0" w:rsidRPr="007053D8" w:rsidRDefault="00B07DD0" w:rsidP="009527CE">
            <w:pPr>
              <w:spacing w:after="0" w:line="240" w:lineRule="auto"/>
              <w:ind w:left="0" w:firstLine="0"/>
              <w:jc w:val="center"/>
              <w:rPr>
                <w:sz w:val="22"/>
              </w:rPr>
            </w:pPr>
            <w:r w:rsidRPr="007053D8">
              <w:rPr>
                <w:sz w:val="22"/>
              </w:rPr>
              <w:t>1.68</w:t>
            </w:r>
          </w:p>
        </w:tc>
      </w:tr>
      <w:tr w:rsidR="00B07DD0" w:rsidRPr="007053D8" w14:paraId="6B804E8A" w14:textId="77777777" w:rsidTr="009527CE">
        <w:trPr>
          <w:trHeight w:val="360"/>
        </w:trPr>
        <w:tc>
          <w:tcPr>
            <w:tcW w:w="2352" w:type="dxa"/>
            <w:gridSpan w:val="2"/>
            <w:vMerge w:val="restart"/>
            <w:tcBorders>
              <w:top w:val="nil"/>
              <w:left w:val="nil"/>
              <w:bottom w:val="single" w:sz="4" w:space="0" w:color="000000"/>
              <w:right w:val="nil"/>
            </w:tcBorders>
            <w:shd w:val="clear" w:color="auto" w:fill="auto"/>
            <w:noWrap/>
            <w:vAlign w:val="center"/>
            <w:hideMark/>
          </w:tcPr>
          <w:p w14:paraId="200ADB88" w14:textId="77777777" w:rsidR="00B07DD0" w:rsidRPr="007053D8" w:rsidRDefault="00B07DD0" w:rsidP="009527CE">
            <w:pPr>
              <w:spacing w:after="0" w:line="240" w:lineRule="auto"/>
              <w:ind w:left="0" w:firstLine="0"/>
              <w:jc w:val="center"/>
              <w:rPr>
                <w:sz w:val="22"/>
              </w:rPr>
            </w:pPr>
            <w:r w:rsidRPr="007053D8">
              <w:rPr>
                <w:sz w:val="22"/>
              </w:rPr>
              <w:t xml:space="preserve">Distract. V. Reappraisal </w:t>
            </w:r>
          </w:p>
        </w:tc>
        <w:tc>
          <w:tcPr>
            <w:tcW w:w="2036" w:type="dxa"/>
            <w:vMerge w:val="restart"/>
            <w:tcBorders>
              <w:top w:val="nil"/>
              <w:left w:val="nil"/>
              <w:bottom w:val="single" w:sz="4" w:space="0" w:color="000000"/>
              <w:right w:val="nil"/>
            </w:tcBorders>
            <w:shd w:val="clear" w:color="auto" w:fill="auto"/>
            <w:noWrap/>
            <w:vAlign w:val="center"/>
            <w:hideMark/>
          </w:tcPr>
          <w:p w14:paraId="5B94B185" w14:textId="77777777" w:rsidR="00B07DD0" w:rsidRPr="007053D8" w:rsidRDefault="00B07DD0" w:rsidP="009527CE">
            <w:pPr>
              <w:spacing w:after="0" w:line="240" w:lineRule="auto"/>
              <w:ind w:left="0" w:firstLine="0"/>
              <w:jc w:val="center"/>
              <w:rPr>
                <w:sz w:val="22"/>
              </w:rPr>
            </w:pPr>
            <w:r w:rsidRPr="007053D8">
              <w:rPr>
                <w:sz w:val="22"/>
              </w:rPr>
              <w:t>Positive &amp; Negative</w:t>
            </w:r>
          </w:p>
        </w:tc>
        <w:tc>
          <w:tcPr>
            <w:tcW w:w="2226" w:type="dxa"/>
            <w:vMerge w:val="restart"/>
            <w:tcBorders>
              <w:top w:val="nil"/>
              <w:left w:val="nil"/>
              <w:bottom w:val="single" w:sz="4" w:space="0" w:color="000000"/>
              <w:right w:val="nil"/>
            </w:tcBorders>
            <w:shd w:val="clear" w:color="auto" w:fill="auto"/>
            <w:noWrap/>
            <w:vAlign w:val="center"/>
            <w:hideMark/>
          </w:tcPr>
          <w:p w14:paraId="726B0F3C" w14:textId="77777777" w:rsidR="00B07DD0" w:rsidRPr="007053D8" w:rsidRDefault="00B07DD0" w:rsidP="009527CE">
            <w:pPr>
              <w:spacing w:after="0" w:line="240" w:lineRule="auto"/>
              <w:ind w:left="0" w:firstLine="0"/>
              <w:jc w:val="center"/>
              <w:rPr>
                <w:sz w:val="22"/>
              </w:rPr>
            </w:pPr>
            <w:r w:rsidRPr="007053D8">
              <w:rPr>
                <w:sz w:val="22"/>
              </w:rPr>
              <w:t>Immediate</w:t>
            </w:r>
          </w:p>
        </w:tc>
        <w:tc>
          <w:tcPr>
            <w:tcW w:w="1552" w:type="dxa"/>
            <w:tcBorders>
              <w:top w:val="nil"/>
              <w:left w:val="nil"/>
              <w:bottom w:val="nil"/>
              <w:right w:val="single" w:sz="4" w:space="0" w:color="auto"/>
            </w:tcBorders>
            <w:shd w:val="clear" w:color="000000" w:fill="D9D9D9"/>
            <w:noWrap/>
            <w:vAlign w:val="center"/>
            <w:hideMark/>
          </w:tcPr>
          <w:p w14:paraId="10345B6C" w14:textId="77777777" w:rsidR="00B07DD0" w:rsidRPr="007053D8" w:rsidRDefault="00B07DD0" w:rsidP="009527CE">
            <w:pPr>
              <w:spacing w:after="0" w:line="240" w:lineRule="auto"/>
              <w:ind w:left="0" w:firstLine="0"/>
              <w:jc w:val="center"/>
              <w:rPr>
                <w:sz w:val="22"/>
              </w:rPr>
            </w:pPr>
            <w:r w:rsidRPr="007053D8">
              <w:rPr>
                <w:sz w:val="22"/>
              </w:rPr>
              <w:t>Included</w:t>
            </w:r>
          </w:p>
        </w:tc>
        <w:tc>
          <w:tcPr>
            <w:tcW w:w="1341" w:type="dxa"/>
            <w:vMerge w:val="restart"/>
            <w:tcBorders>
              <w:top w:val="nil"/>
              <w:left w:val="nil"/>
              <w:bottom w:val="single" w:sz="4" w:space="0" w:color="000000"/>
              <w:right w:val="nil"/>
            </w:tcBorders>
            <w:shd w:val="clear" w:color="auto" w:fill="auto"/>
            <w:noWrap/>
            <w:vAlign w:val="center"/>
            <w:hideMark/>
          </w:tcPr>
          <w:p w14:paraId="43A403FE" w14:textId="77777777" w:rsidR="00B07DD0" w:rsidRPr="007053D8" w:rsidRDefault="00B07DD0" w:rsidP="009527CE">
            <w:pPr>
              <w:spacing w:after="0" w:line="240" w:lineRule="auto"/>
              <w:ind w:left="0" w:firstLine="0"/>
              <w:jc w:val="center"/>
              <w:rPr>
                <w:sz w:val="22"/>
              </w:rPr>
            </w:pPr>
            <w:r w:rsidRPr="007053D8">
              <w:rPr>
                <w:sz w:val="22"/>
              </w:rPr>
              <w:t>64</w:t>
            </w:r>
          </w:p>
        </w:tc>
        <w:tc>
          <w:tcPr>
            <w:tcW w:w="1411" w:type="dxa"/>
            <w:vMerge w:val="restart"/>
            <w:tcBorders>
              <w:top w:val="nil"/>
              <w:left w:val="nil"/>
              <w:bottom w:val="single" w:sz="4" w:space="0" w:color="000000"/>
              <w:right w:val="nil"/>
            </w:tcBorders>
            <w:shd w:val="clear" w:color="auto" w:fill="auto"/>
            <w:noWrap/>
            <w:vAlign w:val="center"/>
            <w:hideMark/>
          </w:tcPr>
          <w:p w14:paraId="063A053D" w14:textId="77777777" w:rsidR="00B07DD0" w:rsidRPr="007053D8" w:rsidRDefault="00B07DD0" w:rsidP="009527CE">
            <w:pPr>
              <w:spacing w:after="0" w:line="240" w:lineRule="auto"/>
              <w:ind w:left="0" w:firstLine="0"/>
              <w:jc w:val="center"/>
              <w:rPr>
                <w:sz w:val="22"/>
              </w:rPr>
            </w:pPr>
            <w:r w:rsidRPr="007053D8">
              <w:rPr>
                <w:sz w:val="22"/>
              </w:rPr>
              <w:t>171</w:t>
            </w:r>
          </w:p>
        </w:tc>
        <w:tc>
          <w:tcPr>
            <w:tcW w:w="1350" w:type="dxa"/>
            <w:vMerge w:val="restart"/>
            <w:tcBorders>
              <w:top w:val="nil"/>
              <w:left w:val="nil"/>
              <w:bottom w:val="single" w:sz="4" w:space="0" w:color="000000"/>
              <w:right w:val="nil"/>
            </w:tcBorders>
            <w:shd w:val="clear" w:color="auto" w:fill="auto"/>
            <w:noWrap/>
            <w:vAlign w:val="center"/>
            <w:hideMark/>
          </w:tcPr>
          <w:p w14:paraId="7AE7A017" w14:textId="77777777" w:rsidR="00B07DD0" w:rsidRPr="007053D8" w:rsidRDefault="00B07DD0" w:rsidP="009527CE">
            <w:pPr>
              <w:spacing w:after="0" w:line="240" w:lineRule="auto"/>
              <w:ind w:left="0" w:firstLine="0"/>
              <w:jc w:val="center"/>
              <w:rPr>
                <w:sz w:val="22"/>
              </w:rPr>
            </w:pPr>
            <w:r w:rsidRPr="007053D8">
              <w:rPr>
                <w:sz w:val="22"/>
              </w:rPr>
              <w:t>0.45</w:t>
            </w:r>
          </w:p>
        </w:tc>
        <w:tc>
          <w:tcPr>
            <w:tcW w:w="1524" w:type="dxa"/>
            <w:tcBorders>
              <w:top w:val="nil"/>
              <w:left w:val="nil"/>
              <w:bottom w:val="nil"/>
              <w:right w:val="nil"/>
            </w:tcBorders>
            <w:shd w:val="clear" w:color="000000" w:fill="D9D9D9"/>
            <w:noWrap/>
            <w:vAlign w:val="center"/>
            <w:hideMark/>
          </w:tcPr>
          <w:p w14:paraId="22F595A2" w14:textId="77777777" w:rsidR="00B07DD0" w:rsidRPr="007053D8" w:rsidRDefault="00B07DD0" w:rsidP="009527CE">
            <w:pPr>
              <w:spacing w:after="0" w:line="240" w:lineRule="auto"/>
              <w:ind w:left="0" w:firstLine="0"/>
              <w:jc w:val="center"/>
              <w:rPr>
                <w:sz w:val="22"/>
              </w:rPr>
            </w:pPr>
            <w:r w:rsidRPr="007053D8">
              <w:rPr>
                <w:sz w:val="22"/>
              </w:rPr>
              <w:t>-</w:t>
            </w:r>
          </w:p>
        </w:tc>
        <w:tc>
          <w:tcPr>
            <w:tcW w:w="1250" w:type="dxa"/>
            <w:tcBorders>
              <w:top w:val="nil"/>
              <w:left w:val="nil"/>
              <w:bottom w:val="nil"/>
              <w:right w:val="nil"/>
            </w:tcBorders>
            <w:shd w:val="clear" w:color="000000" w:fill="D9D9D9"/>
            <w:vAlign w:val="center"/>
          </w:tcPr>
          <w:p w14:paraId="427A2452" w14:textId="77777777" w:rsidR="00B07DD0" w:rsidRPr="007053D8" w:rsidRDefault="00B07DD0" w:rsidP="009527CE">
            <w:pPr>
              <w:spacing w:after="0" w:line="240" w:lineRule="auto"/>
              <w:ind w:left="0" w:firstLine="0"/>
              <w:jc w:val="center"/>
              <w:rPr>
                <w:sz w:val="22"/>
              </w:rPr>
            </w:pPr>
            <w:r w:rsidRPr="007053D8">
              <w:rPr>
                <w:sz w:val="22"/>
              </w:rPr>
              <w:t>-</w:t>
            </w:r>
          </w:p>
        </w:tc>
        <w:tc>
          <w:tcPr>
            <w:tcW w:w="2088" w:type="dxa"/>
            <w:tcBorders>
              <w:top w:val="nil"/>
              <w:left w:val="nil"/>
              <w:bottom w:val="nil"/>
              <w:right w:val="single" w:sz="4" w:space="0" w:color="auto"/>
            </w:tcBorders>
            <w:shd w:val="clear" w:color="000000" w:fill="D9D9D9"/>
            <w:noWrap/>
            <w:vAlign w:val="center"/>
            <w:hideMark/>
          </w:tcPr>
          <w:p w14:paraId="62D027AB" w14:textId="77777777" w:rsidR="00B07DD0" w:rsidRPr="007053D8" w:rsidRDefault="00B07DD0" w:rsidP="009527CE">
            <w:pPr>
              <w:spacing w:after="0" w:line="240" w:lineRule="auto"/>
              <w:ind w:left="0" w:firstLine="0"/>
              <w:jc w:val="center"/>
              <w:rPr>
                <w:sz w:val="22"/>
              </w:rPr>
            </w:pPr>
            <w:r w:rsidRPr="007053D8">
              <w:rPr>
                <w:sz w:val="22"/>
              </w:rPr>
              <w:t>-</w:t>
            </w:r>
          </w:p>
        </w:tc>
        <w:tc>
          <w:tcPr>
            <w:tcW w:w="686" w:type="dxa"/>
            <w:tcBorders>
              <w:top w:val="nil"/>
              <w:left w:val="nil"/>
              <w:bottom w:val="nil"/>
              <w:right w:val="nil"/>
            </w:tcBorders>
            <w:shd w:val="clear" w:color="000000" w:fill="D9D9D9"/>
            <w:noWrap/>
            <w:vAlign w:val="center"/>
            <w:hideMark/>
          </w:tcPr>
          <w:p w14:paraId="668EA8B4" w14:textId="77777777" w:rsidR="00B07DD0" w:rsidRPr="007053D8" w:rsidRDefault="00B07DD0" w:rsidP="009527CE">
            <w:pPr>
              <w:spacing w:after="0" w:line="240" w:lineRule="auto"/>
              <w:ind w:left="0" w:firstLine="0"/>
              <w:jc w:val="center"/>
              <w:rPr>
                <w:sz w:val="22"/>
              </w:rPr>
            </w:pPr>
            <w:r w:rsidRPr="007053D8">
              <w:rPr>
                <w:sz w:val="22"/>
              </w:rPr>
              <w:t>1.28</w:t>
            </w:r>
          </w:p>
        </w:tc>
        <w:tc>
          <w:tcPr>
            <w:tcW w:w="889" w:type="dxa"/>
            <w:tcBorders>
              <w:top w:val="nil"/>
              <w:left w:val="nil"/>
              <w:bottom w:val="nil"/>
              <w:right w:val="nil"/>
            </w:tcBorders>
            <w:shd w:val="clear" w:color="000000" w:fill="D9D9D9"/>
            <w:noWrap/>
            <w:vAlign w:val="center"/>
            <w:hideMark/>
          </w:tcPr>
          <w:p w14:paraId="09EAFC94" w14:textId="77777777" w:rsidR="00B07DD0" w:rsidRPr="007053D8" w:rsidRDefault="00B07DD0" w:rsidP="009527CE">
            <w:pPr>
              <w:spacing w:after="0" w:line="240" w:lineRule="auto"/>
              <w:ind w:left="0" w:firstLine="0"/>
              <w:jc w:val="center"/>
              <w:rPr>
                <w:sz w:val="22"/>
              </w:rPr>
            </w:pPr>
            <w:r w:rsidRPr="007053D8">
              <w:rPr>
                <w:sz w:val="22"/>
              </w:rPr>
              <w:t>0.78</w:t>
            </w:r>
          </w:p>
        </w:tc>
        <w:tc>
          <w:tcPr>
            <w:tcW w:w="918" w:type="dxa"/>
            <w:tcBorders>
              <w:top w:val="nil"/>
              <w:left w:val="nil"/>
              <w:bottom w:val="nil"/>
              <w:right w:val="nil"/>
            </w:tcBorders>
            <w:shd w:val="clear" w:color="000000" w:fill="D9D9D9"/>
            <w:noWrap/>
            <w:vAlign w:val="center"/>
            <w:hideMark/>
          </w:tcPr>
          <w:p w14:paraId="16E85E8F" w14:textId="77777777" w:rsidR="00B07DD0" w:rsidRPr="007053D8" w:rsidRDefault="00B07DD0" w:rsidP="009527CE">
            <w:pPr>
              <w:spacing w:after="0" w:line="240" w:lineRule="auto"/>
              <w:ind w:left="0" w:firstLine="0"/>
              <w:jc w:val="center"/>
              <w:rPr>
                <w:sz w:val="22"/>
              </w:rPr>
            </w:pPr>
            <w:r w:rsidRPr="007053D8">
              <w:rPr>
                <w:sz w:val="22"/>
              </w:rPr>
              <w:t>2.11</w:t>
            </w:r>
          </w:p>
        </w:tc>
      </w:tr>
      <w:tr w:rsidR="00B07DD0" w:rsidRPr="007053D8" w14:paraId="23692280" w14:textId="77777777" w:rsidTr="009527CE">
        <w:trPr>
          <w:trHeight w:val="360"/>
        </w:trPr>
        <w:tc>
          <w:tcPr>
            <w:tcW w:w="2352" w:type="dxa"/>
            <w:gridSpan w:val="2"/>
            <w:vMerge/>
            <w:tcBorders>
              <w:top w:val="nil"/>
              <w:left w:val="nil"/>
              <w:bottom w:val="single" w:sz="4" w:space="0" w:color="000000"/>
              <w:right w:val="nil"/>
            </w:tcBorders>
            <w:vAlign w:val="center"/>
            <w:hideMark/>
          </w:tcPr>
          <w:p w14:paraId="345205FC" w14:textId="77777777" w:rsidR="00B07DD0" w:rsidRPr="007053D8" w:rsidRDefault="00B07DD0" w:rsidP="009527CE">
            <w:pPr>
              <w:spacing w:after="0" w:line="240" w:lineRule="auto"/>
              <w:ind w:left="0" w:firstLine="0"/>
              <w:jc w:val="left"/>
              <w:rPr>
                <w:sz w:val="22"/>
              </w:rPr>
            </w:pPr>
          </w:p>
        </w:tc>
        <w:tc>
          <w:tcPr>
            <w:tcW w:w="2036" w:type="dxa"/>
            <w:vMerge/>
            <w:tcBorders>
              <w:top w:val="nil"/>
              <w:left w:val="nil"/>
              <w:bottom w:val="single" w:sz="4" w:space="0" w:color="000000"/>
              <w:right w:val="nil"/>
            </w:tcBorders>
            <w:vAlign w:val="center"/>
            <w:hideMark/>
          </w:tcPr>
          <w:p w14:paraId="49BC6625" w14:textId="77777777" w:rsidR="00B07DD0" w:rsidRPr="007053D8" w:rsidRDefault="00B07DD0" w:rsidP="009527CE">
            <w:pPr>
              <w:spacing w:after="0" w:line="240" w:lineRule="auto"/>
              <w:ind w:left="0" w:firstLine="0"/>
              <w:jc w:val="left"/>
              <w:rPr>
                <w:sz w:val="22"/>
              </w:rPr>
            </w:pPr>
          </w:p>
        </w:tc>
        <w:tc>
          <w:tcPr>
            <w:tcW w:w="2226" w:type="dxa"/>
            <w:vMerge/>
            <w:tcBorders>
              <w:top w:val="nil"/>
              <w:left w:val="nil"/>
              <w:bottom w:val="single" w:sz="4" w:space="0" w:color="000000"/>
              <w:right w:val="nil"/>
            </w:tcBorders>
            <w:vAlign w:val="center"/>
            <w:hideMark/>
          </w:tcPr>
          <w:p w14:paraId="5BA76BDC" w14:textId="77777777" w:rsidR="00B07DD0" w:rsidRPr="007053D8" w:rsidRDefault="00B07DD0" w:rsidP="009527CE">
            <w:pPr>
              <w:spacing w:after="0" w:line="240" w:lineRule="auto"/>
              <w:ind w:left="0" w:firstLine="0"/>
              <w:jc w:val="left"/>
              <w:rPr>
                <w:sz w:val="22"/>
              </w:rPr>
            </w:pPr>
          </w:p>
        </w:tc>
        <w:tc>
          <w:tcPr>
            <w:tcW w:w="1552" w:type="dxa"/>
            <w:tcBorders>
              <w:top w:val="nil"/>
              <w:left w:val="nil"/>
              <w:bottom w:val="single" w:sz="4" w:space="0" w:color="auto"/>
              <w:right w:val="single" w:sz="4" w:space="0" w:color="auto"/>
            </w:tcBorders>
            <w:shd w:val="clear" w:color="auto" w:fill="auto"/>
            <w:noWrap/>
            <w:vAlign w:val="center"/>
            <w:hideMark/>
          </w:tcPr>
          <w:p w14:paraId="40E1CFA2" w14:textId="77777777" w:rsidR="00B07DD0" w:rsidRPr="007053D8" w:rsidRDefault="00B07DD0" w:rsidP="009527CE">
            <w:pPr>
              <w:spacing w:after="0" w:line="240" w:lineRule="auto"/>
              <w:ind w:left="0" w:firstLine="0"/>
              <w:jc w:val="center"/>
              <w:rPr>
                <w:sz w:val="22"/>
              </w:rPr>
            </w:pPr>
            <w:r w:rsidRPr="007053D8">
              <w:rPr>
                <w:sz w:val="22"/>
              </w:rPr>
              <w:t>Not Included</w:t>
            </w:r>
          </w:p>
        </w:tc>
        <w:tc>
          <w:tcPr>
            <w:tcW w:w="1341" w:type="dxa"/>
            <w:vMerge/>
            <w:tcBorders>
              <w:top w:val="nil"/>
              <w:left w:val="nil"/>
              <w:bottom w:val="single" w:sz="4" w:space="0" w:color="000000"/>
              <w:right w:val="nil"/>
            </w:tcBorders>
            <w:vAlign w:val="center"/>
            <w:hideMark/>
          </w:tcPr>
          <w:p w14:paraId="31E7453B" w14:textId="77777777" w:rsidR="00B07DD0" w:rsidRPr="007053D8" w:rsidRDefault="00B07DD0" w:rsidP="009527CE">
            <w:pPr>
              <w:spacing w:after="0" w:line="240" w:lineRule="auto"/>
              <w:ind w:left="0" w:firstLine="0"/>
              <w:jc w:val="left"/>
              <w:rPr>
                <w:sz w:val="22"/>
              </w:rPr>
            </w:pPr>
          </w:p>
        </w:tc>
        <w:tc>
          <w:tcPr>
            <w:tcW w:w="1411" w:type="dxa"/>
            <w:vMerge/>
            <w:tcBorders>
              <w:top w:val="nil"/>
              <w:left w:val="nil"/>
              <w:bottom w:val="single" w:sz="4" w:space="0" w:color="000000"/>
              <w:right w:val="nil"/>
            </w:tcBorders>
            <w:vAlign w:val="center"/>
            <w:hideMark/>
          </w:tcPr>
          <w:p w14:paraId="1057B7F0" w14:textId="77777777" w:rsidR="00B07DD0" w:rsidRPr="007053D8" w:rsidRDefault="00B07DD0" w:rsidP="009527CE">
            <w:pPr>
              <w:spacing w:after="0" w:line="240" w:lineRule="auto"/>
              <w:ind w:left="0" w:firstLine="0"/>
              <w:jc w:val="left"/>
              <w:rPr>
                <w:sz w:val="22"/>
              </w:rPr>
            </w:pPr>
          </w:p>
        </w:tc>
        <w:tc>
          <w:tcPr>
            <w:tcW w:w="1350" w:type="dxa"/>
            <w:vMerge/>
            <w:tcBorders>
              <w:top w:val="nil"/>
              <w:left w:val="nil"/>
              <w:bottom w:val="single" w:sz="4" w:space="0" w:color="000000"/>
              <w:right w:val="nil"/>
            </w:tcBorders>
            <w:vAlign w:val="center"/>
            <w:hideMark/>
          </w:tcPr>
          <w:p w14:paraId="10381AF4" w14:textId="77777777" w:rsidR="00B07DD0" w:rsidRPr="007053D8" w:rsidRDefault="00B07DD0" w:rsidP="009527CE">
            <w:pPr>
              <w:spacing w:after="0" w:line="240" w:lineRule="auto"/>
              <w:ind w:left="0" w:firstLine="0"/>
              <w:jc w:val="left"/>
              <w:rPr>
                <w:sz w:val="22"/>
              </w:rPr>
            </w:pPr>
          </w:p>
        </w:tc>
        <w:tc>
          <w:tcPr>
            <w:tcW w:w="1524" w:type="dxa"/>
            <w:tcBorders>
              <w:top w:val="nil"/>
              <w:left w:val="nil"/>
              <w:bottom w:val="single" w:sz="4" w:space="0" w:color="auto"/>
              <w:right w:val="nil"/>
            </w:tcBorders>
            <w:shd w:val="clear" w:color="auto" w:fill="auto"/>
            <w:noWrap/>
            <w:vAlign w:val="center"/>
            <w:hideMark/>
          </w:tcPr>
          <w:p w14:paraId="536EAEEC" w14:textId="77777777" w:rsidR="00B07DD0" w:rsidRPr="007053D8" w:rsidRDefault="00B07DD0" w:rsidP="009527CE">
            <w:pPr>
              <w:spacing w:after="0" w:line="240" w:lineRule="auto"/>
              <w:ind w:left="0" w:firstLine="0"/>
              <w:jc w:val="center"/>
              <w:rPr>
                <w:sz w:val="22"/>
              </w:rPr>
            </w:pPr>
            <w:r w:rsidRPr="007053D8">
              <w:rPr>
                <w:sz w:val="22"/>
              </w:rPr>
              <w:t>0.98</w:t>
            </w:r>
          </w:p>
        </w:tc>
        <w:tc>
          <w:tcPr>
            <w:tcW w:w="1250" w:type="dxa"/>
            <w:tcBorders>
              <w:top w:val="nil"/>
              <w:left w:val="nil"/>
              <w:bottom w:val="single" w:sz="4" w:space="0" w:color="auto"/>
              <w:right w:val="nil"/>
            </w:tcBorders>
            <w:vAlign w:val="center"/>
          </w:tcPr>
          <w:p w14:paraId="58397AFC" w14:textId="77777777" w:rsidR="00B07DD0" w:rsidRPr="007053D8" w:rsidRDefault="00B07DD0" w:rsidP="009527CE">
            <w:pPr>
              <w:spacing w:after="0" w:line="240" w:lineRule="auto"/>
              <w:ind w:left="0" w:firstLine="0"/>
              <w:jc w:val="center"/>
              <w:rPr>
                <w:sz w:val="22"/>
              </w:rPr>
            </w:pPr>
            <w:r w:rsidRPr="007053D8">
              <w:rPr>
                <w:sz w:val="22"/>
              </w:rPr>
              <w:t>0.32</w:t>
            </w:r>
          </w:p>
        </w:tc>
        <w:tc>
          <w:tcPr>
            <w:tcW w:w="2088" w:type="dxa"/>
            <w:tcBorders>
              <w:top w:val="nil"/>
              <w:left w:val="nil"/>
              <w:bottom w:val="single" w:sz="4" w:space="0" w:color="auto"/>
              <w:right w:val="single" w:sz="4" w:space="0" w:color="auto"/>
            </w:tcBorders>
            <w:shd w:val="clear" w:color="auto" w:fill="auto"/>
            <w:noWrap/>
            <w:vAlign w:val="center"/>
            <w:hideMark/>
          </w:tcPr>
          <w:p w14:paraId="302FFAED" w14:textId="77777777" w:rsidR="00B07DD0" w:rsidRPr="007053D8" w:rsidRDefault="00B07DD0" w:rsidP="009527CE">
            <w:pPr>
              <w:spacing w:after="0" w:line="240" w:lineRule="auto"/>
              <w:ind w:left="0" w:firstLine="0"/>
              <w:jc w:val="center"/>
              <w:rPr>
                <w:sz w:val="22"/>
              </w:rPr>
            </w:pPr>
            <w:r>
              <w:rPr>
                <w:sz w:val="22"/>
              </w:rPr>
              <w:t>1.00</w:t>
            </w:r>
          </w:p>
        </w:tc>
        <w:tc>
          <w:tcPr>
            <w:tcW w:w="686" w:type="dxa"/>
            <w:tcBorders>
              <w:top w:val="nil"/>
              <w:left w:val="nil"/>
              <w:bottom w:val="single" w:sz="4" w:space="0" w:color="auto"/>
              <w:right w:val="nil"/>
            </w:tcBorders>
            <w:shd w:val="clear" w:color="auto" w:fill="auto"/>
            <w:noWrap/>
            <w:vAlign w:val="center"/>
            <w:hideMark/>
          </w:tcPr>
          <w:p w14:paraId="3BBA26B9" w14:textId="77777777" w:rsidR="00B07DD0" w:rsidRPr="007053D8" w:rsidRDefault="00B07DD0" w:rsidP="009527CE">
            <w:pPr>
              <w:spacing w:after="0" w:line="240" w:lineRule="auto"/>
              <w:ind w:left="0" w:firstLine="0"/>
              <w:jc w:val="center"/>
              <w:rPr>
                <w:sz w:val="22"/>
              </w:rPr>
            </w:pPr>
            <w:r w:rsidRPr="007053D8">
              <w:rPr>
                <w:sz w:val="22"/>
              </w:rPr>
              <w:t>1.26</w:t>
            </w:r>
          </w:p>
        </w:tc>
        <w:tc>
          <w:tcPr>
            <w:tcW w:w="889" w:type="dxa"/>
            <w:tcBorders>
              <w:top w:val="nil"/>
              <w:left w:val="nil"/>
              <w:bottom w:val="single" w:sz="4" w:space="0" w:color="auto"/>
              <w:right w:val="nil"/>
            </w:tcBorders>
            <w:shd w:val="clear" w:color="auto" w:fill="auto"/>
            <w:noWrap/>
            <w:vAlign w:val="center"/>
            <w:hideMark/>
          </w:tcPr>
          <w:p w14:paraId="6F6C4BC4" w14:textId="77777777" w:rsidR="00B07DD0" w:rsidRPr="007053D8" w:rsidRDefault="00B07DD0" w:rsidP="009527CE">
            <w:pPr>
              <w:spacing w:after="0" w:line="240" w:lineRule="auto"/>
              <w:ind w:left="0" w:firstLine="0"/>
              <w:jc w:val="center"/>
              <w:rPr>
                <w:sz w:val="22"/>
              </w:rPr>
            </w:pPr>
            <w:r w:rsidRPr="007053D8">
              <w:rPr>
                <w:sz w:val="22"/>
              </w:rPr>
              <w:t>0.79</w:t>
            </w:r>
          </w:p>
        </w:tc>
        <w:tc>
          <w:tcPr>
            <w:tcW w:w="918" w:type="dxa"/>
            <w:tcBorders>
              <w:top w:val="nil"/>
              <w:left w:val="nil"/>
              <w:bottom w:val="single" w:sz="4" w:space="0" w:color="auto"/>
              <w:right w:val="nil"/>
            </w:tcBorders>
            <w:shd w:val="clear" w:color="auto" w:fill="auto"/>
            <w:noWrap/>
            <w:vAlign w:val="center"/>
            <w:hideMark/>
          </w:tcPr>
          <w:p w14:paraId="28A37FC3" w14:textId="77777777" w:rsidR="00B07DD0" w:rsidRPr="007053D8" w:rsidRDefault="00B07DD0" w:rsidP="009527CE">
            <w:pPr>
              <w:spacing w:after="0" w:line="240" w:lineRule="auto"/>
              <w:ind w:left="0" w:firstLine="0"/>
              <w:jc w:val="center"/>
              <w:rPr>
                <w:sz w:val="22"/>
              </w:rPr>
            </w:pPr>
            <w:r w:rsidRPr="007053D8">
              <w:rPr>
                <w:sz w:val="22"/>
              </w:rPr>
              <w:t>2.01</w:t>
            </w:r>
          </w:p>
        </w:tc>
      </w:tr>
      <w:tr w:rsidR="00B07DD0" w:rsidRPr="007053D8" w14:paraId="73FF39C2" w14:textId="77777777" w:rsidTr="009527CE">
        <w:trPr>
          <w:trHeight w:val="360"/>
        </w:trPr>
        <w:tc>
          <w:tcPr>
            <w:tcW w:w="2352" w:type="dxa"/>
            <w:gridSpan w:val="2"/>
            <w:vMerge w:val="restart"/>
            <w:tcBorders>
              <w:top w:val="nil"/>
              <w:left w:val="nil"/>
              <w:bottom w:val="double" w:sz="6" w:space="0" w:color="000000"/>
              <w:right w:val="nil"/>
            </w:tcBorders>
            <w:shd w:val="clear" w:color="auto" w:fill="auto"/>
            <w:noWrap/>
            <w:vAlign w:val="center"/>
            <w:hideMark/>
          </w:tcPr>
          <w:p w14:paraId="135D46FE" w14:textId="77777777" w:rsidR="00B07DD0" w:rsidRPr="007053D8" w:rsidRDefault="00B07DD0" w:rsidP="009527CE">
            <w:pPr>
              <w:spacing w:after="0" w:line="240" w:lineRule="auto"/>
              <w:ind w:left="0" w:firstLine="0"/>
              <w:jc w:val="center"/>
              <w:rPr>
                <w:sz w:val="22"/>
              </w:rPr>
            </w:pPr>
            <w:r w:rsidRPr="007053D8">
              <w:rPr>
                <w:sz w:val="22"/>
              </w:rPr>
              <w:t xml:space="preserve">Distract. V. Reappraisal </w:t>
            </w:r>
          </w:p>
        </w:tc>
        <w:tc>
          <w:tcPr>
            <w:tcW w:w="2036" w:type="dxa"/>
            <w:vMerge w:val="restart"/>
            <w:tcBorders>
              <w:top w:val="nil"/>
              <w:left w:val="nil"/>
              <w:bottom w:val="double" w:sz="6" w:space="0" w:color="000000"/>
              <w:right w:val="nil"/>
            </w:tcBorders>
            <w:shd w:val="clear" w:color="auto" w:fill="auto"/>
            <w:noWrap/>
            <w:vAlign w:val="center"/>
            <w:hideMark/>
          </w:tcPr>
          <w:p w14:paraId="7C79447A" w14:textId="77777777" w:rsidR="00B07DD0" w:rsidRPr="007053D8" w:rsidRDefault="00B07DD0" w:rsidP="009527CE">
            <w:pPr>
              <w:spacing w:after="0" w:line="240" w:lineRule="auto"/>
              <w:ind w:left="0" w:firstLine="0"/>
              <w:jc w:val="center"/>
              <w:rPr>
                <w:sz w:val="22"/>
              </w:rPr>
            </w:pPr>
            <w:r w:rsidRPr="007053D8">
              <w:rPr>
                <w:sz w:val="22"/>
              </w:rPr>
              <w:t>Negative</w:t>
            </w:r>
          </w:p>
        </w:tc>
        <w:tc>
          <w:tcPr>
            <w:tcW w:w="2226" w:type="dxa"/>
            <w:vMerge w:val="restart"/>
            <w:tcBorders>
              <w:top w:val="nil"/>
              <w:left w:val="nil"/>
              <w:bottom w:val="double" w:sz="6" w:space="0" w:color="000000"/>
              <w:right w:val="nil"/>
            </w:tcBorders>
            <w:shd w:val="clear" w:color="auto" w:fill="auto"/>
            <w:noWrap/>
            <w:vAlign w:val="center"/>
            <w:hideMark/>
          </w:tcPr>
          <w:p w14:paraId="53450417" w14:textId="77777777" w:rsidR="00B07DD0" w:rsidRPr="007053D8" w:rsidRDefault="00B07DD0" w:rsidP="009527CE">
            <w:pPr>
              <w:spacing w:after="0" w:line="240" w:lineRule="auto"/>
              <w:ind w:left="0" w:firstLine="0"/>
              <w:jc w:val="center"/>
              <w:rPr>
                <w:sz w:val="22"/>
              </w:rPr>
            </w:pPr>
            <w:r w:rsidRPr="007053D8">
              <w:rPr>
                <w:sz w:val="22"/>
              </w:rPr>
              <w:t>Immediate</w:t>
            </w:r>
          </w:p>
        </w:tc>
        <w:tc>
          <w:tcPr>
            <w:tcW w:w="1552" w:type="dxa"/>
            <w:tcBorders>
              <w:top w:val="nil"/>
              <w:left w:val="nil"/>
              <w:bottom w:val="nil"/>
              <w:right w:val="single" w:sz="4" w:space="0" w:color="auto"/>
            </w:tcBorders>
            <w:shd w:val="clear" w:color="000000" w:fill="D9D9D9"/>
            <w:noWrap/>
            <w:vAlign w:val="center"/>
            <w:hideMark/>
          </w:tcPr>
          <w:p w14:paraId="19BAC54B" w14:textId="77777777" w:rsidR="00B07DD0" w:rsidRPr="007053D8" w:rsidRDefault="00B07DD0" w:rsidP="009527CE">
            <w:pPr>
              <w:spacing w:after="0" w:line="240" w:lineRule="auto"/>
              <w:ind w:left="0" w:firstLine="0"/>
              <w:jc w:val="center"/>
              <w:rPr>
                <w:sz w:val="22"/>
              </w:rPr>
            </w:pPr>
            <w:r w:rsidRPr="007053D8">
              <w:rPr>
                <w:sz w:val="22"/>
              </w:rPr>
              <w:t>Included</w:t>
            </w:r>
          </w:p>
        </w:tc>
        <w:tc>
          <w:tcPr>
            <w:tcW w:w="1341" w:type="dxa"/>
            <w:vMerge w:val="restart"/>
            <w:tcBorders>
              <w:top w:val="nil"/>
              <w:left w:val="nil"/>
              <w:bottom w:val="double" w:sz="6" w:space="0" w:color="000000"/>
              <w:right w:val="nil"/>
            </w:tcBorders>
            <w:shd w:val="clear" w:color="auto" w:fill="auto"/>
            <w:noWrap/>
            <w:vAlign w:val="center"/>
            <w:hideMark/>
          </w:tcPr>
          <w:p w14:paraId="2D2F870B" w14:textId="77777777" w:rsidR="00B07DD0" w:rsidRPr="007053D8" w:rsidRDefault="00B07DD0" w:rsidP="009527CE">
            <w:pPr>
              <w:spacing w:after="0" w:line="240" w:lineRule="auto"/>
              <w:ind w:left="0" w:firstLine="0"/>
              <w:jc w:val="center"/>
              <w:rPr>
                <w:sz w:val="22"/>
              </w:rPr>
            </w:pPr>
            <w:r w:rsidRPr="007053D8">
              <w:rPr>
                <w:sz w:val="22"/>
              </w:rPr>
              <w:t>63</w:t>
            </w:r>
          </w:p>
        </w:tc>
        <w:tc>
          <w:tcPr>
            <w:tcW w:w="1411" w:type="dxa"/>
            <w:vMerge w:val="restart"/>
            <w:tcBorders>
              <w:top w:val="nil"/>
              <w:left w:val="nil"/>
              <w:bottom w:val="double" w:sz="6" w:space="0" w:color="000000"/>
              <w:right w:val="nil"/>
            </w:tcBorders>
            <w:shd w:val="clear" w:color="auto" w:fill="auto"/>
            <w:noWrap/>
            <w:vAlign w:val="center"/>
            <w:hideMark/>
          </w:tcPr>
          <w:p w14:paraId="135C7EB3" w14:textId="77777777" w:rsidR="00B07DD0" w:rsidRPr="007053D8" w:rsidRDefault="00B07DD0" w:rsidP="009527CE">
            <w:pPr>
              <w:spacing w:after="0" w:line="240" w:lineRule="auto"/>
              <w:ind w:left="0" w:firstLine="0"/>
              <w:jc w:val="center"/>
              <w:rPr>
                <w:sz w:val="22"/>
              </w:rPr>
            </w:pPr>
            <w:r w:rsidRPr="007053D8">
              <w:rPr>
                <w:sz w:val="22"/>
              </w:rPr>
              <w:t>155</w:t>
            </w:r>
          </w:p>
        </w:tc>
        <w:tc>
          <w:tcPr>
            <w:tcW w:w="1350" w:type="dxa"/>
            <w:vMerge w:val="restart"/>
            <w:tcBorders>
              <w:top w:val="nil"/>
              <w:left w:val="nil"/>
              <w:bottom w:val="double" w:sz="6" w:space="0" w:color="000000"/>
              <w:right w:val="nil"/>
            </w:tcBorders>
            <w:shd w:val="clear" w:color="auto" w:fill="auto"/>
            <w:noWrap/>
            <w:vAlign w:val="center"/>
            <w:hideMark/>
          </w:tcPr>
          <w:p w14:paraId="5E755A5D" w14:textId="77777777" w:rsidR="00B07DD0" w:rsidRPr="007053D8" w:rsidRDefault="00B07DD0" w:rsidP="009527CE">
            <w:pPr>
              <w:spacing w:after="0" w:line="240" w:lineRule="auto"/>
              <w:ind w:left="0" w:firstLine="0"/>
              <w:jc w:val="center"/>
              <w:rPr>
                <w:sz w:val="22"/>
              </w:rPr>
            </w:pPr>
            <w:r w:rsidRPr="007053D8">
              <w:rPr>
                <w:sz w:val="22"/>
              </w:rPr>
              <w:t>4.01</w:t>
            </w:r>
          </w:p>
        </w:tc>
        <w:tc>
          <w:tcPr>
            <w:tcW w:w="1524" w:type="dxa"/>
            <w:tcBorders>
              <w:top w:val="nil"/>
              <w:left w:val="nil"/>
              <w:bottom w:val="nil"/>
              <w:right w:val="nil"/>
            </w:tcBorders>
            <w:shd w:val="clear" w:color="000000" w:fill="D9D9D9"/>
            <w:noWrap/>
            <w:vAlign w:val="center"/>
            <w:hideMark/>
          </w:tcPr>
          <w:p w14:paraId="57188A9C" w14:textId="77777777" w:rsidR="00B07DD0" w:rsidRPr="007053D8" w:rsidRDefault="00B07DD0" w:rsidP="009527CE">
            <w:pPr>
              <w:spacing w:after="0" w:line="240" w:lineRule="auto"/>
              <w:ind w:left="0" w:firstLine="0"/>
              <w:jc w:val="center"/>
              <w:rPr>
                <w:sz w:val="22"/>
              </w:rPr>
            </w:pPr>
            <w:r w:rsidRPr="007053D8">
              <w:rPr>
                <w:sz w:val="22"/>
              </w:rPr>
              <w:t>-</w:t>
            </w:r>
          </w:p>
        </w:tc>
        <w:tc>
          <w:tcPr>
            <w:tcW w:w="1250" w:type="dxa"/>
            <w:tcBorders>
              <w:top w:val="nil"/>
              <w:left w:val="nil"/>
              <w:bottom w:val="nil"/>
              <w:right w:val="nil"/>
            </w:tcBorders>
            <w:shd w:val="clear" w:color="000000" w:fill="D9D9D9"/>
            <w:vAlign w:val="center"/>
          </w:tcPr>
          <w:p w14:paraId="638A60EE" w14:textId="77777777" w:rsidR="00B07DD0" w:rsidRPr="007053D8" w:rsidRDefault="00B07DD0" w:rsidP="009527CE">
            <w:pPr>
              <w:spacing w:after="0" w:line="240" w:lineRule="auto"/>
              <w:ind w:left="0" w:firstLine="0"/>
              <w:jc w:val="center"/>
              <w:rPr>
                <w:sz w:val="22"/>
              </w:rPr>
            </w:pPr>
            <w:r w:rsidRPr="007053D8">
              <w:rPr>
                <w:sz w:val="22"/>
              </w:rPr>
              <w:t>-</w:t>
            </w:r>
          </w:p>
        </w:tc>
        <w:tc>
          <w:tcPr>
            <w:tcW w:w="2088" w:type="dxa"/>
            <w:tcBorders>
              <w:top w:val="nil"/>
              <w:left w:val="nil"/>
              <w:bottom w:val="nil"/>
              <w:right w:val="single" w:sz="4" w:space="0" w:color="auto"/>
            </w:tcBorders>
            <w:shd w:val="clear" w:color="000000" w:fill="D9D9D9"/>
            <w:noWrap/>
            <w:vAlign w:val="center"/>
            <w:hideMark/>
          </w:tcPr>
          <w:p w14:paraId="4EB577A2" w14:textId="77777777" w:rsidR="00B07DD0" w:rsidRPr="007053D8" w:rsidRDefault="00B07DD0" w:rsidP="009527CE">
            <w:pPr>
              <w:spacing w:after="0" w:line="240" w:lineRule="auto"/>
              <w:ind w:left="0" w:firstLine="0"/>
              <w:jc w:val="center"/>
              <w:rPr>
                <w:sz w:val="22"/>
              </w:rPr>
            </w:pPr>
            <w:r w:rsidRPr="007053D8">
              <w:rPr>
                <w:sz w:val="22"/>
              </w:rPr>
              <w:t>-</w:t>
            </w:r>
          </w:p>
        </w:tc>
        <w:tc>
          <w:tcPr>
            <w:tcW w:w="686" w:type="dxa"/>
            <w:tcBorders>
              <w:top w:val="nil"/>
              <w:left w:val="nil"/>
              <w:bottom w:val="nil"/>
              <w:right w:val="nil"/>
            </w:tcBorders>
            <w:shd w:val="clear" w:color="000000" w:fill="D9D9D9"/>
            <w:noWrap/>
            <w:vAlign w:val="center"/>
            <w:hideMark/>
          </w:tcPr>
          <w:p w14:paraId="22BB4E48" w14:textId="77777777" w:rsidR="00B07DD0" w:rsidRPr="007053D8" w:rsidRDefault="00B07DD0" w:rsidP="009527CE">
            <w:pPr>
              <w:spacing w:after="0" w:line="240" w:lineRule="auto"/>
              <w:ind w:left="0" w:firstLine="0"/>
              <w:jc w:val="center"/>
              <w:rPr>
                <w:sz w:val="22"/>
              </w:rPr>
            </w:pPr>
            <w:r w:rsidRPr="007053D8">
              <w:rPr>
                <w:sz w:val="22"/>
              </w:rPr>
              <w:t>1.33</w:t>
            </w:r>
          </w:p>
        </w:tc>
        <w:tc>
          <w:tcPr>
            <w:tcW w:w="889" w:type="dxa"/>
            <w:tcBorders>
              <w:top w:val="nil"/>
              <w:left w:val="nil"/>
              <w:bottom w:val="nil"/>
              <w:right w:val="nil"/>
            </w:tcBorders>
            <w:shd w:val="clear" w:color="000000" w:fill="D9D9D9"/>
            <w:noWrap/>
            <w:vAlign w:val="center"/>
            <w:hideMark/>
          </w:tcPr>
          <w:p w14:paraId="06B6DE20" w14:textId="77777777" w:rsidR="00B07DD0" w:rsidRPr="007053D8" w:rsidRDefault="00B07DD0" w:rsidP="009527CE">
            <w:pPr>
              <w:spacing w:after="0" w:line="240" w:lineRule="auto"/>
              <w:ind w:left="0" w:firstLine="0"/>
              <w:jc w:val="center"/>
              <w:rPr>
                <w:sz w:val="22"/>
              </w:rPr>
            </w:pPr>
            <w:r w:rsidRPr="007053D8">
              <w:rPr>
                <w:sz w:val="22"/>
              </w:rPr>
              <w:t>0.77</w:t>
            </w:r>
          </w:p>
        </w:tc>
        <w:tc>
          <w:tcPr>
            <w:tcW w:w="918" w:type="dxa"/>
            <w:tcBorders>
              <w:top w:val="nil"/>
              <w:left w:val="nil"/>
              <w:bottom w:val="nil"/>
              <w:right w:val="nil"/>
            </w:tcBorders>
            <w:shd w:val="clear" w:color="000000" w:fill="D9D9D9"/>
            <w:noWrap/>
            <w:vAlign w:val="center"/>
            <w:hideMark/>
          </w:tcPr>
          <w:p w14:paraId="30742D6B" w14:textId="77777777" w:rsidR="00B07DD0" w:rsidRPr="007053D8" w:rsidRDefault="00B07DD0" w:rsidP="009527CE">
            <w:pPr>
              <w:spacing w:after="0" w:line="240" w:lineRule="auto"/>
              <w:ind w:left="0" w:firstLine="0"/>
              <w:jc w:val="center"/>
              <w:rPr>
                <w:sz w:val="22"/>
              </w:rPr>
            </w:pPr>
            <w:r w:rsidRPr="007053D8">
              <w:rPr>
                <w:sz w:val="22"/>
              </w:rPr>
              <w:t>2.28</w:t>
            </w:r>
          </w:p>
        </w:tc>
      </w:tr>
      <w:tr w:rsidR="00B07DD0" w:rsidRPr="007053D8" w14:paraId="3360F056" w14:textId="77777777" w:rsidTr="009527CE">
        <w:trPr>
          <w:trHeight w:val="360"/>
        </w:trPr>
        <w:tc>
          <w:tcPr>
            <w:tcW w:w="2352" w:type="dxa"/>
            <w:gridSpan w:val="2"/>
            <w:vMerge/>
            <w:tcBorders>
              <w:top w:val="nil"/>
              <w:left w:val="nil"/>
              <w:bottom w:val="double" w:sz="6" w:space="0" w:color="000000"/>
              <w:right w:val="nil"/>
            </w:tcBorders>
            <w:vAlign w:val="center"/>
            <w:hideMark/>
          </w:tcPr>
          <w:p w14:paraId="2157CA27" w14:textId="77777777" w:rsidR="00B07DD0" w:rsidRPr="007053D8" w:rsidRDefault="00B07DD0" w:rsidP="009527CE">
            <w:pPr>
              <w:spacing w:after="0" w:line="240" w:lineRule="auto"/>
              <w:ind w:left="0" w:firstLine="0"/>
              <w:jc w:val="left"/>
              <w:rPr>
                <w:sz w:val="22"/>
              </w:rPr>
            </w:pPr>
          </w:p>
        </w:tc>
        <w:tc>
          <w:tcPr>
            <w:tcW w:w="2036" w:type="dxa"/>
            <w:vMerge/>
            <w:tcBorders>
              <w:top w:val="nil"/>
              <w:left w:val="nil"/>
              <w:bottom w:val="double" w:sz="6" w:space="0" w:color="000000"/>
              <w:right w:val="nil"/>
            </w:tcBorders>
            <w:vAlign w:val="center"/>
            <w:hideMark/>
          </w:tcPr>
          <w:p w14:paraId="3FF30B9E" w14:textId="77777777" w:rsidR="00B07DD0" w:rsidRPr="007053D8" w:rsidRDefault="00B07DD0" w:rsidP="009527CE">
            <w:pPr>
              <w:spacing w:after="0" w:line="240" w:lineRule="auto"/>
              <w:ind w:left="0" w:firstLine="0"/>
              <w:jc w:val="left"/>
              <w:rPr>
                <w:sz w:val="22"/>
              </w:rPr>
            </w:pPr>
          </w:p>
        </w:tc>
        <w:tc>
          <w:tcPr>
            <w:tcW w:w="2226" w:type="dxa"/>
            <w:vMerge/>
            <w:tcBorders>
              <w:top w:val="nil"/>
              <w:left w:val="nil"/>
              <w:bottom w:val="double" w:sz="6" w:space="0" w:color="000000"/>
              <w:right w:val="nil"/>
            </w:tcBorders>
            <w:vAlign w:val="center"/>
            <w:hideMark/>
          </w:tcPr>
          <w:p w14:paraId="6A1170E1" w14:textId="77777777" w:rsidR="00B07DD0" w:rsidRPr="007053D8" w:rsidRDefault="00B07DD0" w:rsidP="009527CE">
            <w:pPr>
              <w:spacing w:after="0" w:line="240" w:lineRule="auto"/>
              <w:ind w:left="0" w:firstLine="0"/>
              <w:jc w:val="left"/>
              <w:rPr>
                <w:sz w:val="22"/>
              </w:rPr>
            </w:pPr>
          </w:p>
        </w:tc>
        <w:tc>
          <w:tcPr>
            <w:tcW w:w="1552" w:type="dxa"/>
            <w:tcBorders>
              <w:top w:val="nil"/>
              <w:left w:val="nil"/>
              <w:bottom w:val="double" w:sz="6" w:space="0" w:color="auto"/>
              <w:right w:val="single" w:sz="4" w:space="0" w:color="auto"/>
            </w:tcBorders>
            <w:shd w:val="clear" w:color="auto" w:fill="auto"/>
            <w:noWrap/>
            <w:vAlign w:val="center"/>
            <w:hideMark/>
          </w:tcPr>
          <w:p w14:paraId="3A2468B1" w14:textId="77777777" w:rsidR="00B07DD0" w:rsidRPr="007053D8" w:rsidRDefault="00B07DD0" w:rsidP="009527CE">
            <w:pPr>
              <w:spacing w:after="0" w:line="240" w:lineRule="auto"/>
              <w:ind w:left="0" w:firstLine="0"/>
              <w:jc w:val="center"/>
              <w:rPr>
                <w:sz w:val="22"/>
              </w:rPr>
            </w:pPr>
            <w:r w:rsidRPr="007053D8">
              <w:rPr>
                <w:sz w:val="22"/>
              </w:rPr>
              <w:t>Not Included</w:t>
            </w:r>
          </w:p>
        </w:tc>
        <w:tc>
          <w:tcPr>
            <w:tcW w:w="1341" w:type="dxa"/>
            <w:vMerge/>
            <w:tcBorders>
              <w:top w:val="nil"/>
              <w:left w:val="nil"/>
              <w:bottom w:val="double" w:sz="6" w:space="0" w:color="000000"/>
              <w:right w:val="nil"/>
            </w:tcBorders>
            <w:vAlign w:val="center"/>
            <w:hideMark/>
          </w:tcPr>
          <w:p w14:paraId="21D118EE" w14:textId="77777777" w:rsidR="00B07DD0" w:rsidRPr="007053D8" w:rsidRDefault="00B07DD0" w:rsidP="009527CE">
            <w:pPr>
              <w:spacing w:after="0" w:line="240" w:lineRule="auto"/>
              <w:ind w:left="0" w:firstLine="0"/>
              <w:jc w:val="left"/>
              <w:rPr>
                <w:sz w:val="22"/>
              </w:rPr>
            </w:pPr>
          </w:p>
        </w:tc>
        <w:tc>
          <w:tcPr>
            <w:tcW w:w="1411" w:type="dxa"/>
            <w:vMerge/>
            <w:tcBorders>
              <w:top w:val="nil"/>
              <w:left w:val="nil"/>
              <w:bottom w:val="double" w:sz="6" w:space="0" w:color="000000"/>
              <w:right w:val="nil"/>
            </w:tcBorders>
            <w:vAlign w:val="center"/>
            <w:hideMark/>
          </w:tcPr>
          <w:p w14:paraId="6DB63900" w14:textId="77777777" w:rsidR="00B07DD0" w:rsidRPr="007053D8" w:rsidRDefault="00B07DD0" w:rsidP="009527CE">
            <w:pPr>
              <w:spacing w:after="0" w:line="240" w:lineRule="auto"/>
              <w:ind w:left="0" w:firstLine="0"/>
              <w:jc w:val="left"/>
              <w:rPr>
                <w:sz w:val="22"/>
              </w:rPr>
            </w:pPr>
          </w:p>
        </w:tc>
        <w:tc>
          <w:tcPr>
            <w:tcW w:w="1350" w:type="dxa"/>
            <w:vMerge/>
            <w:tcBorders>
              <w:top w:val="nil"/>
              <w:left w:val="nil"/>
              <w:bottom w:val="double" w:sz="6" w:space="0" w:color="000000"/>
              <w:right w:val="nil"/>
            </w:tcBorders>
            <w:vAlign w:val="center"/>
            <w:hideMark/>
          </w:tcPr>
          <w:p w14:paraId="02B5AD57" w14:textId="77777777" w:rsidR="00B07DD0" w:rsidRPr="007053D8" w:rsidRDefault="00B07DD0" w:rsidP="009527CE">
            <w:pPr>
              <w:spacing w:after="0" w:line="240" w:lineRule="auto"/>
              <w:ind w:left="0" w:firstLine="0"/>
              <w:jc w:val="left"/>
              <w:rPr>
                <w:sz w:val="22"/>
              </w:rPr>
            </w:pPr>
          </w:p>
        </w:tc>
        <w:tc>
          <w:tcPr>
            <w:tcW w:w="1524" w:type="dxa"/>
            <w:tcBorders>
              <w:top w:val="nil"/>
              <w:left w:val="nil"/>
              <w:bottom w:val="double" w:sz="6" w:space="0" w:color="auto"/>
              <w:right w:val="nil"/>
            </w:tcBorders>
            <w:shd w:val="clear" w:color="auto" w:fill="auto"/>
            <w:noWrap/>
            <w:vAlign w:val="center"/>
            <w:hideMark/>
          </w:tcPr>
          <w:p w14:paraId="0EC78B4B" w14:textId="77777777" w:rsidR="00B07DD0" w:rsidRPr="007053D8" w:rsidRDefault="00B07DD0" w:rsidP="009527CE">
            <w:pPr>
              <w:spacing w:after="0" w:line="240" w:lineRule="auto"/>
              <w:ind w:left="0" w:firstLine="0"/>
              <w:jc w:val="center"/>
              <w:rPr>
                <w:sz w:val="22"/>
              </w:rPr>
            </w:pPr>
            <w:r w:rsidRPr="007053D8">
              <w:rPr>
                <w:sz w:val="22"/>
              </w:rPr>
              <w:t>1.17</w:t>
            </w:r>
          </w:p>
        </w:tc>
        <w:tc>
          <w:tcPr>
            <w:tcW w:w="1250" w:type="dxa"/>
            <w:tcBorders>
              <w:top w:val="nil"/>
              <w:left w:val="nil"/>
              <w:bottom w:val="double" w:sz="6" w:space="0" w:color="auto"/>
              <w:right w:val="nil"/>
            </w:tcBorders>
            <w:vAlign w:val="center"/>
          </w:tcPr>
          <w:p w14:paraId="183787EE" w14:textId="77777777" w:rsidR="00B07DD0" w:rsidRPr="007053D8" w:rsidRDefault="00B07DD0" w:rsidP="009527CE">
            <w:pPr>
              <w:spacing w:after="0" w:line="240" w:lineRule="auto"/>
              <w:ind w:left="0" w:firstLine="0"/>
              <w:jc w:val="center"/>
              <w:rPr>
                <w:sz w:val="22"/>
              </w:rPr>
            </w:pPr>
            <w:r w:rsidRPr="007053D8">
              <w:rPr>
                <w:sz w:val="22"/>
              </w:rPr>
              <w:t>0.28</w:t>
            </w:r>
          </w:p>
        </w:tc>
        <w:tc>
          <w:tcPr>
            <w:tcW w:w="2088" w:type="dxa"/>
            <w:tcBorders>
              <w:top w:val="nil"/>
              <w:left w:val="nil"/>
              <w:bottom w:val="double" w:sz="6" w:space="0" w:color="auto"/>
              <w:right w:val="single" w:sz="4" w:space="0" w:color="auto"/>
            </w:tcBorders>
            <w:shd w:val="clear" w:color="auto" w:fill="auto"/>
            <w:noWrap/>
            <w:vAlign w:val="center"/>
            <w:hideMark/>
          </w:tcPr>
          <w:p w14:paraId="25666B1D" w14:textId="77777777" w:rsidR="00B07DD0" w:rsidRPr="007053D8" w:rsidRDefault="00B07DD0" w:rsidP="009527CE">
            <w:pPr>
              <w:spacing w:after="0" w:line="240" w:lineRule="auto"/>
              <w:ind w:left="0" w:firstLine="0"/>
              <w:jc w:val="center"/>
              <w:rPr>
                <w:sz w:val="22"/>
              </w:rPr>
            </w:pPr>
            <w:r>
              <w:rPr>
                <w:sz w:val="22"/>
              </w:rPr>
              <w:t>1.00</w:t>
            </w:r>
          </w:p>
        </w:tc>
        <w:tc>
          <w:tcPr>
            <w:tcW w:w="686" w:type="dxa"/>
            <w:tcBorders>
              <w:top w:val="nil"/>
              <w:left w:val="nil"/>
              <w:bottom w:val="double" w:sz="6" w:space="0" w:color="auto"/>
              <w:right w:val="nil"/>
            </w:tcBorders>
            <w:shd w:val="clear" w:color="auto" w:fill="auto"/>
            <w:noWrap/>
            <w:vAlign w:val="center"/>
            <w:hideMark/>
          </w:tcPr>
          <w:p w14:paraId="6527ED1B" w14:textId="77777777" w:rsidR="00B07DD0" w:rsidRPr="007053D8" w:rsidRDefault="00B07DD0" w:rsidP="009527CE">
            <w:pPr>
              <w:spacing w:after="0" w:line="240" w:lineRule="auto"/>
              <w:ind w:left="0" w:firstLine="0"/>
              <w:jc w:val="center"/>
              <w:rPr>
                <w:sz w:val="22"/>
              </w:rPr>
            </w:pPr>
            <w:r w:rsidRPr="007053D8">
              <w:rPr>
                <w:sz w:val="22"/>
              </w:rPr>
              <w:t>1.30</w:t>
            </w:r>
          </w:p>
        </w:tc>
        <w:tc>
          <w:tcPr>
            <w:tcW w:w="889" w:type="dxa"/>
            <w:tcBorders>
              <w:top w:val="nil"/>
              <w:left w:val="nil"/>
              <w:bottom w:val="double" w:sz="6" w:space="0" w:color="auto"/>
              <w:right w:val="nil"/>
            </w:tcBorders>
            <w:shd w:val="clear" w:color="auto" w:fill="auto"/>
            <w:noWrap/>
            <w:vAlign w:val="center"/>
            <w:hideMark/>
          </w:tcPr>
          <w:p w14:paraId="47C02024" w14:textId="77777777" w:rsidR="00B07DD0" w:rsidRPr="007053D8" w:rsidRDefault="00B07DD0" w:rsidP="009527CE">
            <w:pPr>
              <w:spacing w:after="0" w:line="240" w:lineRule="auto"/>
              <w:ind w:left="0" w:firstLine="0"/>
              <w:jc w:val="center"/>
              <w:rPr>
                <w:sz w:val="22"/>
              </w:rPr>
            </w:pPr>
            <w:r w:rsidRPr="007053D8">
              <w:rPr>
                <w:sz w:val="22"/>
              </w:rPr>
              <w:t>0.81</w:t>
            </w:r>
          </w:p>
        </w:tc>
        <w:tc>
          <w:tcPr>
            <w:tcW w:w="918" w:type="dxa"/>
            <w:tcBorders>
              <w:top w:val="nil"/>
              <w:left w:val="nil"/>
              <w:bottom w:val="double" w:sz="6" w:space="0" w:color="auto"/>
              <w:right w:val="nil"/>
            </w:tcBorders>
            <w:shd w:val="clear" w:color="auto" w:fill="auto"/>
            <w:noWrap/>
            <w:vAlign w:val="center"/>
            <w:hideMark/>
          </w:tcPr>
          <w:p w14:paraId="309DDE2B" w14:textId="77777777" w:rsidR="00B07DD0" w:rsidRPr="007053D8" w:rsidRDefault="00B07DD0" w:rsidP="009527CE">
            <w:pPr>
              <w:spacing w:after="0" w:line="240" w:lineRule="auto"/>
              <w:ind w:left="0" w:firstLine="0"/>
              <w:jc w:val="center"/>
              <w:rPr>
                <w:sz w:val="22"/>
              </w:rPr>
            </w:pPr>
            <w:r w:rsidRPr="007053D8">
              <w:rPr>
                <w:sz w:val="22"/>
              </w:rPr>
              <w:t>2.09</w:t>
            </w:r>
          </w:p>
        </w:tc>
      </w:tr>
      <w:tr w:rsidR="00B07DD0" w:rsidRPr="007053D8" w14:paraId="367C4464" w14:textId="77777777" w:rsidTr="009527CE">
        <w:trPr>
          <w:trHeight w:val="315"/>
        </w:trPr>
        <w:tc>
          <w:tcPr>
            <w:tcW w:w="4388" w:type="dxa"/>
            <w:gridSpan w:val="3"/>
            <w:tcBorders>
              <w:top w:val="nil"/>
              <w:left w:val="nil"/>
              <w:bottom w:val="nil"/>
              <w:right w:val="nil"/>
            </w:tcBorders>
            <w:shd w:val="clear" w:color="000000" w:fill="D9D9D9"/>
            <w:noWrap/>
            <w:vAlign w:val="bottom"/>
            <w:hideMark/>
          </w:tcPr>
          <w:p w14:paraId="28F0EF7B" w14:textId="77777777" w:rsidR="00B07DD0" w:rsidRPr="007053D8" w:rsidRDefault="00B07DD0" w:rsidP="009527CE">
            <w:pPr>
              <w:spacing w:after="0" w:line="240" w:lineRule="auto"/>
              <w:ind w:left="0" w:firstLine="0"/>
              <w:jc w:val="left"/>
              <w:rPr>
                <w:i/>
                <w:iCs/>
                <w:sz w:val="18"/>
                <w:szCs w:val="18"/>
              </w:rPr>
            </w:pPr>
            <w:r w:rsidRPr="007053D8">
              <w:rPr>
                <w:i/>
                <w:iCs/>
                <w:sz w:val="18"/>
                <w:szCs w:val="18"/>
              </w:rPr>
              <w:t>* = p &lt; 0.05</w:t>
            </w:r>
          </w:p>
        </w:tc>
        <w:tc>
          <w:tcPr>
            <w:tcW w:w="2226" w:type="dxa"/>
            <w:tcBorders>
              <w:top w:val="nil"/>
              <w:left w:val="nil"/>
              <w:bottom w:val="nil"/>
              <w:right w:val="nil"/>
            </w:tcBorders>
            <w:shd w:val="clear" w:color="000000" w:fill="D9D9D9"/>
            <w:noWrap/>
            <w:vAlign w:val="bottom"/>
            <w:hideMark/>
          </w:tcPr>
          <w:p w14:paraId="3E200C2A" w14:textId="77777777" w:rsidR="00B07DD0" w:rsidRPr="007053D8" w:rsidRDefault="00B07DD0" w:rsidP="009527CE">
            <w:pPr>
              <w:spacing w:after="0" w:line="240" w:lineRule="auto"/>
              <w:ind w:left="0" w:firstLine="0"/>
              <w:jc w:val="left"/>
              <w:rPr>
                <w:rFonts w:ascii="Calibri" w:hAnsi="Calibri" w:cs="Calibri"/>
                <w:sz w:val="22"/>
              </w:rPr>
            </w:pPr>
            <w:r w:rsidRPr="007053D8">
              <w:rPr>
                <w:rFonts w:ascii="Calibri" w:hAnsi="Calibri" w:cs="Calibri"/>
                <w:sz w:val="22"/>
              </w:rPr>
              <w:t> </w:t>
            </w:r>
          </w:p>
        </w:tc>
        <w:tc>
          <w:tcPr>
            <w:tcW w:w="5654" w:type="dxa"/>
            <w:gridSpan w:val="4"/>
            <w:tcBorders>
              <w:top w:val="nil"/>
              <w:left w:val="nil"/>
              <w:bottom w:val="nil"/>
              <w:right w:val="nil"/>
            </w:tcBorders>
            <w:shd w:val="clear" w:color="000000" w:fill="D9D9D9"/>
            <w:noWrap/>
            <w:vAlign w:val="bottom"/>
            <w:hideMark/>
          </w:tcPr>
          <w:p w14:paraId="6E7F6FDC" w14:textId="77777777" w:rsidR="00B07DD0" w:rsidRPr="007053D8" w:rsidRDefault="00B07DD0" w:rsidP="009527CE">
            <w:pPr>
              <w:spacing w:after="0" w:line="240" w:lineRule="auto"/>
              <w:ind w:left="0" w:firstLine="0"/>
              <w:jc w:val="left"/>
              <w:rPr>
                <w:sz w:val="18"/>
                <w:szCs w:val="18"/>
              </w:rPr>
            </w:pPr>
            <w:r w:rsidRPr="007053D8">
              <w:rPr>
                <w:sz w:val="18"/>
                <w:szCs w:val="18"/>
              </w:rPr>
              <w:t xml:space="preserve">† </w:t>
            </w:r>
            <w:r w:rsidRPr="007053D8">
              <w:rPr>
                <w:i/>
                <w:iCs/>
                <w:sz w:val="18"/>
                <w:szCs w:val="18"/>
              </w:rPr>
              <w:t>Covariates included Sex, Cognitive Load, and ERQ reappraisal subscale</w:t>
            </w:r>
          </w:p>
        </w:tc>
        <w:tc>
          <w:tcPr>
            <w:tcW w:w="1524" w:type="dxa"/>
            <w:tcBorders>
              <w:top w:val="nil"/>
              <w:left w:val="nil"/>
              <w:bottom w:val="nil"/>
              <w:right w:val="nil"/>
            </w:tcBorders>
            <w:shd w:val="clear" w:color="000000" w:fill="D9D9D9"/>
            <w:noWrap/>
            <w:vAlign w:val="center"/>
            <w:hideMark/>
          </w:tcPr>
          <w:p w14:paraId="29F34B80" w14:textId="77777777" w:rsidR="00B07DD0" w:rsidRPr="007053D8" w:rsidRDefault="00B07DD0" w:rsidP="009527CE">
            <w:pPr>
              <w:spacing w:after="0" w:line="240" w:lineRule="auto"/>
              <w:ind w:left="0" w:firstLine="0"/>
              <w:jc w:val="center"/>
              <w:rPr>
                <w:rFonts w:ascii="Calibri" w:hAnsi="Calibri" w:cs="Calibri"/>
                <w:sz w:val="22"/>
              </w:rPr>
            </w:pPr>
            <w:r w:rsidRPr="007053D8">
              <w:rPr>
                <w:rFonts w:ascii="Calibri" w:hAnsi="Calibri" w:cs="Calibri"/>
                <w:sz w:val="22"/>
              </w:rPr>
              <w:t> </w:t>
            </w:r>
          </w:p>
        </w:tc>
        <w:tc>
          <w:tcPr>
            <w:tcW w:w="1250" w:type="dxa"/>
            <w:tcBorders>
              <w:top w:val="nil"/>
              <w:left w:val="nil"/>
              <w:bottom w:val="nil"/>
              <w:right w:val="nil"/>
            </w:tcBorders>
            <w:shd w:val="clear" w:color="000000" w:fill="D9D9D9"/>
          </w:tcPr>
          <w:p w14:paraId="75A43BA6" w14:textId="77777777" w:rsidR="00B07DD0" w:rsidRPr="007053D8" w:rsidRDefault="00B07DD0" w:rsidP="009527CE">
            <w:pPr>
              <w:spacing w:after="0" w:line="240" w:lineRule="auto"/>
              <w:ind w:left="0" w:firstLine="0"/>
              <w:jc w:val="left"/>
              <w:rPr>
                <w:i/>
                <w:iCs/>
                <w:sz w:val="18"/>
                <w:szCs w:val="18"/>
              </w:rPr>
            </w:pPr>
          </w:p>
        </w:tc>
        <w:tc>
          <w:tcPr>
            <w:tcW w:w="4581" w:type="dxa"/>
            <w:gridSpan w:val="4"/>
            <w:tcBorders>
              <w:top w:val="nil"/>
              <w:left w:val="nil"/>
              <w:bottom w:val="nil"/>
              <w:right w:val="nil"/>
            </w:tcBorders>
            <w:shd w:val="clear" w:color="000000" w:fill="D9D9D9"/>
            <w:noWrap/>
            <w:vAlign w:val="center"/>
            <w:hideMark/>
          </w:tcPr>
          <w:p w14:paraId="38913A74" w14:textId="77777777" w:rsidR="00B07DD0" w:rsidRPr="007053D8" w:rsidRDefault="00B07DD0" w:rsidP="009527CE">
            <w:pPr>
              <w:spacing w:after="0" w:line="240" w:lineRule="auto"/>
              <w:ind w:left="0" w:firstLine="0"/>
              <w:jc w:val="left"/>
              <w:rPr>
                <w:i/>
                <w:iCs/>
                <w:sz w:val="18"/>
                <w:szCs w:val="18"/>
              </w:rPr>
            </w:pPr>
            <w:r w:rsidRPr="007053D8">
              <w:rPr>
                <w:i/>
                <w:iCs/>
                <w:sz w:val="18"/>
                <w:szCs w:val="18"/>
              </w:rPr>
              <w:t>^ Bounds represent 95% confidence intervals</w:t>
            </w:r>
          </w:p>
        </w:tc>
      </w:tr>
      <w:tr w:rsidR="00B07DD0" w:rsidRPr="007053D8" w14:paraId="673FBF8C" w14:textId="77777777" w:rsidTr="009527CE">
        <w:trPr>
          <w:trHeight w:val="1485"/>
        </w:trPr>
        <w:tc>
          <w:tcPr>
            <w:tcW w:w="1229" w:type="dxa"/>
            <w:tcBorders>
              <w:top w:val="nil"/>
              <w:left w:val="nil"/>
              <w:bottom w:val="nil"/>
              <w:right w:val="nil"/>
            </w:tcBorders>
          </w:tcPr>
          <w:p w14:paraId="58587868" w14:textId="77777777" w:rsidR="00B07DD0" w:rsidRPr="007053D8" w:rsidRDefault="00B07DD0" w:rsidP="009527CE">
            <w:pPr>
              <w:spacing w:after="0" w:line="240" w:lineRule="auto"/>
              <w:ind w:left="0" w:firstLine="0"/>
              <w:jc w:val="left"/>
              <w:rPr>
                <w:rFonts w:ascii="Calibri" w:hAnsi="Calibri" w:cs="Calibri"/>
                <w:b/>
                <w:bCs/>
                <w:sz w:val="22"/>
              </w:rPr>
            </w:pPr>
          </w:p>
        </w:tc>
        <w:tc>
          <w:tcPr>
            <w:tcW w:w="18394" w:type="dxa"/>
            <w:gridSpan w:val="13"/>
            <w:tcBorders>
              <w:top w:val="nil"/>
              <w:left w:val="nil"/>
              <w:bottom w:val="nil"/>
              <w:right w:val="nil"/>
            </w:tcBorders>
            <w:shd w:val="clear" w:color="auto" w:fill="auto"/>
            <w:hideMark/>
          </w:tcPr>
          <w:p w14:paraId="551023F1" w14:textId="1EC3C985" w:rsidR="00B07DD0" w:rsidRPr="007053D8" w:rsidRDefault="00B07DD0" w:rsidP="009527CE">
            <w:pPr>
              <w:spacing w:after="0" w:line="240" w:lineRule="auto"/>
              <w:ind w:left="0" w:firstLine="0"/>
              <w:jc w:val="left"/>
              <w:rPr>
                <w:rFonts w:ascii="Calibri" w:hAnsi="Calibri" w:cs="Calibri"/>
                <w:b/>
                <w:bCs/>
                <w:sz w:val="22"/>
              </w:rPr>
            </w:pPr>
            <w:r w:rsidRPr="007053D8">
              <w:rPr>
                <w:rFonts w:ascii="Calibri" w:hAnsi="Calibri" w:cs="Calibri"/>
                <w:b/>
                <w:bCs/>
                <w:sz w:val="22"/>
              </w:rPr>
              <w:t>Table 1.</w:t>
            </w:r>
            <w:r w:rsidRPr="007053D8">
              <w:rPr>
                <w:rFonts w:ascii="Calibri" w:hAnsi="Calibri" w:cs="Calibri"/>
                <w:sz w:val="22"/>
              </w:rPr>
              <w:t xml:space="preserve"> </w:t>
            </w:r>
            <w:r w:rsidRPr="007053D8">
              <w:rPr>
                <w:rFonts w:ascii="Calibri" w:hAnsi="Calibri" w:cs="Calibri"/>
                <w:i/>
                <w:iCs/>
                <w:sz w:val="22"/>
              </w:rPr>
              <w:t>Results of Study 1 Exploratory</w:t>
            </w:r>
            <w:r>
              <w:rPr>
                <w:rFonts w:ascii="Calibri" w:hAnsi="Calibri" w:cs="Calibri"/>
                <w:i/>
                <w:iCs/>
                <w:sz w:val="22"/>
              </w:rPr>
              <w:t xml:space="preserve"> Multiverse</w:t>
            </w:r>
            <w:r w:rsidRPr="007053D8">
              <w:rPr>
                <w:rFonts w:ascii="Calibri" w:hAnsi="Calibri" w:cs="Calibri"/>
                <w:i/>
                <w:iCs/>
                <w:sz w:val="22"/>
              </w:rPr>
              <w:t xml:space="preserve"> Models </w:t>
            </w:r>
            <w:r>
              <w:rPr>
                <w:rFonts w:ascii="Calibri" w:hAnsi="Calibri" w:cs="Calibri"/>
                <w:i/>
                <w:iCs/>
                <w:sz w:val="22"/>
              </w:rPr>
              <w:t>–</w:t>
            </w:r>
            <w:r w:rsidRPr="007053D8">
              <w:rPr>
                <w:rFonts w:ascii="Calibri" w:hAnsi="Calibri" w:cs="Calibri"/>
                <w:i/>
                <w:iCs/>
                <w:sz w:val="22"/>
              </w:rPr>
              <w:t xml:space="preserve"> </w:t>
            </w:r>
            <w:r w:rsidRPr="007053D8">
              <w:rPr>
                <w:rFonts w:ascii="Calibri" w:hAnsi="Calibri" w:cs="Calibri"/>
                <w:sz w:val="22"/>
              </w:rPr>
              <w:t xml:space="preserve">Hierarchical binary logistic regression models were constructed to explore </w:t>
            </w:r>
            <w:r>
              <w:rPr>
                <w:rFonts w:ascii="Calibri" w:hAnsi="Calibri" w:cs="Calibri"/>
                <w:sz w:val="22"/>
              </w:rPr>
              <w:t xml:space="preserve">how predictive </w:t>
            </w:r>
            <w:r w:rsidRPr="007053D8">
              <w:rPr>
                <w:rFonts w:ascii="Calibri" w:hAnsi="Calibri" w:cs="Calibri"/>
                <w:sz w:val="22"/>
              </w:rPr>
              <w:t xml:space="preserve">affective intensity </w:t>
            </w:r>
            <w:r>
              <w:rPr>
                <w:rFonts w:ascii="Calibri" w:hAnsi="Calibri" w:cs="Calibri"/>
                <w:sz w:val="22"/>
              </w:rPr>
              <w:t>is of</w:t>
            </w:r>
            <w:r w:rsidRPr="007053D8">
              <w:rPr>
                <w:rFonts w:ascii="Calibri" w:hAnsi="Calibri" w:cs="Calibri"/>
                <w:sz w:val="22"/>
              </w:rPr>
              <w:t xml:space="preserve"> strategy usage and compared against null models allowing each participants</w:t>
            </w:r>
            <w:r>
              <w:rPr>
                <w:rFonts w:ascii="Calibri" w:hAnsi="Calibri" w:cs="Calibri"/>
                <w:sz w:val="22"/>
              </w:rPr>
              <w:t>’</w:t>
            </w:r>
            <w:r w:rsidRPr="007053D8">
              <w:rPr>
                <w:rFonts w:ascii="Calibri" w:hAnsi="Calibri" w:cs="Calibri"/>
                <w:sz w:val="22"/>
              </w:rPr>
              <w:t xml:space="preserve"> intercept to vary randomly. The outcome variable used, data inclusion criteria, and variables included are listed under the first four columns. Data size and model comparison results are listed under the subsequent five columns.</w:t>
            </w:r>
            <w:r w:rsidR="00EE5298">
              <w:rPr>
                <w:rFonts w:ascii="Calibri" w:hAnsi="Calibri" w:cs="Calibri"/>
                <w:sz w:val="22"/>
              </w:rPr>
              <w:t xml:space="preserve"> Model comparisons against the null for not conducted for covariate models because comparing models with such a disproportionate number of terms can be misleading and is not statistically recommended.</w:t>
            </w:r>
            <w:r w:rsidRPr="007053D8">
              <w:rPr>
                <w:rFonts w:ascii="Calibri" w:hAnsi="Calibri" w:cs="Calibri"/>
                <w:sz w:val="22"/>
              </w:rPr>
              <w:t xml:space="preserve"> The odds ratio of affective intensity within each model is listed in the latter three columns. Only a single model performed better than its null and found affective intensity to predict regulation strategy usage</w:t>
            </w:r>
            <w:r>
              <w:rPr>
                <w:rFonts w:ascii="Calibri" w:hAnsi="Calibri" w:cs="Calibri"/>
                <w:sz w:val="22"/>
              </w:rPr>
              <w:t>, but did not survive family-wise adjustment</w:t>
            </w:r>
            <w:r w:rsidRPr="007053D8">
              <w:rPr>
                <w:rFonts w:ascii="Calibri" w:hAnsi="Calibri" w:cs="Calibri"/>
                <w:sz w:val="22"/>
              </w:rPr>
              <w:t xml:space="preserve">. </w:t>
            </w:r>
          </w:p>
        </w:tc>
      </w:tr>
    </w:tbl>
    <w:p w14:paraId="13A44663" w14:textId="77777777" w:rsidR="00B07DD0" w:rsidRDefault="00B07DD0" w:rsidP="00B07DD0">
      <w:pPr>
        <w:spacing w:after="160" w:line="259" w:lineRule="auto"/>
        <w:ind w:left="0" w:firstLine="0"/>
        <w:jc w:val="left"/>
        <w:rPr>
          <w:b/>
          <w:szCs w:val="24"/>
        </w:rPr>
        <w:sectPr w:rsidR="00B07DD0" w:rsidSect="001E19CA">
          <w:pgSz w:w="20880" w:h="12240" w:orient="landscape" w:code="1"/>
          <w:pgMar w:top="720" w:right="720" w:bottom="720" w:left="720" w:header="763" w:footer="720" w:gutter="0"/>
          <w:cols w:space="720"/>
          <w:docGrid w:linePitch="326"/>
        </w:sectPr>
      </w:pPr>
    </w:p>
    <w:bookmarkEnd w:id="0"/>
    <w:p w14:paraId="0FCF5C26" w14:textId="77777777" w:rsidR="00EE0C3E" w:rsidRPr="00EE0C3E" w:rsidRDefault="00EE0C3E" w:rsidP="00A10284">
      <w:pPr>
        <w:spacing w:after="0" w:line="480" w:lineRule="auto"/>
        <w:ind w:left="0" w:firstLine="0"/>
        <w:rPr>
          <w:szCs w:val="24"/>
        </w:rPr>
      </w:pPr>
    </w:p>
    <w:sectPr w:rsidR="00EE0C3E" w:rsidRPr="00EE0C3E" w:rsidSect="001E19CA">
      <w:pgSz w:w="12240" w:h="15840"/>
      <w:pgMar w:top="1440" w:right="1440" w:bottom="1440" w:left="1440" w:header="765"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462D6F" w14:textId="77777777" w:rsidR="00F03D9D" w:rsidRDefault="00F03D9D">
      <w:pPr>
        <w:spacing w:after="0" w:line="240" w:lineRule="auto"/>
      </w:pPr>
      <w:r>
        <w:separator/>
      </w:r>
    </w:p>
  </w:endnote>
  <w:endnote w:type="continuationSeparator" w:id="0">
    <w:p w14:paraId="51C394A2" w14:textId="77777777" w:rsidR="00F03D9D" w:rsidRDefault="00F03D9D">
      <w:pPr>
        <w:spacing w:after="0" w:line="240" w:lineRule="auto"/>
      </w:pPr>
      <w:r>
        <w:continuationSeparator/>
      </w:r>
    </w:p>
  </w:endnote>
  <w:endnote w:type="continuationNotice" w:id="1">
    <w:p w14:paraId="7FACAFA6" w14:textId="77777777" w:rsidR="00F03D9D" w:rsidRDefault="00F03D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C82364" w14:textId="77777777" w:rsidR="00F03D9D" w:rsidRDefault="00F03D9D">
      <w:pPr>
        <w:spacing w:after="0" w:line="240" w:lineRule="auto"/>
      </w:pPr>
      <w:r>
        <w:separator/>
      </w:r>
    </w:p>
  </w:footnote>
  <w:footnote w:type="continuationSeparator" w:id="0">
    <w:p w14:paraId="0580933F" w14:textId="77777777" w:rsidR="00F03D9D" w:rsidRDefault="00F03D9D">
      <w:pPr>
        <w:spacing w:after="0" w:line="240" w:lineRule="auto"/>
      </w:pPr>
      <w:r>
        <w:continuationSeparator/>
      </w:r>
    </w:p>
  </w:footnote>
  <w:footnote w:type="continuationNotice" w:id="1">
    <w:p w14:paraId="27069FD0" w14:textId="77777777" w:rsidR="00F03D9D" w:rsidRDefault="00F03D9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D065B" w14:textId="77777777" w:rsidR="00B07DD0" w:rsidRDefault="00B07DD0">
    <w:pPr>
      <w:spacing w:after="0" w:line="259" w:lineRule="auto"/>
      <w:ind w:left="0" w:right="1" w:firstLine="0"/>
      <w:jc w:val="right"/>
    </w:pPr>
    <w:r>
      <w:fldChar w:fldCharType="begin"/>
    </w:r>
    <w:r>
      <w:instrText xml:space="preserve"> PAGE   \* MERGEFORMAT </w:instrText>
    </w:r>
    <w:r>
      <w:fldChar w:fldCharType="separate"/>
    </w:r>
    <w:r w:rsidRPr="00987D5D">
      <w:rPr>
        <w:rFonts w:ascii="Calibri" w:eastAsia="Calibri" w:hAnsi="Calibri" w:cs="Calibri"/>
        <w:noProof/>
        <w:sz w:val="22"/>
      </w:rPr>
      <w:t>16</w:t>
    </w:r>
    <w:r>
      <w:rPr>
        <w:rFonts w:ascii="Calibri" w:eastAsia="Calibri" w:hAnsi="Calibri" w:cs="Calibri"/>
        <w:sz w:val="22"/>
      </w:rPr>
      <w:fldChar w:fldCharType="end"/>
    </w:r>
    <w:r>
      <w:rPr>
        <w:rFonts w:ascii="Calibri" w:eastAsia="Calibri" w:hAnsi="Calibri" w:cs="Calibri"/>
        <w:sz w:val="22"/>
      </w:rPr>
      <w:t xml:space="preserve"> </w:t>
    </w:r>
  </w:p>
  <w:p w14:paraId="7A5981FC" w14:textId="77777777" w:rsidR="00B07DD0" w:rsidRDefault="00B07DD0">
    <w:pPr>
      <w:spacing w:after="0" w:line="259" w:lineRule="auto"/>
      <w:ind w:lef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D3B128" w14:textId="664DC950" w:rsidR="00B07DD0" w:rsidRDefault="00BE73D6" w:rsidP="000645E9">
    <w:pPr>
      <w:spacing w:after="0" w:line="259" w:lineRule="auto"/>
      <w:ind w:left="0" w:right="1" w:firstLine="0"/>
    </w:pPr>
    <w:r w:rsidRPr="00246C29">
      <w:t>Regulation</w:t>
    </w:r>
    <w:r>
      <w:t xml:space="preserve"> Strategy Usage and Forecasting with Dynamic Stimuli                                                     </w:t>
    </w:r>
    <w:r w:rsidR="00B07DD0">
      <w:fldChar w:fldCharType="begin"/>
    </w:r>
    <w:r w:rsidR="00B07DD0">
      <w:instrText xml:space="preserve"> PAGE   \* MERGEFORMAT </w:instrText>
    </w:r>
    <w:r w:rsidR="00B07DD0">
      <w:fldChar w:fldCharType="separate"/>
    </w:r>
    <w:r w:rsidR="00FD463F" w:rsidRPr="00FD463F">
      <w:rPr>
        <w:rFonts w:ascii="Calibri" w:eastAsia="Calibri" w:hAnsi="Calibri" w:cs="Calibri"/>
        <w:noProof/>
        <w:sz w:val="22"/>
      </w:rPr>
      <w:t>75</w:t>
    </w:r>
    <w:r w:rsidR="00B07DD0">
      <w:rPr>
        <w:rFonts w:ascii="Calibri" w:eastAsia="Calibri" w:hAnsi="Calibri" w:cs="Calibri"/>
        <w:sz w:val="22"/>
      </w:rPr>
      <w:fldChar w:fldCharType="end"/>
    </w:r>
    <w:r w:rsidR="00B07DD0">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00700" w14:textId="77777777" w:rsidR="00B07DD0" w:rsidRDefault="00B07DD0">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20196105" w14:textId="77777777" w:rsidR="00B07DD0" w:rsidRDefault="00B07DD0">
    <w:pPr>
      <w:spacing w:after="0" w:line="259" w:lineRule="auto"/>
      <w:ind w:lef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766E8"/>
    <w:multiLevelType w:val="hybridMultilevel"/>
    <w:tmpl w:val="34CAB3BC"/>
    <w:lvl w:ilvl="0" w:tplc="CA1ACE64">
      <w:start w:val="237"/>
      <w:numFmt w:val="decimal"/>
      <w:lvlText w:val="%1"/>
      <w:lvlJc w:val="left"/>
      <w:pPr>
        <w:ind w:left="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272C19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72C5E8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22411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1B89C9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E24496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83CA75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B56F8A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78E11F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56505AF"/>
    <w:multiLevelType w:val="multilevel"/>
    <w:tmpl w:val="5EF44A82"/>
    <w:lvl w:ilvl="0">
      <w:start w:val="1"/>
      <w:numFmt w:val="low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6C298F"/>
    <w:multiLevelType w:val="hybridMultilevel"/>
    <w:tmpl w:val="987A1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9D03CF"/>
    <w:multiLevelType w:val="hybridMultilevel"/>
    <w:tmpl w:val="B2EA3C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EC09E4"/>
    <w:multiLevelType w:val="hybridMultilevel"/>
    <w:tmpl w:val="5888D656"/>
    <w:lvl w:ilvl="0" w:tplc="21CE3D3A">
      <w:start w:val="1"/>
      <w:numFmt w:val="upperLetter"/>
      <w:lvlText w:val="%1."/>
      <w:lvlJc w:val="left"/>
      <w:pPr>
        <w:ind w:left="832" w:hanging="360"/>
      </w:pPr>
      <w:rPr>
        <w:rFonts w:hint="default"/>
        <w:sz w:val="32"/>
        <w:szCs w:val="28"/>
      </w:rPr>
    </w:lvl>
    <w:lvl w:ilvl="1" w:tplc="04090019" w:tentative="1">
      <w:start w:val="1"/>
      <w:numFmt w:val="lowerLetter"/>
      <w:lvlText w:val="%2."/>
      <w:lvlJc w:val="left"/>
      <w:pPr>
        <w:ind w:left="1552" w:hanging="360"/>
      </w:pPr>
    </w:lvl>
    <w:lvl w:ilvl="2" w:tplc="0409001B" w:tentative="1">
      <w:start w:val="1"/>
      <w:numFmt w:val="lowerRoman"/>
      <w:lvlText w:val="%3."/>
      <w:lvlJc w:val="right"/>
      <w:pPr>
        <w:ind w:left="2272" w:hanging="180"/>
      </w:pPr>
    </w:lvl>
    <w:lvl w:ilvl="3" w:tplc="0409000F" w:tentative="1">
      <w:start w:val="1"/>
      <w:numFmt w:val="decimal"/>
      <w:lvlText w:val="%4."/>
      <w:lvlJc w:val="left"/>
      <w:pPr>
        <w:ind w:left="2992" w:hanging="360"/>
      </w:pPr>
    </w:lvl>
    <w:lvl w:ilvl="4" w:tplc="04090019" w:tentative="1">
      <w:start w:val="1"/>
      <w:numFmt w:val="lowerLetter"/>
      <w:lvlText w:val="%5."/>
      <w:lvlJc w:val="left"/>
      <w:pPr>
        <w:ind w:left="3712" w:hanging="360"/>
      </w:pPr>
    </w:lvl>
    <w:lvl w:ilvl="5" w:tplc="0409001B" w:tentative="1">
      <w:start w:val="1"/>
      <w:numFmt w:val="lowerRoman"/>
      <w:lvlText w:val="%6."/>
      <w:lvlJc w:val="right"/>
      <w:pPr>
        <w:ind w:left="4432" w:hanging="180"/>
      </w:pPr>
    </w:lvl>
    <w:lvl w:ilvl="6" w:tplc="0409000F" w:tentative="1">
      <w:start w:val="1"/>
      <w:numFmt w:val="decimal"/>
      <w:lvlText w:val="%7."/>
      <w:lvlJc w:val="left"/>
      <w:pPr>
        <w:ind w:left="5152" w:hanging="360"/>
      </w:pPr>
    </w:lvl>
    <w:lvl w:ilvl="7" w:tplc="04090019" w:tentative="1">
      <w:start w:val="1"/>
      <w:numFmt w:val="lowerLetter"/>
      <w:lvlText w:val="%8."/>
      <w:lvlJc w:val="left"/>
      <w:pPr>
        <w:ind w:left="5872" w:hanging="360"/>
      </w:pPr>
    </w:lvl>
    <w:lvl w:ilvl="8" w:tplc="0409001B" w:tentative="1">
      <w:start w:val="1"/>
      <w:numFmt w:val="lowerRoman"/>
      <w:lvlText w:val="%9."/>
      <w:lvlJc w:val="right"/>
      <w:pPr>
        <w:ind w:left="6592" w:hanging="180"/>
      </w:pPr>
    </w:lvl>
  </w:abstractNum>
  <w:abstractNum w:abstractNumId="5" w15:restartNumberingAfterBreak="0">
    <w:nsid w:val="74D732F6"/>
    <w:multiLevelType w:val="hybridMultilevel"/>
    <w:tmpl w:val="4CACEAB8"/>
    <w:lvl w:ilvl="0" w:tplc="A55415CA">
      <w:start w:val="1"/>
      <w:numFmt w:val="upperLetter"/>
      <w:lvlText w:val="%1."/>
      <w:lvlJc w:val="left"/>
      <w:pPr>
        <w:ind w:left="832" w:hanging="360"/>
      </w:pPr>
      <w:rPr>
        <w:rFonts w:hint="default"/>
      </w:rPr>
    </w:lvl>
    <w:lvl w:ilvl="1" w:tplc="04090019" w:tentative="1">
      <w:start w:val="1"/>
      <w:numFmt w:val="lowerLetter"/>
      <w:lvlText w:val="%2."/>
      <w:lvlJc w:val="left"/>
      <w:pPr>
        <w:ind w:left="1552" w:hanging="360"/>
      </w:pPr>
    </w:lvl>
    <w:lvl w:ilvl="2" w:tplc="0409001B" w:tentative="1">
      <w:start w:val="1"/>
      <w:numFmt w:val="lowerRoman"/>
      <w:lvlText w:val="%3."/>
      <w:lvlJc w:val="right"/>
      <w:pPr>
        <w:ind w:left="2272" w:hanging="180"/>
      </w:pPr>
    </w:lvl>
    <w:lvl w:ilvl="3" w:tplc="0409000F" w:tentative="1">
      <w:start w:val="1"/>
      <w:numFmt w:val="decimal"/>
      <w:lvlText w:val="%4."/>
      <w:lvlJc w:val="left"/>
      <w:pPr>
        <w:ind w:left="2992" w:hanging="360"/>
      </w:pPr>
    </w:lvl>
    <w:lvl w:ilvl="4" w:tplc="04090019" w:tentative="1">
      <w:start w:val="1"/>
      <w:numFmt w:val="lowerLetter"/>
      <w:lvlText w:val="%5."/>
      <w:lvlJc w:val="left"/>
      <w:pPr>
        <w:ind w:left="3712" w:hanging="360"/>
      </w:pPr>
    </w:lvl>
    <w:lvl w:ilvl="5" w:tplc="0409001B" w:tentative="1">
      <w:start w:val="1"/>
      <w:numFmt w:val="lowerRoman"/>
      <w:lvlText w:val="%6."/>
      <w:lvlJc w:val="right"/>
      <w:pPr>
        <w:ind w:left="4432" w:hanging="180"/>
      </w:pPr>
    </w:lvl>
    <w:lvl w:ilvl="6" w:tplc="0409000F" w:tentative="1">
      <w:start w:val="1"/>
      <w:numFmt w:val="decimal"/>
      <w:lvlText w:val="%7."/>
      <w:lvlJc w:val="left"/>
      <w:pPr>
        <w:ind w:left="5152" w:hanging="360"/>
      </w:pPr>
    </w:lvl>
    <w:lvl w:ilvl="7" w:tplc="04090019" w:tentative="1">
      <w:start w:val="1"/>
      <w:numFmt w:val="lowerLetter"/>
      <w:lvlText w:val="%8."/>
      <w:lvlJc w:val="left"/>
      <w:pPr>
        <w:ind w:left="5872" w:hanging="360"/>
      </w:pPr>
    </w:lvl>
    <w:lvl w:ilvl="8" w:tplc="0409001B" w:tentative="1">
      <w:start w:val="1"/>
      <w:numFmt w:val="lowerRoman"/>
      <w:lvlText w:val="%9."/>
      <w:lvlJc w:val="right"/>
      <w:pPr>
        <w:ind w:left="6592" w:hanging="180"/>
      </w:pPr>
    </w:lvl>
  </w:abstractNum>
  <w:num w:numId="1" w16cid:durableId="1137143381">
    <w:abstractNumId w:val="0"/>
  </w:num>
  <w:num w:numId="2" w16cid:durableId="1699240364">
    <w:abstractNumId w:val="1"/>
  </w:num>
  <w:num w:numId="3" w16cid:durableId="1093821580">
    <w:abstractNumId w:val="5"/>
  </w:num>
  <w:num w:numId="4" w16cid:durableId="325285459">
    <w:abstractNumId w:val="4"/>
  </w:num>
  <w:num w:numId="5" w16cid:durableId="375743264">
    <w:abstractNumId w:val="3"/>
  </w:num>
  <w:num w:numId="6" w16cid:durableId="1388140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004"/>
    <w:rsid w:val="000015C6"/>
    <w:rsid w:val="00001A61"/>
    <w:rsid w:val="00002F5B"/>
    <w:rsid w:val="0000303C"/>
    <w:rsid w:val="00006CBF"/>
    <w:rsid w:val="00007944"/>
    <w:rsid w:val="00010B55"/>
    <w:rsid w:val="00015712"/>
    <w:rsid w:val="00021D66"/>
    <w:rsid w:val="00023609"/>
    <w:rsid w:val="00026B95"/>
    <w:rsid w:val="00031041"/>
    <w:rsid w:val="00034D34"/>
    <w:rsid w:val="00035A91"/>
    <w:rsid w:val="00036A30"/>
    <w:rsid w:val="000377EF"/>
    <w:rsid w:val="00040ACE"/>
    <w:rsid w:val="00042DD8"/>
    <w:rsid w:val="000446C3"/>
    <w:rsid w:val="00052A17"/>
    <w:rsid w:val="00054CD8"/>
    <w:rsid w:val="0005772E"/>
    <w:rsid w:val="00057DC8"/>
    <w:rsid w:val="00061A33"/>
    <w:rsid w:val="000645E9"/>
    <w:rsid w:val="00066452"/>
    <w:rsid w:val="0007054E"/>
    <w:rsid w:val="00071B9D"/>
    <w:rsid w:val="000732A4"/>
    <w:rsid w:val="0007369C"/>
    <w:rsid w:val="00081E78"/>
    <w:rsid w:val="00083929"/>
    <w:rsid w:val="00083D59"/>
    <w:rsid w:val="0008546F"/>
    <w:rsid w:val="0008712C"/>
    <w:rsid w:val="000922C4"/>
    <w:rsid w:val="00093192"/>
    <w:rsid w:val="000960FE"/>
    <w:rsid w:val="000967D7"/>
    <w:rsid w:val="00097D65"/>
    <w:rsid w:val="000A4B63"/>
    <w:rsid w:val="000A6256"/>
    <w:rsid w:val="000B0F41"/>
    <w:rsid w:val="000B1AF9"/>
    <w:rsid w:val="000B26B6"/>
    <w:rsid w:val="000B40E7"/>
    <w:rsid w:val="000B4EC5"/>
    <w:rsid w:val="000C5A68"/>
    <w:rsid w:val="000D28DC"/>
    <w:rsid w:val="000D4176"/>
    <w:rsid w:val="000D4CD9"/>
    <w:rsid w:val="000D4E5A"/>
    <w:rsid w:val="000D6E61"/>
    <w:rsid w:val="000D7D4C"/>
    <w:rsid w:val="000E0223"/>
    <w:rsid w:val="000E055A"/>
    <w:rsid w:val="000E25CD"/>
    <w:rsid w:val="000E4249"/>
    <w:rsid w:val="000E636F"/>
    <w:rsid w:val="000F2F8D"/>
    <w:rsid w:val="000F5805"/>
    <w:rsid w:val="00102AF7"/>
    <w:rsid w:val="001140BE"/>
    <w:rsid w:val="001143F1"/>
    <w:rsid w:val="001162B0"/>
    <w:rsid w:val="00116FA4"/>
    <w:rsid w:val="00117CAD"/>
    <w:rsid w:val="0012001C"/>
    <w:rsid w:val="001213D1"/>
    <w:rsid w:val="001227C9"/>
    <w:rsid w:val="00124144"/>
    <w:rsid w:val="001244F9"/>
    <w:rsid w:val="00131503"/>
    <w:rsid w:val="001346D5"/>
    <w:rsid w:val="00134823"/>
    <w:rsid w:val="00136967"/>
    <w:rsid w:val="0014196C"/>
    <w:rsid w:val="00145157"/>
    <w:rsid w:val="00150851"/>
    <w:rsid w:val="00160A60"/>
    <w:rsid w:val="00163803"/>
    <w:rsid w:val="00170D09"/>
    <w:rsid w:val="001734E6"/>
    <w:rsid w:val="00174798"/>
    <w:rsid w:val="00175AE9"/>
    <w:rsid w:val="00177775"/>
    <w:rsid w:val="00182F3C"/>
    <w:rsid w:val="00183114"/>
    <w:rsid w:val="001877A8"/>
    <w:rsid w:val="0019185B"/>
    <w:rsid w:val="001A1755"/>
    <w:rsid w:val="001A2CE8"/>
    <w:rsid w:val="001B24AA"/>
    <w:rsid w:val="001B5C0F"/>
    <w:rsid w:val="001B6144"/>
    <w:rsid w:val="001B64A6"/>
    <w:rsid w:val="001C386A"/>
    <w:rsid w:val="001C653B"/>
    <w:rsid w:val="001C75FD"/>
    <w:rsid w:val="001E19CA"/>
    <w:rsid w:val="001F3AD3"/>
    <w:rsid w:val="001F448F"/>
    <w:rsid w:val="001F6C10"/>
    <w:rsid w:val="001F7CFD"/>
    <w:rsid w:val="00200166"/>
    <w:rsid w:val="0020049F"/>
    <w:rsid w:val="0020098B"/>
    <w:rsid w:val="002013C5"/>
    <w:rsid w:val="00201A98"/>
    <w:rsid w:val="00211390"/>
    <w:rsid w:val="002119A8"/>
    <w:rsid w:val="0022476E"/>
    <w:rsid w:val="00224DAE"/>
    <w:rsid w:val="00225BAC"/>
    <w:rsid w:val="00231B74"/>
    <w:rsid w:val="0023305B"/>
    <w:rsid w:val="0023367E"/>
    <w:rsid w:val="00234192"/>
    <w:rsid w:val="00234839"/>
    <w:rsid w:val="00235C91"/>
    <w:rsid w:val="00242BB1"/>
    <w:rsid w:val="00242E45"/>
    <w:rsid w:val="0024375A"/>
    <w:rsid w:val="00243C78"/>
    <w:rsid w:val="00245B8B"/>
    <w:rsid w:val="00245CC6"/>
    <w:rsid w:val="0024610B"/>
    <w:rsid w:val="00246C29"/>
    <w:rsid w:val="002475A8"/>
    <w:rsid w:val="002511D0"/>
    <w:rsid w:val="00260459"/>
    <w:rsid w:val="00270B87"/>
    <w:rsid w:val="002809C2"/>
    <w:rsid w:val="0028246F"/>
    <w:rsid w:val="002838BF"/>
    <w:rsid w:val="00283D2D"/>
    <w:rsid w:val="00284B25"/>
    <w:rsid w:val="00286D4D"/>
    <w:rsid w:val="0029016E"/>
    <w:rsid w:val="002919B5"/>
    <w:rsid w:val="002A387B"/>
    <w:rsid w:val="002A6723"/>
    <w:rsid w:val="002A7056"/>
    <w:rsid w:val="002B4BE0"/>
    <w:rsid w:val="002B63D1"/>
    <w:rsid w:val="002C08F5"/>
    <w:rsid w:val="002C591D"/>
    <w:rsid w:val="002C6443"/>
    <w:rsid w:val="002C65D6"/>
    <w:rsid w:val="002C6E4D"/>
    <w:rsid w:val="002D1090"/>
    <w:rsid w:val="002D566C"/>
    <w:rsid w:val="002D5D85"/>
    <w:rsid w:val="002D61E5"/>
    <w:rsid w:val="002E518D"/>
    <w:rsid w:val="002E5586"/>
    <w:rsid w:val="002E5FF1"/>
    <w:rsid w:val="002E666C"/>
    <w:rsid w:val="002E68CC"/>
    <w:rsid w:val="002F3862"/>
    <w:rsid w:val="002F3B4A"/>
    <w:rsid w:val="002F7E40"/>
    <w:rsid w:val="00301AAE"/>
    <w:rsid w:val="00304055"/>
    <w:rsid w:val="00304D13"/>
    <w:rsid w:val="00306036"/>
    <w:rsid w:val="003065A9"/>
    <w:rsid w:val="003069BE"/>
    <w:rsid w:val="0030710F"/>
    <w:rsid w:val="0030735C"/>
    <w:rsid w:val="00311C5B"/>
    <w:rsid w:val="0032126A"/>
    <w:rsid w:val="00322180"/>
    <w:rsid w:val="00331554"/>
    <w:rsid w:val="00341012"/>
    <w:rsid w:val="00342888"/>
    <w:rsid w:val="003429F3"/>
    <w:rsid w:val="00345FE2"/>
    <w:rsid w:val="00354B3D"/>
    <w:rsid w:val="0035570E"/>
    <w:rsid w:val="00360313"/>
    <w:rsid w:val="00362AC5"/>
    <w:rsid w:val="00372E6A"/>
    <w:rsid w:val="00376EE0"/>
    <w:rsid w:val="0037715A"/>
    <w:rsid w:val="00380777"/>
    <w:rsid w:val="003816C4"/>
    <w:rsid w:val="00382BA8"/>
    <w:rsid w:val="0038635A"/>
    <w:rsid w:val="0039054B"/>
    <w:rsid w:val="00392022"/>
    <w:rsid w:val="00393A28"/>
    <w:rsid w:val="00393F57"/>
    <w:rsid w:val="00395946"/>
    <w:rsid w:val="00396CB3"/>
    <w:rsid w:val="003A18DB"/>
    <w:rsid w:val="003A3608"/>
    <w:rsid w:val="003A4A12"/>
    <w:rsid w:val="003A6C2B"/>
    <w:rsid w:val="003B113B"/>
    <w:rsid w:val="003B419C"/>
    <w:rsid w:val="003B75DA"/>
    <w:rsid w:val="003C155D"/>
    <w:rsid w:val="003C4260"/>
    <w:rsid w:val="003C56B6"/>
    <w:rsid w:val="003D0F86"/>
    <w:rsid w:val="003D1E31"/>
    <w:rsid w:val="003D5F69"/>
    <w:rsid w:val="003D6515"/>
    <w:rsid w:val="003E0416"/>
    <w:rsid w:val="003E3464"/>
    <w:rsid w:val="003E69A1"/>
    <w:rsid w:val="003F66A7"/>
    <w:rsid w:val="00413D69"/>
    <w:rsid w:val="00415735"/>
    <w:rsid w:val="00425004"/>
    <w:rsid w:val="0042769C"/>
    <w:rsid w:val="00431494"/>
    <w:rsid w:val="004318FA"/>
    <w:rsid w:val="004361BA"/>
    <w:rsid w:val="0043765F"/>
    <w:rsid w:val="0043784E"/>
    <w:rsid w:val="00445492"/>
    <w:rsid w:val="004454BA"/>
    <w:rsid w:val="00446931"/>
    <w:rsid w:val="00452B94"/>
    <w:rsid w:val="00453A37"/>
    <w:rsid w:val="00454046"/>
    <w:rsid w:val="00457C3E"/>
    <w:rsid w:val="00463F45"/>
    <w:rsid w:val="004649E5"/>
    <w:rsid w:val="00466715"/>
    <w:rsid w:val="00466D8D"/>
    <w:rsid w:val="00470219"/>
    <w:rsid w:val="0047236C"/>
    <w:rsid w:val="004737B7"/>
    <w:rsid w:val="004778EF"/>
    <w:rsid w:val="00477E20"/>
    <w:rsid w:val="004814F0"/>
    <w:rsid w:val="004830AC"/>
    <w:rsid w:val="00483FD5"/>
    <w:rsid w:val="004920A5"/>
    <w:rsid w:val="0049574A"/>
    <w:rsid w:val="00495A2C"/>
    <w:rsid w:val="00496DF7"/>
    <w:rsid w:val="004A023F"/>
    <w:rsid w:val="004B0D7D"/>
    <w:rsid w:val="004B36C0"/>
    <w:rsid w:val="004B43D8"/>
    <w:rsid w:val="004B4A25"/>
    <w:rsid w:val="004C0A01"/>
    <w:rsid w:val="004C124C"/>
    <w:rsid w:val="004C1DD4"/>
    <w:rsid w:val="004C45DF"/>
    <w:rsid w:val="004C76AB"/>
    <w:rsid w:val="004D1DAB"/>
    <w:rsid w:val="004D21C8"/>
    <w:rsid w:val="004D2275"/>
    <w:rsid w:val="004D26BF"/>
    <w:rsid w:val="004D4566"/>
    <w:rsid w:val="004D5A28"/>
    <w:rsid w:val="004E24AE"/>
    <w:rsid w:val="004E30DF"/>
    <w:rsid w:val="004E6FCA"/>
    <w:rsid w:val="004F2368"/>
    <w:rsid w:val="004F39AA"/>
    <w:rsid w:val="004F3F92"/>
    <w:rsid w:val="004F6F69"/>
    <w:rsid w:val="00500583"/>
    <w:rsid w:val="005022CE"/>
    <w:rsid w:val="00512CCD"/>
    <w:rsid w:val="0051418B"/>
    <w:rsid w:val="00515306"/>
    <w:rsid w:val="005166AD"/>
    <w:rsid w:val="00516B60"/>
    <w:rsid w:val="005223AB"/>
    <w:rsid w:val="005229B3"/>
    <w:rsid w:val="0052343D"/>
    <w:rsid w:val="00525080"/>
    <w:rsid w:val="00531928"/>
    <w:rsid w:val="00532284"/>
    <w:rsid w:val="00533D99"/>
    <w:rsid w:val="00534DD8"/>
    <w:rsid w:val="005447B5"/>
    <w:rsid w:val="0055022F"/>
    <w:rsid w:val="00552891"/>
    <w:rsid w:val="005547A6"/>
    <w:rsid w:val="00560DAE"/>
    <w:rsid w:val="005622A0"/>
    <w:rsid w:val="00562C94"/>
    <w:rsid w:val="00564115"/>
    <w:rsid w:val="00564935"/>
    <w:rsid w:val="005658C9"/>
    <w:rsid w:val="0056618F"/>
    <w:rsid w:val="0057586B"/>
    <w:rsid w:val="0057698D"/>
    <w:rsid w:val="00576FE9"/>
    <w:rsid w:val="00577234"/>
    <w:rsid w:val="00577985"/>
    <w:rsid w:val="00580E79"/>
    <w:rsid w:val="00582F95"/>
    <w:rsid w:val="0058413D"/>
    <w:rsid w:val="0058454C"/>
    <w:rsid w:val="00586757"/>
    <w:rsid w:val="00592B3B"/>
    <w:rsid w:val="00593AB4"/>
    <w:rsid w:val="00595359"/>
    <w:rsid w:val="005A4E6A"/>
    <w:rsid w:val="005A644B"/>
    <w:rsid w:val="005A7E5D"/>
    <w:rsid w:val="005B1AD8"/>
    <w:rsid w:val="005B2B1D"/>
    <w:rsid w:val="005B30CF"/>
    <w:rsid w:val="005B4EE8"/>
    <w:rsid w:val="005B56A0"/>
    <w:rsid w:val="005B626E"/>
    <w:rsid w:val="005C0C32"/>
    <w:rsid w:val="005C1ED5"/>
    <w:rsid w:val="005C4CE8"/>
    <w:rsid w:val="005C64C8"/>
    <w:rsid w:val="005C6A10"/>
    <w:rsid w:val="005C74A1"/>
    <w:rsid w:val="005D0B28"/>
    <w:rsid w:val="005D2747"/>
    <w:rsid w:val="005D3295"/>
    <w:rsid w:val="005D32AC"/>
    <w:rsid w:val="005D3AA4"/>
    <w:rsid w:val="005D7490"/>
    <w:rsid w:val="005E1801"/>
    <w:rsid w:val="005E2671"/>
    <w:rsid w:val="005E6E9C"/>
    <w:rsid w:val="005E73FF"/>
    <w:rsid w:val="005F2875"/>
    <w:rsid w:val="006021D3"/>
    <w:rsid w:val="00607B5A"/>
    <w:rsid w:val="006117C7"/>
    <w:rsid w:val="0061398C"/>
    <w:rsid w:val="006142DA"/>
    <w:rsid w:val="00615B8A"/>
    <w:rsid w:val="0062646F"/>
    <w:rsid w:val="00627DB3"/>
    <w:rsid w:val="00630691"/>
    <w:rsid w:val="00631690"/>
    <w:rsid w:val="00634C1C"/>
    <w:rsid w:val="006403DB"/>
    <w:rsid w:val="0064197B"/>
    <w:rsid w:val="006421F6"/>
    <w:rsid w:val="00642A4D"/>
    <w:rsid w:val="00654027"/>
    <w:rsid w:val="00654CBF"/>
    <w:rsid w:val="00655209"/>
    <w:rsid w:val="00663F44"/>
    <w:rsid w:val="0066472A"/>
    <w:rsid w:val="006660F3"/>
    <w:rsid w:val="006725C8"/>
    <w:rsid w:val="00672923"/>
    <w:rsid w:val="0067300A"/>
    <w:rsid w:val="00673E31"/>
    <w:rsid w:val="00673E56"/>
    <w:rsid w:val="006754EA"/>
    <w:rsid w:val="0067591E"/>
    <w:rsid w:val="00682220"/>
    <w:rsid w:val="00694BC6"/>
    <w:rsid w:val="00695466"/>
    <w:rsid w:val="00697625"/>
    <w:rsid w:val="006A1496"/>
    <w:rsid w:val="006A1E84"/>
    <w:rsid w:val="006A38A9"/>
    <w:rsid w:val="006A4EDC"/>
    <w:rsid w:val="006B0891"/>
    <w:rsid w:val="006B1466"/>
    <w:rsid w:val="006B72D7"/>
    <w:rsid w:val="006C0952"/>
    <w:rsid w:val="006C26B9"/>
    <w:rsid w:val="006C2724"/>
    <w:rsid w:val="006C597D"/>
    <w:rsid w:val="006D2182"/>
    <w:rsid w:val="006D2AF6"/>
    <w:rsid w:val="006D2B59"/>
    <w:rsid w:val="006D3351"/>
    <w:rsid w:val="006D4590"/>
    <w:rsid w:val="006E3035"/>
    <w:rsid w:val="006E7CA6"/>
    <w:rsid w:val="006F2473"/>
    <w:rsid w:val="006F2AF2"/>
    <w:rsid w:val="007006F9"/>
    <w:rsid w:val="007053D8"/>
    <w:rsid w:val="007079B4"/>
    <w:rsid w:val="00710F71"/>
    <w:rsid w:val="00712031"/>
    <w:rsid w:val="00713E4D"/>
    <w:rsid w:val="00713FA4"/>
    <w:rsid w:val="00715EC3"/>
    <w:rsid w:val="007202B0"/>
    <w:rsid w:val="0072632B"/>
    <w:rsid w:val="00726402"/>
    <w:rsid w:val="0073042A"/>
    <w:rsid w:val="007335E6"/>
    <w:rsid w:val="00733E94"/>
    <w:rsid w:val="00733FE2"/>
    <w:rsid w:val="007344B0"/>
    <w:rsid w:val="007538C8"/>
    <w:rsid w:val="00753C04"/>
    <w:rsid w:val="007561C0"/>
    <w:rsid w:val="0075725E"/>
    <w:rsid w:val="00757DE0"/>
    <w:rsid w:val="00774C33"/>
    <w:rsid w:val="0077631A"/>
    <w:rsid w:val="00776328"/>
    <w:rsid w:val="00777AFC"/>
    <w:rsid w:val="007837F2"/>
    <w:rsid w:val="0078586E"/>
    <w:rsid w:val="00787C4E"/>
    <w:rsid w:val="00790C62"/>
    <w:rsid w:val="007911BE"/>
    <w:rsid w:val="007937AC"/>
    <w:rsid w:val="00793BCC"/>
    <w:rsid w:val="0079435B"/>
    <w:rsid w:val="00795CB8"/>
    <w:rsid w:val="00796950"/>
    <w:rsid w:val="00797567"/>
    <w:rsid w:val="007A5F22"/>
    <w:rsid w:val="007B2779"/>
    <w:rsid w:val="007B47B5"/>
    <w:rsid w:val="007B4A4C"/>
    <w:rsid w:val="007B651D"/>
    <w:rsid w:val="007B7431"/>
    <w:rsid w:val="007C22D9"/>
    <w:rsid w:val="007C2A29"/>
    <w:rsid w:val="007D6EF7"/>
    <w:rsid w:val="007E243B"/>
    <w:rsid w:val="007E3051"/>
    <w:rsid w:val="007E50F7"/>
    <w:rsid w:val="007F3650"/>
    <w:rsid w:val="007F6DF8"/>
    <w:rsid w:val="00801A78"/>
    <w:rsid w:val="008035C8"/>
    <w:rsid w:val="00804B41"/>
    <w:rsid w:val="008056D7"/>
    <w:rsid w:val="00807561"/>
    <w:rsid w:val="0080782F"/>
    <w:rsid w:val="0080798B"/>
    <w:rsid w:val="008126E0"/>
    <w:rsid w:val="00813E83"/>
    <w:rsid w:val="0081446D"/>
    <w:rsid w:val="0082283A"/>
    <w:rsid w:val="00831340"/>
    <w:rsid w:val="00831A8A"/>
    <w:rsid w:val="00831F04"/>
    <w:rsid w:val="008333BD"/>
    <w:rsid w:val="00837CFE"/>
    <w:rsid w:val="00843757"/>
    <w:rsid w:val="00843ACF"/>
    <w:rsid w:val="00851625"/>
    <w:rsid w:val="0085248B"/>
    <w:rsid w:val="00854F72"/>
    <w:rsid w:val="00856025"/>
    <w:rsid w:val="00856353"/>
    <w:rsid w:val="00857F3D"/>
    <w:rsid w:val="00861E10"/>
    <w:rsid w:val="00863B94"/>
    <w:rsid w:val="00863D2D"/>
    <w:rsid w:val="00874B89"/>
    <w:rsid w:val="00876B93"/>
    <w:rsid w:val="0087748B"/>
    <w:rsid w:val="00877709"/>
    <w:rsid w:val="00880C69"/>
    <w:rsid w:val="00884EED"/>
    <w:rsid w:val="008864BD"/>
    <w:rsid w:val="00887C44"/>
    <w:rsid w:val="00895BD5"/>
    <w:rsid w:val="008A2861"/>
    <w:rsid w:val="008B62B0"/>
    <w:rsid w:val="008B658E"/>
    <w:rsid w:val="008B6873"/>
    <w:rsid w:val="008B7F27"/>
    <w:rsid w:val="008C33F4"/>
    <w:rsid w:val="008C5719"/>
    <w:rsid w:val="008C7178"/>
    <w:rsid w:val="008D38A4"/>
    <w:rsid w:val="008D7AEF"/>
    <w:rsid w:val="008E1A03"/>
    <w:rsid w:val="008E45C3"/>
    <w:rsid w:val="008E58CC"/>
    <w:rsid w:val="008E6857"/>
    <w:rsid w:val="008F145E"/>
    <w:rsid w:val="008F7E2F"/>
    <w:rsid w:val="00900636"/>
    <w:rsid w:val="00900CF5"/>
    <w:rsid w:val="00902E89"/>
    <w:rsid w:val="0090462D"/>
    <w:rsid w:val="00907C52"/>
    <w:rsid w:val="0091050D"/>
    <w:rsid w:val="00917702"/>
    <w:rsid w:val="00920CA2"/>
    <w:rsid w:val="009215F0"/>
    <w:rsid w:val="00924270"/>
    <w:rsid w:val="00925D1D"/>
    <w:rsid w:val="00930D2B"/>
    <w:rsid w:val="00931006"/>
    <w:rsid w:val="00932C64"/>
    <w:rsid w:val="00937D53"/>
    <w:rsid w:val="0094060F"/>
    <w:rsid w:val="0095019C"/>
    <w:rsid w:val="0095040B"/>
    <w:rsid w:val="00952E8D"/>
    <w:rsid w:val="00954723"/>
    <w:rsid w:val="00957D51"/>
    <w:rsid w:val="00963B42"/>
    <w:rsid w:val="0096472C"/>
    <w:rsid w:val="00965A73"/>
    <w:rsid w:val="00967F10"/>
    <w:rsid w:val="00980E5E"/>
    <w:rsid w:val="00987A8A"/>
    <w:rsid w:val="00987D5D"/>
    <w:rsid w:val="00987F40"/>
    <w:rsid w:val="0099347D"/>
    <w:rsid w:val="00994776"/>
    <w:rsid w:val="0099482C"/>
    <w:rsid w:val="009A1A84"/>
    <w:rsid w:val="009A2E08"/>
    <w:rsid w:val="009A52EA"/>
    <w:rsid w:val="009B06C2"/>
    <w:rsid w:val="009B0A20"/>
    <w:rsid w:val="009B3741"/>
    <w:rsid w:val="009B775E"/>
    <w:rsid w:val="009C0B1F"/>
    <w:rsid w:val="009C20F6"/>
    <w:rsid w:val="009C319B"/>
    <w:rsid w:val="009C4E15"/>
    <w:rsid w:val="009C5168"/>
    <w:rsid w:val="009D03C9"/>
    <w:rsid w:val="009D066C"/>
    <w:rsid w:val="009D429D"/>
    <w:rsid w:val="009D7878"/>
    <w:rsid w:val="009E1D91"/>
    <w:rsid w:val="009F00E2"/>
    <w:rsid w:val="009F52D2"/>
    <w:rsid w:val="009F61B1"/>
    <w:rsid w:val="00A0226B"/>
    <w:rsid w:val="00A05EDA"/>
    <w:rsid w:val="00A10180"/>
    <w:rsid w:val="00A10284"/>
    <w:rsid w:val="00A107BE"/>
    <w:rsid w:val="00A10F00"/>
    <w:rsid w:val="00A11BE7"/>
    <w:rsid w:val="00A145CB"/>
    <w:rsid w:val="00A20326"/>
    <w:rsid w:val="00A30191"/>
    <w:rsid w:val="00A30203"/>
    <w:rsid w:val="00A30249"/>
    <w:rsid w:val="00A315ED"/>
    <w:rsid w:val="00A34DBB"/>
    <w:rsid w:val="00A368B5"/>
    <w:rsid w:val="00A36FC8"/>
    <w:rsid w:val="00A37600"/>
    <w:rsid w:val="00A37B3C"/>
    <w:rsid w:val="00A45523"/>
    <w:rsid w:val="00A56828"/>
    <w:rsid w:val="00A5748C"/>
    <w:rsid w:val="00A62570"/>
    <w:rsid w:val="00A632A5"/>
    <w:rsid w:val="00A66903"/>
    <w:rsid w:val="00A675B5"/>
    <w:rsid w:val="00A70619"/>
    <w:rsid w:val="00A71B20"/>
    <w:rsid w:val="00A726A1"/>
    <w:rsid w:val="00A73457"/>
    <w:rsid w:val="00A76031"/>
    <w:rsid w:val="00A77B84"/>
    <w:rsid w:val="00A77FA3"/>
    <w:rsid w:val="00A81FD6"/>
    <w:rsid w:val="00A83A0D"/>
    <w:rsid w:val="00A876C6"/>
    <w:rsid w:val="00A9710E"/>
    <w:rsid w:val="00A97406"/>
    <w:rsid w:val="00AA1849"/>
    <w:rsid w:val="00AA18EC"/>
    <w:rsid w:val="00AA213B"/>
    <w:rsid w:val="00AA3CD2"/>
    <w:rsid w:val="00AA6164"/>
    <w:rsid w:val="00AA665A"/>
    <w:rsid w:val="00AA7A9A"/>
    <w:rsid w:val="00AB1536"/>
    <w:rsid w:val="00AD14BD"/>
    <w:rsid w:val="00AD2081"/>
    <w:rsid w:val="00AD4521"/>
    <w:rsid w:val="00AD526D"/>
    <w:rsid w:val="00AE0811"/>
    <w:rsid w:val="00AE5781"/>
    <w:rsid w:val="00AE64F8"/>
    <w:rsid w:val="00AE7182"/>
    <w:rsid w:val="00AE7341"/>
    <w:rsid w:val="00AF35DC"/>
    <w:rsid w:val="00AF545D"/>
    <w:rsid w:val="00AF7829"/>
    <w:rsid w:val="00B06312"/>
    <w:rsid w:val="00B07DD0"/>
    <w:rsid w:val="00B142E7"/>
    <w:rsid w:val="00B17C41"/>
    <w:rsid w:val="00B22860"/>
    <w:rsid w:val="00B22AC1"/>
    <w:rsid w:val="00B24E27"/>
    <w:rsid w:val="00B251CC"/>
    <w:rsid w:val="00B33C41"/>
    <w:rsid w:val="00B40193"/>
    <w:rsid w:val="00B40846"/>
    <w:rsid w:val="00B42FE6"/>
    <w:rsid w:val="00B468B9"/>
    <w:rsid w:val="00B476BD"/>
    <w:rsid w:val="00B501A4"/>
    <w:rsid w:val="00B56ED7"/>
    <w:rsid w:val="00B671FF"/>
    <w:rsid w:val="00B720B2"/>
    <w:rsid w:val="00B7719A"/>
    <w:rsid w:val="00B926ED"/>
    <w:rsid w:val="00B94C07"/>
    <w:rsid w:val="00B97AE8"/>
    <w:rsid w:val="00BA05C8"/>
    <w:rsid w:val="00BA2525"/>
    <w:rsid w:val="00BA5093"/>
    <w:rsid w:val="00BA74C5"/>
    <w:rsid w:val="00BA75FE"/>
    <w:rsid w:val="00BB190A"/>
    <w:rsid w:val="00BB6361"/>
    <w:rsid w:val="00BB6E74"/>
    <w:rsid w:val="00BC1899"/>
    <w:rsid w:val="00BC1959"/>
    <w:rsid w:val="00BC42FE"/>
    <w:rsid w:val="00BC7F6A"/>
    <w:rsid w:val="00BD0AE5"/>
    <w:rsid w:val="00BD65CA"/>
    <w:rsid w:val="00BD792B"/>
    <w:rsid w:val="00BE19D6"/>
    <w:rsid w:val="00BE63C2"/>
    <w:rsid w:val="00BE73D6"/>
    <w:rsid w:val="00BE7B8B"/>
    <w:rsid w:val="00BF0B39"/>
    <w:rsid w:val="00BF7DA9"/>
    <w:rsid w:val="00C05F02"/>
    <w:rsid w:val="00C0787A"/>
    <w:rsid w:val="00C1208F"/>
    <w:rsid w:val="00C149F6"/>
    <w:rsid w:val="00C16A6F"/>
    <w:rsid w:val="00C178FD"/>
    <w:rsid w:val="00C21314"/>
    <w:rsid w:val="00C21522"/>
    <w:rsid w:val="00C21545"/>
    <w:rsid w:val="00C22311"/>
    <w:rsid w:val="00C2266F"/>
    <w:rsid w:val="00C240EC"/>
    <w:rsid w:val="00C25BA7"/>
    <w:rsid w:val="00C26E29"/>
    <w:rsid w:val="00C27098"/>
    <w:rsid w:val="00C378C1"/>
    <w:rsid w:val="00C4054F"/>
    <w:rsid w:val="00C40880"/>
    <w:rsid w:val="00C41AEA"/>
    <w:rsid w:val="00C42BA3"/>
    <w:rsid w:val="00C47DFF"/>
    <w:rsid w:val="00C5047E"/>
    <w:rsid w:val="00C52CA8"/>
    <w:rsid w:val="00C546B8"/>
    <w:rsid w:val="00C63675"/>
    <w:rsid w:val="00C6526E"/>
    <w:rsid w:val="00C65CDF"/>
    <w:rsid w:val="00C67D89"/>
    <w:rsid w:val="00C70EEB"/>
    <w:rsid w:val="00C736BF"/>
    <w:rsid w:val="00C74FEB"/>
    <w:rsid w:val="00C82FC7"/>
    <w:rsid w:val="00C87951"/>
    <w:rsid w:val="00C90A1A"/>
    <w:rsid w:val="00CA33B1"/>
    <w:rsid w:val="00CA36BB"/>
    <w:rsid w:val="00CA4C21"/>
    <w:rsid w:val="00CA5334"/>
    <w:rsid w:val="00CA7686"/>
    <w:rsid w:val="00CB06CC"/>
    <w:rsid w:val="00CB34D6"/>
    <w:rsid w:val="00CB54A4"/>
    <w:rsid w:val="00CB6F14"/>
    <w:rsid w:val="00CB71A1"/>
    <w:rsid w:val="00CC03D6"/>
    <w:rsid w:val="00CC49B2"/>
    <w:rsid w:val="00CD160F"/>
    <w:rsid w:val="00CD37EA"/>
    <w:rsid w:val="00CD3860"/>
    <w:rsid w:val="00CD399D"/>
    <w:rsid w:val="00CD5F7C"/>
    <w:rsid w:val="00CD748D"/>
    <w:rsid w:val="00CE043F"/>
    <w:rsid w:val="00CE1DD0"/>
    <w:rsid w:val="00CE2307"/>
    <w:rsid w:val="00CE7A92"/>
    <w:rsid w:val="00CF68A1"/>
    <w:rsid w:val="00D02068"/>
    <w:rsid w:val="00D03243"/>
    <w:rsid w:val="00D04203"/>
    <w:rsid w:val="00D06E3B"/>
    <w:rsid w:val="00D07F46"/>
    <w:rsid w:val="00D10060"/>
    <w:rsid w:val="00D124F4"/>
    <w:rsid w:val="00D12D06"/>
    <w:rsid w:val="00D179A8"/>
    <w:rsid w:val="00D17F92"/>
    <w:rsid w:val="00D23465"/>
    <w:rsid w:val="00D326AE"/>
    <w:rsid w:val="00D358EF"/>
    <w:rsid w:val="00D359DD"/>
    <w:rsid w:val="00D4172B"/>
    <w:rsid w:val="00D47FF3"/>
    <w:rsid w:val="00D54D74"/>
    <w:rsid w:val="00D57CE0"/>
    <w:rsid w:val="00D646B0"/>
    <w:rsid w:val="00D656A0"/>
    <w:rsid w:val="00D70839"/>
    <w:rsid w:val="00D71C13"/>
    <w:rsid w:val="00D729E1"/>
    <w:rsid w:val="00D7631C"/>
    <w:rsid w:val="00D80B3A"/>
    <w:rsid w:val="00D8224C"/>
    <w:rsid w:val="00D83AD8"/>
    <w:rsid w:val="00D842B2"/>
    <w:rsid w:val="00D84F4E"/>
    <w:rsid w:val="00D90875"/>
    <w:rsid w:val="00D90BC6"/>
    <w:rsid w:val="00D91A6A"/>
    <w:rsid w:val="00D92083"/>
    <w:rsid w:val="00D93AE7"/>
    <w:rsid w:val="00D94E09"/>
    <w:rsid w:val="00D9730E"/>
    <w:rsid w:val="00DA5661"/>
    <w:rsid w:val="00DA5A6D"/>
    <w:rsid w:val="00DB1572"/>
    <w:rsid w:val="00DB2A75"/>
    <w:rsid w:val="00DB5573"/>
    <w:rsid w:val="00DB5D2E"/>
    <w:rsid w:val="00DB6FF1"/>
    <w:rsid w:val="00DC1D9A"/>
    <w:rsid w:val="00DC49F8"/>
    <w:rsid w:val="00DC4E44"/>
    <w:rsid w:val="00DC6428"/>
    <w:rsid w:val="00DD6A2C"/>
    <w:rsid w:val="00DE3CA9"/>
    <w:rsid w:val="00DF0574"/>
    <w:rsid w:val="00DF1FB0"/>
    <w:rsid w:val="00DF387D"/>
    <w:rsid w:val="00DF742F"/>
    <w:rsid w:val="00E05420"/>
    <w:rsid w:val="00E06DE0"/>
    <w:rsid w:val="00E07470"/>
    <w:rsid w:val="00E07969"/>
    <w:rsid w:val="00E12C1B"/>
    <w:rsid w:val="00E1386C"/>
    <w:rsid w:val="00E13F55"/>
    <w:rsid w:val="00E14DB4"/>
    <w:rsid w:val="00E163E0"/>
    <w:rsid w:val="00E17274"/>
    <w:rsid w:val="00E206EE"/>
    <w:rsid w:val="00E20BFE"/>
    <w:rsid w:val="00E21AFA"/>
    <w:rsid w:val="00E22D5D"/>
    <w:rsid w:val="00E26545"/>
    <w:rsid w:val="00E358A8"/>
    <w:rsid w:val="00E37E22"/>
    <w:rsid w:val="00E4001B"/>
    <w:rsid w:val="00E40F37"/>
    <w:rsid w:val="00E41BCD"/>
    <w:rsid w:val="00E42073"/>
    <w:rsid w:val="00E43FC4"/>
    <w:rsid w:val="00E44513"/>
    <w:rsid w:val="00E46207"/>
    <w:rsid w:val="00E5044A"/>
    <w:rsid w:val="00E60680"/>
    <w:rsid w:val="00E60E73"/>
    <w:rsid w:val="00E63707"/>
    <w:rsid w:val="00E67FD8"/>
    <w:rsid w:val="00E70688"/>
    <w:rsid w:val="00E72C21"/>
    <w:rsid w:val="00E75949"/>
    <w:rsid w:val="00E75D1C"/>
    <w:rsid w:val="00E77A87"/>
    <w:rsid w:val="00E82ED7"/>
    <w:rsid w:val="00E83BB7"/>
    <w:rsid w:val="00E90632"/>
    <w:rsid w:val="00E91FBC"/>
    <w:rsid w:val="00E964CD"/>
    <w:rsid w:val="00E968A5"/>
    <w:rsid w:val="00EA4A76"/>
    <w:rsid w:val="00EA7D18"/>
    <w:rsid w:val="00EA7DB5"/>
    <w:rsid w:val="00EB0294"/>
    <w:rsid w:val="00EB2903"/>
    <w:rsid w:val="00EB36F4"/>
    <w:rsid w:val="00EB489F"/>
    <w:rsid w:val="00EB6DB3"/>
    <w:rsid w:val="00EB6E76"/>
    <w:rsid w:val="00EC0DF4"/>
    <w:rsid w:val="00EC2B97"/>
    <w:rsid w:val="00EC3FBC"/>
    <w:rsid w:val="00EC4A40"/>
    <w:rsid w:val="00EC7C0D"/>
    <w:rsid w:val="00ED5394"/>
    <w:rsid w:val="00ED58A8"/>
    <w:rsid w:val="00EE0C3E"/>
    <w:rsid w:val="00EE5298"/>
    <w:rsid w:val="00EE6731"/>
    <w:rsid w:val="00EF043F"/>
    <w:rsid w:val="00EF55CB"/>
    <w:rsid w:val="00F01730"/>
    <w:rsid w:val="00F01C0B"/>
    <w:rsid w:val="00F03D9D"/>
    <w:rsid w:val="00F04217"/>
    <w:rsid w:val="00F05470"/>
    <w:rsid w:val="00F057F6"/>
    <w:rsid w:val="00F06BA2"/>
    <w:rsid w:val="00F10653"/>
    <w:rsid w:val="00F12331"/>
    <w:rsid w:val="00F137C4"/>
    <w:rsid w:val="00F142D6"/>
    <w:rsid w:val="00F20EDF"/>
    <w:rsid w:val="00F27AB2"/>
    <w:rsid w:val="00F33AE2"/>
    <w:rsid w:val="00F3676B"/>
    <w:rsid w:val="00F36F2C"/>
    <w:rsid w:val="00F414E9"/>
    <w:rsid w:val="00F43659"/>
    <w:rsid w:val="00F44F40"/>
    <w:rsid w:val="00F52285"/>
    <w:rsid w:val="00F614DB"/>
    <w:rsid w:val="00F63EDD"/>
    <w:rsid w:val="00F720C7"/>
    <w:rsid w:val="00F76B51"/>
    <w:rsid w:val="00F77B3B"/>
    <w:rsid w:val="00F80AE3"/>
    <w:rsid w:val="00F80C88"/>
    <w:rsid w:val="00F85416"/>
    <w:rsid w:val="00F874E1"/>
    <w:rsid w:val="00F92D83"/>
    <w:rsid w:val="00FA0C09"/>
    <w:rsid w:val="00FA4201"/>
    <w:rsid w:val="00FB02F3"/>
    <w:rsid w:val="00FB31D7"/>
    <w:rsid w:val="00FB3B51"/>
    <w:rsid w:val="00FB50CA"/>
    <w:rsid w:val="00FB528A"/>
    <w:rsid w:val="00FC4DC1"/>
    <w:rsid w:val="00FC645E"/>
    <w:rsid w:val="00FC686E"/>
    <w:rsid w:val="00FD0285"/>
    <w:rsid w:val="00FD0BF3"/>
    <w:rsid w:val="00FD0CE1"/>
    <w:rsid w:val="00FD3CFD"/>
    <w:rsid w:val="00FD463F"/>
    <w:rsid w:val="00FD4A77"/>
    <w:rsid w:val="00FD702A"/>
    <w:rsid w:val="00FE3E3A"/>
    <w:rsid w:val="00FE436A"/>
    <w:rsid w:val="00FE44DA"/>
    <w:rsid w:val="00FF4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8A113"/>
  <w15:docId w15:val="{FEFC3CD8-F8EA-4A7A-B6FD-CD3B38348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18F"/>
    <w:pPr>
      <w:spacing w:after="5" w:line="250" w:lineRule="auto"/>
      <w:ind w:left="482"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hidden/>
    <w:rPr>
      <w:rFonts w:ascii="Calibri" w:eastAsia="Calibri" w:hAnsi="Calibri" w:cs="Calibri"/>
      <w:color w:val="000000"/>
      <w:sz w:val="22"/>
    </w:rPr>
  </w:style>
  <w:style w:type="paragraph" w:styleId="Footer">
    <w:name w:val="footer"/>
    <w:basedOn w:val="Normal"/>
    <w:link w:val="FooterChar"/>
    <w:uiPriority w:val="99"/>
    <w:unhideWhenUsed/>
    <w:rsid w:val="003071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10F"/>
    <w:rPr>
      <w:rFonts w:ascii="Times New Roman" w:eastAsia="Times New Roman" w:hAnsi="Times New Roman" w:cs="Times New Roman"/>
      <w:color w:val="000000"/>
      <w:sz w:val="24"/>
    </w:rPr>
  </w:style>
  <w:style w:type="paragraph" w:styleId="Revision">
    <w:name w:val="Revision"/>
    <w:hidden/>
    <w:uiPriority w:val="99"/>
    <w:semiHidden/>
    <w:rsid w:val="00F43659"/>
    <w:pPr>
      <w:spacing w:after="0" w:line="240" w:lineRule="auto"/>
    </w:pPr>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FB31D7"/>
    <w:rPr>
      <w:color w:val="0563C1" w:themeColor="hyperlink"/>
      <w:u w:val="single"/>
    </w:rPr>
  </w:style>
  <w:style w:type="character" w:customStyle="1" w:styleId="UnresolvedMention1">
    <w:name w:val="Unresolved Mention1"/>
    <w:basedOn w:val="DefaultParagraphFont"/>
    <w:uiPriority w:val="99"/>
    <w:semiHidden/>
    <w:unhideWhenUsed/>
    <w:rsid w:val="00FB31D7"/>
    <w:rPr>
      <w:color w:val="605E5C"/>
      <w:shd w:val="clear" w:color="auto" w:fill="E1DFDD"/>
    </w:rPr>
  </w:style>
  <w:style w:type="character" w:styleId="CommentReference">
    <w:name w:val="annotation reference"/>
    <w:basedOn w:val="DefaultParagraphFont"/>
    <w:uiPriority w:val="99"/>
    <w:semiHidden/>
    <w:unhideWhenUsed/>
    <w:rsid w:val="00E41BCD"/>
    <w:rPr>
      <w:sz w:val="16"/>
      <w:szCs w:val="16"/>
    </w:rPr>
  </w:style>
  <w:style w:type="paragraph" w:styleId="CommentText">
    <w:name w:val="annotation text"/>
    <w:basedOn w:val="Normal"/>
    <w:link w:val="CommentTextChar"/>
    <w:uiPriority w:val="99"/>
    <w:unhideWhenUsed/>
    <w:rsid w:val="00E41BCD"/>
    <w:pPr>
      <w:spacing w:line="240" w:lineRule="auto"/>
    </w:pPr>
    <w:rPr>
      <w:sz w:val="20"/>
      <w:szCs w:val="20"/>
    </w:rPr>
  </w:style>
  <w:style w:type="character" w:customStyle="1" w:styleId="CommentTextChar">
    <w:name w:val="Comment Text Char"/>
    <w:basedOn w:val="DefaultParagraphFont"/>
    <w:link w:val="CommentText"/>
    <w:uiPriority w:val="99"/>
    <w:rsid w:val="00E41BCD"/>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41BCD"/>
    <w:rPr>
      <w:b/>
      <w:bCs/>
    </w:rPr>
  </w:style>
  <w:style w:type="character" w:customStyle="1" w:styleId="CommentSubjectChar">
    <w:name w:val="Comment Subject Char"/>
    <w:basedOn w:val="CommentTextChar"/>
    <w:link w:val="CommentSubject"/>
    <w:uiPriority w:val="99"/>
    <w:semiHidden/>
    <w:rsid w:val="00E41BCD"/>
    <w:rPr>
      <w:rFonts w:ascii="Times New Roman" w:eastAsia="Times New Roman" w:hAnsi="Times New Roman" w:cs="Times New Roman"/>
      <w:b/>
      <w:bCs/>
      <w:color w:val="000000"/>
      <w:sz w:val="20"/>
      <w:szCs w:val="20"/>
    </w:rPr>
  </w:style>
  <w:style w:type="paragraph" w:styleId="ListParagraph">
    <w:name w:val="List Paragraph"/>
    <w:basedOn w:val="Normal"/>
    <w:uiPriority w:val="34"/>
    <w:qFormat/>
    <w:rsid w:val="00054CD8"/>
    <w:pPr>
      <w:ind w:left="720"/>
      <w:contextualSpacing/>
    </w:pPr>
  </w:style>
  <w:style w:type="paragraph" w:styleId="Bibliography">
    <w:name w:val="Bibliography"/>
    <w:basedOn w:val="Normal"/>
    <w:next w:val="Normal"/>
    <w:uiPriority w:val="37"/>
    <w:unhideWhenUsed/>
    <w:rsid w:val="00054CD8"/>
    <w:pPr>
      <w:spacing w:after="0" w:line="480" w:lineRule="auto"/>
      <w:ind w:left="720" w:hanging="720"/>
    </w:pPr>
  </w:style>
  <w:style w:type="paragraph" w:styleId="BalloonText">
    <w:name w:val="Balloon Text"/>
    <w:basedOn w:val="Normal"/>
    <w:link w:val="BalloonTextChar"/>
    <w:uiPriority w:val="99"/>
    <w:semiHidden/>
    <w:unhideWhenUsed/>
    <w:rsid w:val="00F33A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3AE2"/>
    <w:rPr>
      <w:rFonts w:ascii="Segoe UI" w:eastAsia="Times New Roman" w:hAnsi="Segoe UI" w:cs="Segoe UI"/>
      <w:color w:val="000000"/>
      <w:sz w:val="18"/>
      <w:szCs w:val="18"/>
    </w:rPr>
  </w:style>
  <w:style w:type="character" w:customStyle="1" w:styleId="UnresolvedMention2">
    <w:name w:val="Unresolved Mention2"/>
    <w:basedOn w:val="DefaultParagraphFont"/>
    <w:uiPriority w:val="99"/>
    <w:semiHidden/>
    <w:unhideWhenUsed/>
    <w:rsid w:val="009B06C2"/>
    <w:rPr>
      <w:color w:val="605E5C"/>
      <w:shd w:val="clear" w:color="auto" w:fill="E1DFDD"/>
    </w:rPr>
  </w:style>
  <w:style w:type="paragraph" w:styleId="FootnoteText">
    <w:name w:val="footnote text"/>
    <w:basedOn w:val="Normal"/>
    <w:link w:val="FootnoteTextChar"/>
    <w:uiPriority w:val="99"/>
    <w:semiHidden/>
    <w:unhideWhenUsed/>
    <w:rsid w:val="000E63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636F"/>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0E636F"/>
    <w:rPr>
      <w:vertAlign w:val="superscript"/>
    </w:rPr>
  </w:style>
  <w:style w:type="character" w:customStyle="1" w:styleId="UnresolvedMention3">
    <w:name w:val="Unresolved Mention3"/>
    <w:basedOn w:val="DefaultParagraphFont"/>
    <w:uiPriority w:val="99"/>
    <w:semiHidden/>
    <w:unhideWhenUsed/>
    <w:rsid w:val="00EC2B97"/>
    <w:rPr>
      <w:color w:val="605E5C"/>
      <w:shd w:val="clear" w:color="auto" w:fill="E1DFDD"/>
    </w:rPr>
  </w:style>
  <w:style w:type="paragraph" w:styleId="NormalWeb">
    <w:name w:val="Normal (Web)"/>
    <w:basedOn w:val="Normal"/>
    <w:uiPriority w:val="99"/>
    <w:semiHidden/>
    <w:unhideWhenUsed/>
    <w:rsid w:val="00C05F02"/>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228">
      <w:bodyDiv w:val="1"/>
      <w:marLeft w:val="0"/>
      <w:marRight w:val="0"/>
      <w:marTop w:val="0"/>
      <w:marBottom w:val="0"/>
      <w:divBdr>
        <w:top w:val="none" w:sz="0" w:space="0" w:color="auto"/>
        <w:left w:val="none" w:sz="0" w:space="0" w:color="auto"/>
        <w:bottom w:val="none" w:sz="0" w:space="0" w:color="auto"/>
        <w:right w:val="none" w:sz="0" w:space="0" w:color="auto"/>
      </w:divBdr>
      <w:divsChild>
        <w:div w:id="1556118193">
          <w:marLeft w:val="480"/>
          <w:marRight w:val="0"/>
          <w:marTop w:val="0"/>
          <w:marBottom w:val="0"/>
          <w:divBdr>
            <w:top w:val="none" w:sz="0" w:space="0" w:color="auto"/>
            <w:left w:val="none" w:sz="0" w:space="0" w:color="auto"/>
            <w:bottom w:val="none" w:sz="0" w:space="0" w:color="auto"/>
            <w:right w:val="none" w:sz="0" w:space="0" w:color="auto"/>
          </w:divBdr>
          <w:divsChild>
            <w:div w:id="2816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879">
      <w:bodyDiv w:val="1"/>
      <w:marLeft w:val="0"/>
      <w:marRight w:val="0"/>
      <w:marTop w:val="0"/>
      <w:marBottom w:val="0"/>
      <w:divBdr>
        <w:top w:val="none" w:sz="0" w:space="0" w:color="auto"/>
        <w:left w:val="none" w:sz="0" w:space="0" w:color="auto"/>
        <w:bottom w:val="none" w:sz="0" w:space="0" w:color="auto"/>
        <w:right w:val="none" w:sz="0" w:space="0" w:color="auto"/>
      </w:divBdr>
    </w:div>
    <w:div w:id="46296886">
      <w:bodyDiv w:val="1"/>
      <w:marLeft w:val="0"/>
      <w:marRight w:val="0"/>
      <w:marTop w:val="0"/>
      <w:marBottom w:val="0"/>
      <w:divBdr>
        <w:top w:val="none" w:sz="0" w:space="0" w:color="auto"/>
        <w:left w:val="none" w:sz="0" w:space="0" w:color="auto"/>
        <w:bottom w:val="none" w:sz="0" w:space="0" w:color="auto"/>
        <w:right w:val="none" w:sz="0" w:space="0" w:color="auto"/>
      </w:divBdr>
    </w:div>
    <w:div w:id="93675298">
      <w:bodyDiv w:val="1"/>
      <w:marLeft w:val="0"/>
      <w:marRight w:val="0"/>
      <w:marTop w:val="0"/>
      <w:marBottom w:val="0"/>
      <w:divBdr>
        <w:top w:val="none" w:sz="0" w:space="0" w:color="auto"/>
        <w:left w:val="none" w:sz="0" w:space="0" w:color="auto"/>
        <w:bottom w:val="none" w:sz="0" w:space="0" w:color="auto"/>
        <w:right w:val="none" w:sz="0" w:space="0" w:color="auto"/>
      </w:divBdr>
    </w:div>
    <w:div w:id="119148946">
      <w:bodyDiv w:val="1"/>
      <w:marLeft w:val="0"/>
      <w:marRight w:val="0"/>
      <w:marTop w:val="0"/>
      <w:marBottom w:val="0"/>
      <w:divBdr>
        <w:top w:val="none" w:sz="0" w:space="0" w:color="auto"/>
        <w:left w:val="none" w:sz="0" w:space="0" w:color="auto"/>
        <w:bottom w:val="none" w:sz="0" w:space="0" w:color="auto"/>
        <w:right w:val="none" w:sz="0" w:space="0" w:color="auto"/>
      </w:divBdr>
    </w:div>
    <w:div w:id="177425948">
      <w:bodyDiv w:val="1"/>
      <w:marLeft w:val="0"/>
      <w:marRight w:val="0"/>
      <w:marTop w:val="0"/>
      <w:marBottom w:val="0"/>
      <w:divBdr>
        <w:top w:val="none" w:sz="0" w:space="0" w:color="auto"/>
        <w:left w:val="none" w:sz="0" w:space="0" w:color="auto"/>
        <w:bottom w:val="none" w:sz="0" w:space="0" w:color="auto"/>
        <w:right w:val="none" w:sz="0" w:space="0" w:color="auto"/>
      </w:divBdr>
      <w:divsChild>
        <w:div w:id="1033581512">
          <w:marLeft w:val="480"/>
          <w:marRight w:val="0"/>
          <w:marTop w:val="0"/>
          <w:marBottom w:val="0"/>
          <w:divBdr>
            <w:top w:val="none" w:sz="0" w:space="0" w:color="auto"/>
            <w:left w:val="none" w:sz="0" w:space="0" w:color="auto"/>
            <w:bottom w:val="none" w:sz="0" w:space="0" w:color="auto"/>
            <w:right w:val="none" w:sz="0" w:space="0" w:color="auto"/>
          </w:divBdr>
          <w:divsChild>
            <w:div w:id="2155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55576">
      <w:bodyDiv w:val="1"/>
      <w:marLeft w:val="0"/>
      <w:marRight w:val="0"/>
      <w:marTop w:val="0"/>
      <w:marBottom w:val="0"/>
      <w:divBdr>
        <w:top w:val="none" w:sz="0" w:space="0" w:color="auto"/>
        <w:left w:val="none" w:sz="0" w:space="0" w:color="auto"/>
        <w:bottom w:val="none" w:sz="0" w:space="0" w:color="auto"/>
        <w:right w:val="none" w:sz="0" w:space="0" w:color="auto"/>
      </w:divBdr>
      <w:divsChild>
        <w:div w:id="2049910440">
          <w:marLeft w:val="480"/>
          <w:marRight w:val="0"/>
          <w:marTop w:val="0"/>
          <w:marBottom w:val="0"/>
          <w:divBdr>
            <w:top w:val="none" w:sz="0" w:space="0" w:color="auto"/>
            <w:left w:val="none" w:sz="0" w:space="0" w:color="auto"/>
            <w:bottom w:val="none" w:sz="0" w:space="0" w:color="auto"/>
            <w:right w:val="none" w:sz="0" w:space="0" w:color="auto"/>
          </w:divBdr>
          <w:divsChild>
            <w:div w:id="7723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20405">
      <w:bodyDiv w:val="1"/>
      <w:marLeft w:val="0"/>
      <w:marRight w:val="0"/>
      <w:marTop w:val="0"/>
      <w:marBottom w:val="0"/>
      <w:divBdr>
        <w:top w:val="none" w:sz="0" w:space="0" w:color="auto"/>
        <w:left w:val="none" w:sz="0" w:space="0" w:color="auto"/>
        <w:bottom w:val="none" w:sz="0" w:space="0" w:color="auto"/>
        <w:right w:val="none" w:sz="0" w:space="0" w:color="auto"/>
      </w:divBdr>
    </w:div>
    <w:div w:id="1190995097">
      <w:bodyDiv w:val="1"/>
      <w:marLeft w:val="0"/>
      <w:marRight w:val="0"/>
      <w:marTop w:val="0"/>
      <w:marBottom w:val="0"/>
      <w:divBdr>
        <w:top w:val="none" w:sz="0" w:space="0" w:color="auto"/>
        <w:left w:val="none" w:sz="0" w:space="0" w:color="auto"/>
        <w:bottom w:val="none" w:sz="0" w:space="0" w:color="auto"/>
        <w:right w:val="none" w:sz="0" w:space="0" w:color="auto"/>
      </w:divBdr>
      <w:divsChild>
        <w:div w:id="111827449">
          <w:marLeft w:val="480"/>
          <w:marRight w:val="0"/>
          <w:marTop w:val="0"/>
          <w:marBottom w:val="0"/>
          <w:divBdr>
            <w:top w:val="none" w:sz="0" w:space="0" w:color="auto"/>
            <w:left w:val="none" w:sz="0" w:space="0" w:color="auto"/>
            <w:bottom w:val="none" w:sz="0" w:space="0" w:color="auto"/>
            <w:right w:val="none" w:sz="0" w:space="0" w:color="auto"/>
          </w:divBdr>
          <w:divsChild>
            <w:div w:id="6742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4211">
      <w:bodyDiv w:val="1"/>
      <w:marLeft w:val="0"/>
      <w:marRight w:val="0"/>
      <w:marTop w:val="0"/>
      <w:marBottom w:val="0"/>
      <w:divBdr>
        <w:top w:val="none" w:sz="0" w:space="0" w:color="auto"/>
        <w:left w:val="none" w:sz="0" w:space="0" w:color="auto"/>
        <w:bottom w:val="none" w:sz="0" w:space="0" w:color="auto"/>
        <w:right w:val="none" w:sz="0" w:space="0" w:color="auto"/>
      </w:divBdr>
      <w:divsChild>
        <w:div w:id="530647356">
          <w:marLeft w:val="480"/>
          <w:marRight w:val="0"/>
          <w:marTop w:val="0"/>
          <w:marBottom w:val="0"/>
          <w:divBdr>
            <w:top w:val="none" w:sz="0" w:space="0" w:color="auto"/>
            <w:left w:val="none" w:sz="0" w:space="0" w:color="auto"/>
            <w:bottom w:val="none" w:sz="0" w:space="0" w:color="auto"/>
            <w:right w:val="none" w:sz="0" w:space="0" w:color="auto"/>
          </w:divBdr>
          <w:divsChild>
            <w:div w:id="123732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71070">
      <w:bodyDiv w:val="1"/>
      <w:marLeft w:val="0"/>
      <w:marRight w:val="0"/>
      <w:marTop w:val="0"/>
      <w:marBottom w:val="0"/>
      <w:divBdr>
        <w:top w:val="none" w:sz="0" w:space="0" w:color="auto"/>
        <w:left w:val="none" w:sz="0" w:space="0" w:color="auto"/>
        <w:bottom w:val="none" w:sz="0" w:space="0" w:color="auto"/>
        <w:right w:val="none" w:sz="0" w:space="0" w:color="auto"/>
      </w:divBdr>
    </w:div>
    <w:div w:id="1750493122">
      <w:bodyDiv w:val="1"/>
      <w:marLeft w:val="0"/>
      <w:marRight w:val="0"/>
      <w:marTop w:val="0"/>
      <w:marBottom w:val="0"/>
      <w:divBdr>
        <w:top w:val="none" w:sz="0" w:space="0" w:color="auto"/>
        <w:left w:val="none" w:sz="0" w:space="0" w:color="auto"/>
        <w:bottom w:val="none" w:sz="0" w:space="0" w:color="auto"/>
        <w:right w:val="none" w:sz="0" w:space="0" w:color="auto"/>
      </w:divBdr>
    </w:div>
    <w:div w:id="1825269906">
      <w:bodyDiv w:val="1"/>
      <w:marLeft w:val="0"/>
      <w:marRight w:val="0"/>
      <w:marTop w:val="0"/>
      <w:marBottom w:val="0"/>
      <w:divBdr>
        <w:top w:val="none" w:sz="0" w:space="0" w:color="auto"/>
        <w:left w:val="none" w:sz="0" w:space="0" w:color="auto"/>
        <w:bottom w:val="none" w:sz="0" w:space="0" w:color="auto"/>
        <w:right w:val="none" w:sz="0" w:space="0" w:color="auto"/>
      </w:divBdr>
    </w:div>
    <w:div w:id="1885018591">
      <w:bodyDiv w:val="1"/>
      <w:marLeft w:val="0"/>
      <w:marRight w:val="0"/>
      <w:marTop w:val="0"/>
      <w:marBottom w:val="0"/>
      <w:divBdr>
        <w:top w:val="none" w:sz="0" w:space="0" w:color="auto"/>
        <w:left w:val="none" w:sz="0" w:space="0" w:color="auto"/>
        <w:bottom w:val="none" w:sz="0" w:space="0" w:color="auto"/>
        <w:right w:val="none" w:sz="0" w:space="0" w:color="auto"/>
      </w:divBdr>
    </w:div>
    <w:div w:id="2096972530">
      <w:bodyDiv w:val="1"/>
      <w:marLeft w:val="0"/>
      <w:marRight w:val="0"/>
      <w:marTop w:val="0"/>
      <w:marBottom w:val="0"/>
      <w:divBdr>
        <w:top w:val="none" w:sz="0" w:space="0" w:color="auto"/>
        <w:left w:val="none" w:sz="0" w:space="0" w:color="auto"/>
        <w:bottom w:val="none" w:sz="0" w:space="0" w:color="auto"/>
        <w:right w:val="none" w:sz="0" w:space="0" w:color="auto"/>
      </w:divBdr>
    </w:div>
    <w:div w:id="2137479007">
      <w:bodyDiv w:val="1"/>
      <w:marLeft w:val="0"/>
      <w:marRight w:val="0"/>
      <w:marTop w:val="0"/>
      <w:marBottom w:val="0"/>
      <w:divBdr>
        <w:top w:val="none" w:sz="0" w:space="0" w:color="auto"/>
        <w:left w:val="none" w:sz="0" w:space="0" w:color="auto"/>
        <w:bottom w:val="none" w:sz="0" w:space="0" w:color="auto"/>
        <w:right w:val="none" w:sz="0" w:space="0" w:color="auto"/>
      </w:divBdr>
      <w:divsChild>
        <w:div w:id="1054767880">
          <w:marLeft w:val="480"/>
          <w:marRight w:val="0"/>
          <w:marTop w:val="0"/>
          <w:marBottom w:val="0"/>
          <w:divBdr>
            <w:top w:val="none" w:sz="0" w:space="0" w:color="auto"/>
            <w:left w:val="none" w:sz="0" w:space="0" w:color="auto"/>
            <w:bottom w:val="none" w:sz="0" w:space="0" w:color="auto"/>
            <w:right w:val="none" w:sz="0" w:space="0" w:color="auto"/>
          </w:divBdr>
          <w:divsChild>
            <w:div w:id="6985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4CDBE-1511-4DDE-88F7-CD82AEF69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3395</Words>
  <Characters>19354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Temple University</Company>
  <LinksUpToDate>false</LinksUpToDate>
  <CharactersWithSpaces>22704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Mitchell</dc:creator>
  <cp:keywords/>
  <cp:lastModifiedBy>Billy Mitchell</cp:lastModifiedBy>
  <cp:revision>3</cp:revision>
  <cp:lastPrinted>2024-10-22T20:11:00Z</cp:lastPrinted>
  <dcterms:created xsi:type="dcterms:W3CDTF">2024-11-14T04:06:00Z</dcterms:created>
  <dcterms:modified xsi:type="dcterms:W3CDTF">2024-11-14T04:07:00Z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id="SRrNlvyp"/&gt;&lt;style id="http://www.zotero.org/styles/apa" locale="en-US" hasBibliography="1" bibliographyStyleHasBeenSet="1"/&gt;&lt;prefs&gt;&lt;pref name="fieldType" value="Field"/&gt;&lt;/prefs&gt;&lt;/data&gt;</vt:lpwstr>
  </property>
</Properties>
</file>