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0AE5B6B5"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DA7ADE">
        <w:rPr>
          <w:rFonts w:ascii="Times-Roman" w:hAnsi="Times-Roman"/>
          <w:noProof/>
        </w:rPr>
        <w:t>7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67FE5EC2"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lang w:val="en"/>
        </w:rPr>
        <w:t xml:space="preserve">We also do take the point about rearranging information in the results more generally and have made some modifications </w:t>
      </w:r>
      <w:r w:rsidR="00C868E8" w:rsidRPr="00C868E8">
        <w:rPr>
          <w:rFonts w:ascii="Times New Roman" w:hAnsi="Times New Roman"/>
          <w:sz w:val="22"/>
          <w:szCs w:val="22"/>
          <w:lang w:val="en"/>
        </w:rPr>
        <w:t>to further emphasize the key points.</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F76695"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central to the primary purpose of the study. However, these analyses, justification for these analyses, and the results of these analyses remained present in the markdown script at the time of submission. </w:t>
      </w:r>
      <w:r w:rsidR="005B6AB2" w:rsidRPr="00F76695">
        <w:rPr>
          <w:rFonts w:ascii="Times New Roman" w:hAnsi="Times New Roman"/>
          <w:sz w:val="22"/>
          <w:szCs w:val="22"/>
          <w:highlight w:val="green"/>
          <w:lang w:val="en"/>
        </w:rPr>
        <w:br/>
      </w:r>
    </w:p>
    <w:p w14:paraId="469B9905" w14:textId="2F64EC6C"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F76695">
        <w:rPr>
          <w:rFonts w:ascii="Times New Roman" w:hAnsi="Times New Roman"/>
          <w:b/>
          <w:bCs/>
          <w:sz w:val="22"/>
          <w:szCs w:val="22"/>
          <w:lang w:val="en"/>
        </w:rPr>
        <w:tab/>
      </w:r>
      <w:r w:rsidRPr="00F76695">
        <w:rPr>
          <w:rFonts w:ascii="Times New Roman" w:hAnsi="Times New Roman"/>
          <w:b/>
          <w:bCs/>
          <w:sz w:val="22"/>
          <w:szCs w:val="22"/>
          <w:lang w:val="en"/>
        </w:rPr>
        <w:tab/>
      </w:r>
      <w:r w:rsidR="007929AE" w:rsidRPr="00F76695">
        <w:rPr>
          <w:rFonts w:ascii="Times New Roman" w:hAnsi="Times New Roman"/>
          <w:sz w:val="22"/>
          <w:szCs w:val="22"/>
          <w:lang w:val="en"/>
        </w:rPr>
        <w:t>Our preregistration for Study 1 specifically note</w:t>
      </w:r>
      <w:r w:rsidRPr="00F76695">
        <w:rPr>
          <w:rFonts w:ascii="Times New Roman" w:hAnsi="Times New Roman"/>
          <w:sz w:val="22"/>
          <w:szCs w:val="22"/>
          <w:lang w:val="en"/>
        </w:rPr>
        <w:t>d</w:t>
      </w:r>
      <w:r w:rsidR="007929AE" w:rsidRPr="00F76695">
        <w:rPr>
          <w:rFonts w:ascii="Times New Roman" w:hAnsi="Times New Roman"/>
          <w:sz w:val="22"/>
          <w:szCs w:val="22"/>
          <w:lang w:val="en"/>
        </w:rPr>
        <w:t xml:space="preserve"> that Cognitive Load may moderate the relationship between intensity and usage and, thus, was specifically mentioned</w:t>
      </w:r>
      <w:r w:rsidRPr="00F76695">
        <w:rPr>
          <w:rFonts w:ascii="Times New Roman" w:hAnsi="Times New Roman"/>
          <w:sz w:val="22"/>
          <w:szCs w:val="22"/>
          <w:lang w:val="en"/>
        </w:rPr>
        <w:t xml:space="preserve">, though we did not </w:t>
      </w:r>
      <w:r w:rsidR="007929AE" w:rsidRPr="00F76695">
        <w:rPr>
          <w:rFonts w:ascii="Times New Roman" w:hAnsi="Times New Roman"/>
          <w:sz w:val="22"/>
          <w:szCs w:val="22"/>
          <w:lang w:val="en"/>
        </w:rPr>
        <w:t xml:space="preserve">find </w:t>
      </w:r>
      <w:r w:rsidRPr="00F76695">
        <w:rPr>
          <w:rFonts w:ascii="Times New Roman" w:hAnsi="Times New Roman"/>
          <w:sz w:val="22"/>
          <w:szCs w:val="22"/>
          <w:lang w:val="en"/>
        </w:rPr>
        <w:t>the hypothesized</w:t>
      </w:r>
      <w:r w:rsidR="007929AE" w:rsidRPr="00F76695">
        <w:rPr>
          <w:rFonts w:ascii="Times New Roman" w:hAnsi="Times New Roman"/>
          <w:sz w:val="22"/>
          <w:szCs w:val="22"/>
          <w:lang w:val="en"/>
        </w:rPr>
        <w:t xml:space="preserve"> association</w:t>
      </w:r>
      <w:r w:rsidRPr="00F76695">
        <w:rPr>
          <w:rFonts w:ascii="Times New Roman" w:hAnsi="Times New Roman"/>
          <w:sz w:val="22"/>
          <w:szCs w:val="22"/>
          <w:lang w:val="en"/>
        </w:rPr>
        <w:t xml:space="preserve">. This statement felt out of </w:t>
      </w:r>
      <w:proofErr w:type="gramStart"/>
      <w:r w:rsidRPr="00F76695">
        <w:rPr>
          <w:rFonts w:ascii="Times New Roman" w:hAnsi="Times New Roman"/>
          <w:sz w:val="22"/>
          <w:szCs w:val="22"/>
          <w:lang w:val="en"/>
        </w:rPr>
        <w:t>place</w:t>
      </w:r>
      <w:proofErr w:type="gramEnd"/>
      <w:r w:rsidRPr="00F76695">
        <w:rPr>
          <w:rFonts w:ascii="Times New Roman" w:hAnsi="Times New Roman"/>
          <w:sz w:val="22"/>
          <w:szCs w:val="22"/>
          <w:lang w:val="en"/>
        </w:rPr>
        <w:t xml:space="preserve"> and</w:t>
      </w:r>
      <w:r w:rsidR="00D30CAB" w:rsidRPr="00F76695">
        <w:rPr>
          <w:rFonts w:ascii="Times New Roman" w:hAnsi="Times New Roman"/>
          <w:sz w:val="22"/>
          <w:szCs w:val="22"/>
          <w:lang w:val="en"/>
        </w:rPr>
        <w:t xml:space="preserve"> </w:t>
      </w:r>
      <w:r w:rsidRPr="00F76695">
        <w:rPr>
          <w:rFonts w:ascii="Times New Roman" w:hAnsi="Times New Roman"/>
          <w:sz w:val="22"/>
          <w:szCs w:val="22"/>
          <w:lang w:val="en"/>
        </w:rPr>
        <w:t xml:space="preserve">we </w:t>
      </w:r>
      <w:r w:rsidR="00D30CAB" w:rsidRPr="00F76695">
        <w:rPr>
          <w:rFonts w:ascii="Times New Roman" w:hAnsi="Times New Roman"/>
          <w:sz w:val="22"/>
          <w:szCs w:val="22"/>
          <w:lang w:val="en"/>
        </w:rPr>
        <w:t xml:space="preserve">agree that this section demands </w:t>
      </w:r>
      <w:r w:rsidRPr="00F76695">
        <w:rPr>
          <w:rFonts w:ascii="Times New Roman" w:hAnsi="Times New Roman"/>
          <w:sz w:val="22"/>
          <w:szCs w:val="22"/>
          <w:lang w:val="en"/>
        </w:rPr>
        <w:t xml:space="preserve">general </w:t>
      </w:r>
      <w:r w:rsidR="00D30CAB" w:rsidRPr="00F76695">
        <w:rPr>
          <w:rFonts w:ascii="Times New Roman" w:hAnsi="Times New Roman"/>
          <w:sz w:val="22"/>
          <w:szCs w:val="22"/>
          <w:lang w:val="en"/>
        </w:rPr>
        <w:t>revision</w:t>
      </w:r>
      <w:r w:rsidRPr="00F76695">
        <w:rPr>
          <w:rFonts w:ascii="Times New Roman" w:hAnsi="Times New Roman"/>
          <w:sz w:val="22"/>
          <w:szCs w:val="22"/>
          <w:lang w:val="en"/>
        </w:rPr>
        <w:t>s</w:t>
      </w:r>
      <w:r w:rsidR="00D30CAB" w:rsidRPr="00F76695">
        <w:rPr>
          <w:rFonts w:ascii="Times New Roman" w:hAnsi="Times New Roman"/>
          <w:sz w:val="22"/>
          <w:szCs w:val="22"/>
          <w:lang w:val="en"/>
        </w:rPr>
        <w:t xml:space="preserve">. As a result, we have altered the title, framing, and added </w:t>
      </w:r>
      <w:r w:rsidR="007929AE" w:rsidRPr="00F76695">
        <w:rPr>
          <w:rFonts w:ascii="Times New Roman" w:hAnsi="Times New Roman"/>
          <w:sz w:val="22"/>
          <w:szCs w:val="22"/>
          <w:lang w:val="en"/>
        </w:rPr>
        <w:t xml:space="preserve">general </w:t>
      </w:r>
      <w:r w:rsidR="00D30CAB" w:rsidRPr="00F76695">
        <w:rPr>
          <w:rFonts w:ascii="Times New Roman" w:hAnsi="Times New Roman"/>
          <w:sz w:val="22"/>
          <w:szCs w:val="22"/>
          <w:lang w:val="en"/>
        </w:rPr>
        <w:t xml:space="preserve">details about the analysis. However, a more detailed </w:t>
      </w:r>
      <w:proofErr w:type="gramStart"/>
      <w:r w:rsidR="00D30CAB" w:rsidRPr="00F76695">
        <w:rPr>
          <w:rFonts w:ascii="Times New Roman" w:hAnsi="Times New Roman"/>
          <w:sz w:val="22"/>
          <w:szCs w:val="22"/>
          <w:lang w:val="en"/>
        </w:rPr>
        <w:t>write up</w:t>
      </w:r>
      <w:proofErr w:type="gramEnd"/>
      <w:r w:rsidR="00D30CAB" w:rsidRPr="00F76695">
        <w:rPr>
          <w:rFonts w:ascii="Times New Roman" w:hAnsi="Times New Roman"/>
          <w:sz w:val="22"/>
          <w:szCs w:val="22"/>
          <w:lang w:val="en"/>
        </w:rPr>
        <w:t xml:space="preserve"> has been added to the supplemental materials, again, to focus attention on the primary narrative. </w:t>
      </w:r>
      <w:r w:rsidR="009C2793" w:rsidRPr="00F76695">
        <w:rPr>
          <w:rFonts w:ascii="Times New Roman" w:hAnsi="Times New Roman"/>
          <w:sz w:val="22"/>
          <w:szCs w:val="22"/>
          <w:lang w:val="en"/>
        </w:rPr>
        <w:t xml:space="preserve">If the reviewers feel further specific corrections are required – perhaps moving the supplemental details into the primary paper – we would be happy to do so </w:t>
      </w:r>
      <w:proofErr w:type="gramStart"/>
      <w:r w:rsidR="009C2793" w:rsidRPr="00F76695">
        <w:rPr>
          <w:rFonts w:ascii="Times New Roman" w:hAnsi="Times New Roman"/>
          <w:sz w:val="22"/>
          <w:szCs w:val="22"/>
          <w:lang w:val="en"/>
        </w:rPr>
        <w:t>in</w:t>
      </w:r>
      <w:proofErr w:type="gramEnd"/>
      <w:r w:rsidR="009C2793" w:rsidRPr="00F76695">
        <w:rPr>
          <w:rFonts w:ascii="Times New Roman" w:hAnsi="Times New Roman"/>
          <w:sz w:val="22"/>
          <w:szCs w:val="22"/>
          <w:lang w:val="en"/>
        </w:rPr>
        <w:t xml:space="preserve"> a future revision at their request.</w:t>
      </w:r>
      <w:r w:rsidR="009C2793">
        <w:rPr>
          <w:rFonts w:ascii="Times New Roman" w:hAnsi="Times New Roman"/>
          <w:sz w:val="22"/>
          <w:szCs w:val="22"/>
          <w:lang w:val="en"/>
        </w:rPr>
        <w:t xml:space="preserve"> </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r w:rsidR="00557E98">
        <w:rPr>
          <w:rFonts w:ascii="Times New Roman" w:hAnsi="Times New Roman"/>
          <w:sz w:val="22"/>
          <w:szCs w:val="22"/>
          <w:lang w:val="en"/>
        </w:rPr>
        <w:t>”</w:t>
      </w:r>
    </w:p>
    <w:p w14:paraId="71C0F146" w14:textId="77777777" w:rsidR="00557E98" w:rsidRPr="00557E98" w:rsidRDefault="00557E98" w:rsidP="00557E98">
      <w:pPr>
        <w:pStyle w:val="ListParagraph"/>
        <w:tabs>
          <w:tab w:val="left" w:pos="180"/>
        </w:tabs>
        <w:rPr>
          <w:rFonts w:ascii="Times New Roman" w:hAnsi="Times New Roman"/>
          <w:sz w:val="22"/>
          <w:szCs w:val="22"/>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557E98">
        <w:rPr>
          <w:rFonts w:ascii="Times New Roman" w:hAnsi="Times New Roman"/>
          <w:b/>
          <w:bCs/>
          <w:sz w:val="22"/>
          <w:szCs w:val="22"/>
          <w:lang w:val="en"/>
        </w:rPr>
        <w:t>Our response:</w:t>
      </w:r>
      <w:r w:rsidR="006F1DBE">
        <w:rPr>
          <w:rFonts w:ascii="Times New Roman" w:hAnsi="Times New Roman"/>
          <w:sz w:val="22"/>
          <w:szCs w:val="22"/>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Pr>
          <w:rFonts w:ascii="Times New Roman" w:hAnsi="Times New Roman"/>
          <w:sz w:val="22"/>
          <w:szCs w:val="22"/>
          <w:lang w:val="en"/>
        </w:rPr>
        <w:t>then separately describe in their own words how</w:t>
      </w:r>
      <w:proofErr w:type="gramEnd"/>
      <w:r w:rsidR="006F1DBE">
        <w:rPr>
          <w:rFonts w:ascii="Times New Roman" w:hAnsi="Times New Roman"/>
          <w:sz w:val="22"/>
          <w:szCs w:val="22"/>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w:t>
      </w:r>
      <w:r w:rsidR="006F1DBE" w:rsidRPr="006F1DBE">
        <w:rPr>
          <w:rFonts w:ascii="Times New Roman" w:hAnsi="Times New Roman"/>
          <w:sz w:val="22"/>
          <w:szCs w:val="22"/>
          <w:highlight w:val="yellow"/>
          <w:lang w:val="en"/>
        </w:rPr>
        <w:t>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lastRenderedPageBreak/>
        <w:t>“</w:t>
      </w:r>
      <w:r w:rsidR="00557E98" w:rsidRPr="00557E98">
        <w:rPr>
          <w:rFonts w:ascii="Times New Roman" w:hAnsi="Times New Roman"/>
          <w:sz w:val="22"/>
          <w:szCs w:val="22"/>
          <w:lang w:val="en"/>
        </w:rPr>
        <w:t xml:space="preserve">I'm wondering why the plots show Emotion Intensity as z-scores (Fig 2, 3, </w:t>
      </w:r>
      <w:proofErr w:type="spellStart"/>
      <w:proofErr w:type="gramStart"/>
      <w:r w:rsidR="00557E98" w:rsidRPr="00557E98">
        <w:rPr>
          <w:rFonts w:ascii="Times New Roman" w:hAnsi="Times New Roman"/>
          <w:sz w:val="22"/>
          <w:szCs w:val="22"/>
          <w:lang w:val="en"/>
        </w:rPr>
        <w:t>e..</w:t>
      </w:r>
      <w:proofErr w:type="gramEnd"/>
      <w:r w:rsidR="00557E98" w:rsidRPr="00557E98">
        <w:rPr>
          <w:rFonts w:ascii="Times New Roman" w:hAnsi="Times New Roman"/>
          <w:sz w:val="22"/>
          <w:szCs w:val="22"/>
          <w:lang w:val="en"/>
        </w:rPr>
        <w:t>g</w:t>
      </w:r>
      <w:proofErr w:type="spellEnd"/>
      <w:r w:rsidR="00557E98" w:rsidRPr="00557E98">
        <w:rPr>
          <w:rFonts w:ascii="Times New Roman" w:hAnsi="Times New Roman"/>
          <w:sz w:val="22"/>
          <w:szCs w:val="22"/>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D84465">
        <w:rPr>
          <w:rFonts w:ascii="Times New Roman" w:hAnsi="Times New Roman"/>
          <w:sz w:val="22"/>
          <w:szCs w:val="22"/>
          <w:lang w:val="en"/>
        </w:rPr>
        <w:t xml:space="preserve"> </w:t>
      </w:r>
      <w:r>
        <w:rPr>
          <w:rFonts w:ascii="Times New Roman" w:hAnsi="Times New Roman"/>
          <w:sz w:val="22"/>
          <w:szCs w:val="22"/>
          <w:lang w:val="en"/>
        </w:rPr>
        <w:t>”</w:t>
      </w:r>
    </w:p>
    <w:p w14:paraId="22B36CD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F150489" w14:textId="4C3A674A" w:rsidR="00557E98"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ab/>
        <w:t xml:space="preserve">Our response: </w:t>
      </w:r>
      <w:commentRangeEnd w:id="6"/>
      <w:r w:rsidR="00D03F25">
        <w:rPr>
          <w:rStyle w:val="CommentReference"/>
        </w:rPr>
        <w:commentReference w:id="6"/>
      </w:r>
    </w:p>
    <w:p w14:paraId="7F910D08" w14:textId="77777777" w:rsidR="00D84465" w:rsidRPr="00557E98" w:rsidRDefault="00D8446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767FC918"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7"/>
      <w:r w:rsidRPr="00557E98">
        <w:rPr>
          <w:rFonts w:ascii="Times New Roman" w:hAnsi="Times New Roman"/>
          <w:b/>
          <w:bCs/>
          <w:sz w:val="22"/>
          <w:szCs w:val="22"/>
          <w:lang w:val="en"/>
        </w:rPr>
        <w:t xml:space="preserve">Our response: </w:t>
      </w:r>
      <w:commentRangeEnd w:id="7"/>
      <w:r w:rsidR="00D03F25">
        <w:rPr>
          <w:rStyle w:val="CommentReference"/>
        </w:rPr>
        <w:commentReference w:id="7"/>
      </w:r>
      <w:r w:rsidRPr="00557E98">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D84465">
        <w:rPr>
          <w:rFonts w:ascii="Times New Roman" w:hAnsi="Times New Roman"/>
          <w:sz w:val="22"/>
          <w:szCs w:val="22"/>
          <w:lang w:val="en"/>
        </w:rPr>
        <w:t xml:space="preserve"> </w:t>
      </w:r>
      <w:r>
        <w:rPr>
          <w:rFonts w:ascii="Times New Roman" w:hAnsi="Times New Roman"/>
          <w:sz w:val="22"/>
          <w:szCs w:val="22"/>
          <w:lang w:val="en"/>
        </w:rPr>
        <w:t>”</w:t>
      </w:r>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to not do so since the training materials are available in our public repository for the </w:t>
      </w:r>
      <w:proofErr w:type="gramStart"/>
      <w:r w:rsidR="00D03F25">
        <w:rPr>
          <w:rFonts w:ascii="Times New Roman" w:hAnsi="Times New Roman"/>
          <w:sz w:val="22"/>
          <w:szCs w:val="22"/>
          <w:lang w:val="en"/>
        </w:rPr>
        <w:t>project, but</w:t>
      </w:r>
      <w:proofErr w:type="gramEnd"/>
      <w:r w:rsidR="00D03F25">
        <w:rPr>
          <w:rFonts w:ascii="Times New Roman" w:hAnsi="Times New Roman"/>
          <w:sz w:val="22"/>
          <w:szCs w:val="22"/>
          <w:lang w:val="en"/>
        </w:rPr>
        <w:t xml:space="preserve">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discussion, it states, "Affective intensity predicted regulation extent…" I couldn't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557E98">
        <w:rPr>
          <w:rFonts w:ascii="Times New Roman" w:hAnsi="Times New Roman"/>
          <w:sz w:val="22"/>
          <w:szCs w:val="22"/>
          <w:lang w:val="en"/>
        </w:rPr>
        <w:t>these alternative account</w:t>
      </w:r>
      <w:proofErr w:type="gramEnd"/>
      <w:r w:rsidR="00557E98" w:rsidRPr="00557E98">
        <w:rPr>
          <w:rFonts w:ascii="Times New Roman" w:hAnsi="Times New Roman"/>
          <w:sz w:val="22"/>
          <w:szCs w:val="22"/>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centralize all of these types of analyses within the results section as requested.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19E27A00"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t>Our response:</w:t>
      </w:r>
      <w:r w:rsidRPr="00D3545C">
        <w:rPr>
          <w:rFonts w:ascii="Times New Roman" w:hAnsi="Times New Roman"/>
          <w:sz w:val="22"/>
          <w:szCs w:val="22"/>
          <w:highlight w:val="green"/>
          <w:lang w:val="en"/>
        </w:rPr>
        <w:t xml:space="preserve"> </w:t>
      </w:r>
      <w:bookmarkStart w:id="8" w:name="_ssb7qhq1nnqk" w:colFirst="0" w:colLast="0"/>
      <w:bookmarkEnd w:id="8"/>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9" w:name="_ssztz871p6gd" w:colFirst="0" w:colLast="0"/>
      <w:bookmarkEnd w:id="9"/>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10" w:name="_irx4x43ano66" w:colFirst="0" w:colLast="0"/>
      <w:bookmarkEnd w:id="10"/>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1"/>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1"/>
      <w:r w:rsidR="00AC73AB">
        <w:rPr>
          <w:rStyle w:val="CommentReference"/>
        </w:rPr>
        <w:commentReference w:id="11"/>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2"/>
      <w:commentRangeStart w:id="13"/>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2"/>
      <w:r w:rsidR="00AC73AB">
        <w:rPr>
          <w:rStyle w:val="CommentReference"/>
        </w:rPr>
        <w:commentReference w:id="12"/>
      </w:r>
      <w:commentRangeEnd w:id="13"/>
      <w:r w:rsidR="00AC73AB">
        <w:rPr>
          <w:rStyle w:val="CommentReference"/>
        </w:rPr>
        <w:commentReference w:id="13"/>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lastRenderedPageBreak/>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w:t>
      </w:r>
      <w:proofErr w:type="gramStart"/>
      <w:r w:rsidRPr="00D84465">
        <w:rPr>
          <w:rFonts w:ascii="Times New Roman" w:hAnsi="Times New Roman"/>
          <w:sz w:val="22"/>
          <w:szCs w:val="22"/>
          <w:lang w:val="en"/>
        </w:rPr>
        <w:t>reports</w:t>
      </w:r>
      <w:proofErr w:type="gramEnd"/>
      <w:r w:rsidRPr="00D84465">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“On p. 30, the authors state that "affective intensity predicted regulation extent but not usage"; however, it is not clear how "regulation extent" was measured. This should be clarified in the methods and/or results section of Experiment 1.</w:t>
      </w:r>
      <w:r w:rsidR="00037D63">
        <w:rPr>
          <w:rFonts w:ascii="Times New Roman" w:hAnsi="Times New Roman"/>
          <w:sz w:val="22"/>
          <w:szCs w:val="22"/>
          <w:lang w:val="en"/>
        </w:rPr>
        <w:t>”</w:t>
      </w:r>
    </w:p>
    <w:p w14:paraId="1439FC23" w14:textId="77777777" w:rsidR="00037D63" w:rsidRDefault="00037D63" w:rsidP="00037D63">
      <w:pPr>
        <w:pStyle w:val="ListParagraph"/>
        <w:ind w:left="180"/>
        <w:rPr>
          <w:rFonts w:ascii="Times New Roman" w:hAnsi="Times New Roman"/>
          <w:sz w:val="22"/>
          <w:szCs w:val="22"/>
          <w:lang w:val="en"/>
        </w:rPr>
      </w:pPr>
    </w:p>
    <w:p w14:paraId="22BBCAC8" w14:textId="34BF1ED0" w:rsidR="00037D63" w:rsidRPr="00536F51" w:rsidRDefault="00037D63" w:rsidP="00536F51">
      <w:pPr>
        <w:pStyle w:val="ListParagraph"/>
        <w:tabs>
          <w:tab w:val="left" w:pos="720"/>
        </w:tabs>
        <w:ind w:hanging="540"/>
        <w:rPr>
          <w:rFonts w:ascii="Times New Roman" w:hAnsi="Times New Roman"/>
          <w:sz w:val="22"/>
          <w:szCs w:val="22"/>
          <w:lang w:val="en"/>
        </w:rPr>
      </w:pPr>
      <w:r>
        <w:rPr>
          <w:rFonts w:ascii="Times New Roman" w:hAnsi="Times New Roman"/>
          <w:b/>
          <w:bCs/>
          <w:sz w:val="22"/>
          <w:szCs w:val="22"/>
          <w:lang w:val="en"/>
        </w:rPr>
        <w:tab/>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Thank you for highlighting this. We have expounded</w:t>
      </w:r>
      <w:r w:rsidR="00AC73AB">
        <w:rPr>
          <w:rFonts w:ascii="Times New Roman" w:hAnsi="Times New Roman"/>
          <w:sz w:val="22"/>
          <w:szCs w:val="22"/>
          <w:lang w:val="en"/>
        </w:rPr>
        <w:t xml:space="preserve"> upon</w:t>
      </w:r>
      <w:r w:rsidR="00536F51">
        <w:rPr>
          <w:rFonts w:ascii="Times New Roman" w:hAnsi="Times New Roman"/>
          <w:sz w:val="22"/>
          <w:szCs w:val="22"/>
          <w:lang w:val="en"/>
        </w:rPr>
        <w:t xml:space="preserve"> regulation effort in this section, per your suggestions.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w:t>
      </w:r>
      <w:proofErr w:type="gramStart"/>
      <w:r w:rsidR="00536F51">
        <w:rPr>
          <w:rFonts w:ascii="Times New Roman" w:hAnsi="Times New Roman"/>
          <w:sz w:val="22"/>
          <w:szCs w:val="22"/>
          <w:lang w:val="en"/>
        </w:rPr>
        <w:t>had taken</w:t>
      </w:r>
      <w:proofErr w:type="gramEnd"/>
      <w:r w:rsidR="00536F51">
        <w:rPr>
          <w:rFonts w:ascii="Times New Roman" w:hAnsi="Times New Roman"/>
          <w:sz w:val="22"/>
          <w:szCs w:val="22"/>
          <w:lang w:val="en"/>
        </w:rPr>
        <w:t xml:space="preserve">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 xml:space="preserve">What did we briefly </w:t>
      </w:r>
      <w:proofErr w:type="gramStart"/>
      <w:r w:rsidR="00536F51" w:rsidRPr="00536F51">
        <w:rPr>
          <w:rFonts w:ascii="Times New Roman" w:hAnsi="Times New Roman"/>
          <w:sz w:val="22"/>
          <w:szCs w:val="22"/>
          <w:highlight w:val="yellow"/>
          <w:lang w:val="en"/>
        </w:rPr>
        <w:t>find?</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037D63" w:rsidRDefault="00D84465" w:rsidP="00D84465">
      <w:pPr>
        <w:pStyle w:val="ListParagraph"/>
        <w:numPr>
          <w:ilvl w:val="0"/>
          <w:numId w:val="6"/>
        </w:numPr>
        <w:ind w:left="180" w:hanging="450"/>
        <w:rPr>
          <w:rFonts w:ascii="Times New Roman" w:hAnsi="Times New Roman"/>
          <w:sz w:val="22"/>
          <w:szCs w:val="22"/>
          <w:u w:val="single"/>
          <w:lang w:val="en"/>
        </w:rPr>
      </w:pPr>
      <w:r w:rsidRPr="00D84465">
        <w:rPr>
          <w:rFonts w:ascii="Times New Roman" w:hAnsi="Times New Roman"/>
          <w:sz w:val="22"/>
          <w:szCs w:val="22"/>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4" w:name="_sczck5ll67g9" w:colFirst="0" w:colLast="0"/>
      <w:bookmarkEnd w:id="14"/>
      <w:r w:rsidR="00037D63">
        <w:rPr>
          <w:rFonts w:ascii="Times New Roman" w:hAnsi="Times New Roman"/>
          <w:sz w:val="22"/>
          <w:szCs w:val="22"/>
          <w:lang w:val="en"/>
        </w:rPr>
        <w:t>”</w:t>
      </w:r>
    </w:p>
    <w:p w14:paraId="52B1EF92" w14:textId="77777777" w:rsidR="00037D63" w:rsidRDefault="00037D63" w:rsidP="00037D63">
      <w:pPr>
        <w:pStyle w:val="ListParagraph"/>
        <w:ind w:left="180"/>
        <w:rPr>
          <w:rFonts w:ascii="Times New Roman" w:hAnsi="Times New Roman"/>
          <w:sz w:val="22"/>
          <w:szCs w:val="22"/>
          <w:lang w:val="en"/>
        </w:rPr>
      </w:pPr>
    </w:p>
    <w:p w14:paraId="138F255E" w14:textId="1CACAC52" w:rsidR="00536F51" w:rsidRPr="00536F51" w:rsidRDefault="00037D63" w:rsidP="00536F51">
      <w:pPr>
        <w:pStyle w:val="ListParagraph"/>
        <w:rPr>
          <w:rFonts w:ascii="Times New Roman" w:hAnsi="Times New Roman"/>
          <w:sz w:val="22"/>
          <w:szCs w:val="22"/>
          <w:lang w:val="en"/>
        </w:rPr>
      </w:pPr>
      <w:r>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have reviewed the language and corrected where appropriate. Please let us know if you still feel that the language in this revision is not sufficiently economical or consistent. </w:t>
      </w:r>
    </w:p>
    <w:sectPr w:rsidR="00536F51" w:rsidRPr="00536F51" w:rsidSect="005B4A92">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lly Mitchell" w:date="2023-11-05T21:32:00Z" w:initials="BM">
    <w:p w14:paraId="4CD8E153" w14:textId="1CB586F6" w:rsidR="00D03F25" w:rsidRDefault="00D03F25" w:rsidP="004D522C">
      <w:pPr>
        <w:pStyle w:val="CommentText"/>
      </w:pPr>
      <w:r>
        <w:rPr>
          <w:rStyle w:val="CommentReference"/>
        </w:rPr>
        <w:annotationRef/>
      </w:r>
      <w:r>
        <w:t xml:space="preserve">My brain couldn't handle this and I need to come back to it. </w:t>
      </w:r>
    </w:p>
  </w:comment>
  <w:comment w:id="7"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1"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2"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3"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8E153" w15:done="0"/>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0BAD18" w16cex:dateUtc="2023-11-06T02:32:00Z"/>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8E153" w16cid:durableId="500BAD18"/>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9381" w14:textId="77777777" w:rsidR="00E90A05" w:rsidRDefault="00E90A05" w:rsidP="003811D1">
      <w:r>
        <w:separator/>
      </w:r>
    </w:p>
  </w:endnote>
  <w:endnote w:type="continuationSeparator" w:id="0">
    <w:p w14:paraId="47125355" w14:textId="77777777" w:rsidR="00E90A05" w:rsidRDefault="00E90A05"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402A" w14:textId="77777777" w:rsidR="00E90A05" w:rsidRDefault="00E90A05" w:rsidP="003811D1">
      <w:r>
        <w:separator/>
      </w:r>
    </w:p>
  </w:footnote>
  <w:footnote w:type="continuationSeparator" w:id="0">
    <w:p w14:paraId="0445DA19" w14:textId="77777777" w:rsidR="00E90A05" w:rsidRDefault="00E90A05"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277558">
    <w:abstractNumId w:val="6"/>
  </w:num>
  <w:num w:numId="2" w16cid:durableId="1457137741">
    <w:abstractNumId w:val="4"/>
  </w:num>
  <w:num w:numId="3" w16cid:durableId="1870952237">
    <w:abstractNumId w:val="5"/>
  </w:num>
  <w:num w:numId="4" w16cid:durableId="424617188">
    <w:abstractNumId w:val="3"/>
  </w:num>
  <w:num w:numId="5" w16cid:durableId="2063749777">
    <w:abstractNumId w:val="7"/>
  </w:num>
  <w:num w:numId="6" w16cid:durableId="2008943026">
    <w:abstractNumId w:val="1"/>
  </w:num>
  <w:num w:numId="7" w16cid:durableId="74712236">
    <w:abstractNumId w:val="0"/>
  </w:num>
  <w:num w:numId="8" w16cid:durableId="12782951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17107"/>
    <w:rsid w:val="0033316E"/>
    <w:rsid w:val="00334635"/>
    <w:rsid w:val="00346527"/>
    <w:rsid w:val="0037337E"/>
    <w:rsid w:val="003811D1"/>
    <w:rsid w:val="0038542A"/>
    <w:rsid w:val="0039759E"/>
    <w:rsid w:val="003A7E1D"/>
    <w:rsid w:val="003C0DDB"/>
    <w:rsid w:val="003C7EE7"/>
    <w:rsid w:val="003F479A"/>
    <w:rsid w:val="00411B24"/>
    <w:rsid w:val="004172C7"/>
    <w:rsid w:val="00427949"/>
    <w:rsid w:val="004567DE"/>
    <w:rsid w:val="00492F9E"/>
    <w:rsid w:val="004967C9"/>
    <w:rsid w:val="00497FEE"/>
    <w:rsid w:val="004A5918"/>
    <w:rsid w:val="004B7D0B"/>
    <w:rsid w:val="00501F63"/>
    <w:rsid w:val="00525844"/>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56B52"/>
    <w:rsid w:val="00663068"/>
    <w:rsid w:val="006828A8"/>
    <w:rsid w:val="00687D13"/>
    <w:rsid w:val="006C7D43"/>
    <w:rsid w:val="006D14D2"/>
    <w:rsid w:val="006D287B"/>
    <w:rsid w:val="006F1DBE"/>
    <w:rsid w:val="00702CEA"/>
    <w:rsid w:val="00720D07"/>
    <w:rsid w:val="00767648"/>
    <w:rsid w:val="007910AE"/>
    <w:rsid w:val="007929AE"/>
    <w:rsid w:val="007A4382"/>
    <w:rsid w:val="007C00DB"/>
    <w:rsid w:val="007E4E54"/>
    <w:rsid w:val="007F0245"/>
    <w:rsid w:val="007F6B08"/>
    <w:rsid w:val="00802D2E"/>
    <w:rsid w:val="008064F2"/>
    <w:rsid w:val="00810CDF"/>
    <w:rsid w:val="0083251F"/>
    <w:rsid w:val="00836A4F"/>
    <w:rsid w:val="00847D9C"/>
    <w:rsid w:val="00852C9F"/>
    <w:rsid w:val="00857A29"/>
    <w:rsid w:val="008A003F"/>
    <w:rsid w:val="008B4B73"/>
    <w:rsid w:val="008C44CA"/>
    <w:rsid w:val="008C54A2"/>
    <w:rsid w:val="008C6882"/>
    <w:rsid w:val="008D3A6D"/>
    <w:rsid w:val="008D7B7D"/>
    <w:rsid w:val="008F2D70"/>
    <w:rsid w:val="009038D7"/>
    <w:rsid w:val="009078E9"/>
    <w:rsid w:val="0091546A"/>
    <w:rsid w:val="00936677"/>
    <w:rsid w:val="009658E5"/>
    <w:rsid w:val="00976852"/>
    <w:rsid w:val="00997E0C"/>
    <w:rsid w:val="009A7F0D"/>
    <w:rsid w:val="009C2793"/>
    <w:rsid w:val="009E36BC"/>
    <w:rsid w:val="00A32E83"/>
    <w:rsid w:val="00A352B5"/>
    <w:rsid w:val="00A564C1"/>
    <w:rsid w:val="00A67710"/>
    <w:rsid w:val="00A93733"/>
    <w:rsid w:val="00AB17B5"/>
    <w:rsid w:val="00AB3742"/>
    <w:rsid w:val="00AC73AB"/>
    <w:rsid w:val="00B47374"/>
    <w:rsid w:val="00B71DE5"/>
    <w:rsid w:val="00B804C5"/>
    <w:rsid w:val="00BA59B5"/>
    <w:rsid w:val="00BD3ABC"/>
    <w:rsid w:val="00BD40D0"/>
    <w:rsid w:val="00BE1927"/>
    <w:rsid w:val="00BF12FD"/>
    <w:rsid w:val="00BF2E05"/>
    <w:rsid w:val="00BF4240"/>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E021DD"/>
    <w:rsid w:val="00E12E75"/>
    <w:rsid w:val="00E135AA"/>
    <w:rsid w:val="00E2284D"/>
    <w:rsid w:val="00E35F05"/>
    <w:rsid w:val="00E400B9"/>
    <w:rsid w:val="00E5578F"/>
    <w:rsid w:val="00E90A05"/>
    <w:rsid w:val="00E9385C"/>
    <w:rsid w:val="00EB221D"/>
    <w:rsid w:val="00EC201B"/>
    <w:rsid w:val="00EC67EC"/>
    <w:rsid w:val="00EC7133"/>
    <w:rsid w:val="00ED5C38"/>
    <w:rsid w:val="00EE375A"/>
    <w:rsid w:val="00EF5BD9"/>
    <w:rsid w:val="00F046A2"/>
    <w:rsid w:val="00F228D2"/>
    <w:rsid w:val="00F54F88"/>
    <w:rsid w:val="00F62781"/>
    <w:rsid w:val="00F76695"/>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8</cp:revision>
  <cp:lastPrinted>2021-06-16T02:55:00Z</cp:lastPrinted>
  <dcterms:created xsi:type="dcterms:W3CDTF">2023-11-03T01:48:00Z</dcterms:created>
  <dcterms:modified xsi:type="dcterms:W3CDTF">2023-11-08T02:59:00Z</dcterms:modified>
</cp:coreProperties>
</file>