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62EA6D6E"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536F51">
        <w:rPr>
          <w:rFonts w:ascii="Times-Roman" w:hAnsi="Times-Roman"/>
          <w:noProof/>
        </w:rPr>
        <w:t>5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34635" w:rsidRDefault="00557E98" w:rsidP="00557E98">
      <w:pPr>
        <w:pStyle w:val="ListParagraph"/>
        <w:numPr>
          <w:ilvl w:val="0"/>
          <w:numId w:val="1"/>
        </w:numPr>
        <w:tabs>
          <w:tab w:val="left" w:pos="180"/>
        </w:tabs>
        <w:ind w:left="180" w:hanging="450"/>
        <w:rPr>
          <w:rFonts w:ascii="Times New Roman" w:hAnsi="Times New Roman"/>
          <w:sz w:val="22"/>
          <w:szCs w:val="22"/>
          <w:lang w:val="en"/>
        </w:rPr>
      </w:pPr>
      <w:bookmarkStart w:id="2" w:name="_mflvr3wpvt7e" w:colFirst="0" w:colLast="0"/>
      <w:bookmarkEnd w:id="2"/>
      <w:r w:rsidRPr="00557E98">
        <w:rPr>
          <w:rFonts w:ascii="Times New Roman" w:hAnsi="Times New Roman"/>
          <w:sz w:val="22"/>
          <w:szCs w:val="22"/>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r>
        <w:rPr>
          <w:rFonts w:ascii="Times New Roman" w:hAnsi="Times New Roman"/>
          <w:sz w:val="22"/>
          <w:szCs w:val="22"/>
          <w:lang w:val="en"/>
        </w:rPr>
        <w:t>”</w:t>
      </w:r>
    </w:p>
    <w:p w14:paraId="6B0298D4" w14:textId="77777777" w:rsidR="00334635" w:rsidRPr="00334635" w:rsidRDefault="00334635" w:rsidP="00557E98">
      <w:pPr>
        <w:tabs>
          <w:tab w:val="left" w:pos="180"/>
        </w:tabs>
        <w:ind w:left="180" w:hanging="450"/>
        <w:rPr>
          <w:rFonts w:ascii="Times New Roman" w:hAnsi="Times New Roman"/>
          <w:sz w:val="22"/>
          <w:szCs w:val="22"/>
          <w:lang w:val="en"/>
        </w:rPr>
      </w:pPr>
    </w:p>
    <w:p w14:paraId="5DADED8E" w14:textId="419E2B3B" w:rsidR="00334635" w:rsidRPr="00037D63" w:rsidRDefault="00557E98" w:rsidP="00037D63">
      <w:pPr>
        <w:tabs>
          <w:tab w:val="left" w:pos="180"/>
        </w:tabs>
        <w:ind w:left="450" w:hanging="45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00334635" w:rsidRPr="00334635">
        <w:rPr>
          <w:rFonts w:ascii="Times New Roman" w:hAnsi="Times New Roman"/>
          <w:b/>
          <w:bCs/>
          <w:sz w:val="22"/>
          <w:szCs w:val="22"/>
          <w:lang w:val="en"/>
        </w:rPr>
        <w:t xml:space="preserve">Our response: </w:t>
      </w:r>
      <w:r w:rsidR="00037D63">
        <w:rPr>
          <w:rFonts w:ascii="Times New Roman" w:hAnsi="Times New Roman"/>
          <w:sz w:val="22"/>
          <w:szCs w:val="22"/>
          <w:lang w:val="en"/>
        </w:rPr>
        <w:t xml:space="preserve">We agree with this point and have updated our language to be more precise about   what these approaches can offer the field: </w:t>
      </w:r>
      <w:r w:rsidR="00037D63" w:rsidRPr="00037D63">
        <w:rPr>
          <w:rFonts w:ascii="Times New Roman" w:hAnsi="Times New Roman"/>
          <w:sz w:val="22"/>
          <w:szCs w:val="22"/>
          <w:highlight w:val="yellow"/>
          <w:lang w:val="en"/>
        </w:rPr>
        <w:t>“ADD ACTUAL QUOTE HERE”</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r w:rsidR="00557E98">
        <w:rPr>
          <w:rFonts w:ascii="Times New Roman" w:hAnsi="Times New Roman"/>
          <w:sz w:val="22"/>
          <w:szCs w:val="22"/>
          <w:lang w:val="en"/>
        </w:rPr>
        <w:t>”</w:t>
      </w:r>
    </w:p>
    <w:p w14:paraId="5818109E" w14:textId="77777777" w:rsidR="00557E98" w:rsidRPr="00557E98" w:rsidRDefault="00557E98" w:rsidP="00557E98">
      <w:pPr>
        <w:pStyle w:val="ListParagraph"/>
        <w:tabs>
          <w:tab w:val="left" w:pos="180"/>
        </w:tabs>
        <w:rPr>
          <w:rFonts w:ascii="Times New Roman" w:hAnsi="Times New Roman"/>
          <w:sz w:val="22"/>
          <w:szCs w:val="22"/>
          <w:lang w:val="en"/>
        </w:rPr>
      </w:pPr>
    </w:p>
    <w:p w14:paraId="331058E3" w14:textId="5F92B0F9" w:rsidR="00557E98" w:rsidRPr="00557E98" w:rsidRDefault="00557E98" w:rsidP="006F1DBE">
      <w:pPr>
        <w:tabs>
          <w:tab w:val="left" w:pos="180"/>
        </w:tabs>
        <w:ind w:left="450" w:hanging="450"/>
        <w:rPr>
          <w:rFonts w:ascii="Times New Roman" w:hAnsi="Times New Roman"/>
          <w:b/>
          <w:bCs/>
          <w:sz w:val="22"/>
          <w:szCs w:val="22"/>
          <w:lang w:val="en"/>
        </w:rPr>
      </w:pPr>
      <w:r w:rsidRPr="00557E98">
        <w:rPr>
          <w:rFonts w:ascii="Times New Roman" w:hAnsi="Times New Roman"/>
          <w:b/>
          <w:bCs/>
          <w:sz w:val="22"/>
          <w:szCs w:val="22"/>
          <w:lang w:val="en"/>
        </w:rPr>
        <w:tab/>
      </w:r>
      <w:r w:rsidR="006F1DBE">
        <w:rPr>
          <w:rFonts w:ascii="Times New Roman" w:hAnsi="Times New Roman"/>
          <w:b/>
          <w:bCs/>
          <w:sz w:val="22"/>
          <w:szCs w:val="22"/>
          <w:lang w:val="en"/>
        </w:rPr>
        <w:t xml:space="preserve">     </w:t>
      </w:r>
      <w:r w:rsidRPr="00557E98">
        <w:rPr>
          <w:rFonts w:ascii="Times New Roman" w:hAnsi="Times New Roman"/>
          <w:b/>
          <w:bCs/>
          <w:sz w:val="22"/>
          <w:szCs w:val="22"/>
          <w:lang w:val="en"/>
        </w:rPr>
        <w:t xml:space="preserve">Our response: </w:t>
      </w:r>
      <w:r w:rsidR="00037D63">
        <w:rPr>
          <w:rFonts w:ascii="Times New Roman" w:hAnsi="Times New Roman"/>
          <w:sz w:val="22"/>
          <w:szCs w:val="22"/>
          <w:lang w:val="en"/>
        </w:rPr>
        <w:t>We agree with t</w:t>
      </w:r>
      <w:r w:rsidR="006F1DBE">
        <w:rPr>
          <w:rFonts w:ascii="Times New Roman" w:hAnsi="Times New Roman"/>
          <w:sz w:val="22"/>
          <w:szCs w:val="22"/>
          <w:lang w:val="en"/>
        </w:rPr>
        <w:t xml:space="preserve">his assessment and have reorganized relevant methods and results sections, as highlighted in our tracked changes document. In general, we </w:t>
      </w:r>
      <w:r w:rsidR="006F1DBE" w:rsidRPr="006F1DBE">
        <w:rPr>
          <w:rFonts w:ascii="Times New Roman" w:hAnsi="Times New Roman"/>
          <w:b/>
          <w:bCs/>
          <w:sz w:val="22"/>
          <w:szCs w:val="22"/>
          <w:highlight w:val="yellow"/>
          <w:lang w:val="en"/>
        </w:rPr>
        <w:t>SUMMARIZE CHANGES</w:t>
      </w:r>
      <w:r w:rsidR="006F1DBE">
        <w:rPr>
          <w:rFonts w:ascii="Times New Roman" w:hAnsi="Times New Roman"/>
          <w:b/>
          <w:bCs/>
          <w:sz w:val="22"/>
          <w:szCs w:val="22"/>
          <w:lang w:val="en"/>
        </w:rPr>
        <w:t xml:space="preserve">. </w:t>
      </w:r>
      <w:r w:rsidR="006F1DBE">
        <w:rPr>
          <w:rFonts w:ascii="Times New Roman" w:hAnsi="Times New Roman"/>
          <w:sz w:val="22"/>
          <w:szCs w:val="22"/>
          <w:lang w:val="en"/>
        </w:rPr>
        <w:t xml:space="preserve">The original logic for incorporating the strategy use types where we did within the methods was that we felt the proportion of strategy usage was relevant to understanding the strategy coding process and not a primary or hypothesized </w:t>
      </w:r>
      <w:proofErr w:type="gramStart"/>
      <w:r w:rsidR="006F1DBE">
        <w:rPr>
          <w:rFonts w:ascii="Times New Roman" w:hAnsi="Times New Roman"/>
          <w:sz w:val="22"/>
          <w:szCs w:val="22"/>
          <w:lang w:val="en"/>
        </w:rPr>
        <w:t>outcome in itself</w:t>
      </w:r>
      <w:proofErr w:type="gramEnd"/>
      <w:r w:rsidR="006F1DBE">
        <w:rPr>
          <w:rFonts w:ascii="Times New Roman" w:hAnsi="Times New Roman"/>
          <w:sz w:val="22"/>
          <w:szCs w:val="22"/>
          <w:lang w:val="en"/>
        </w:rPr>
        <w:t xml:space="preserve">. </w:t>
      </w:r>
      <w:r w:rsidRPr="00557E98">
        <w:rPr>
          <w:rFonts w:ascii="Times New Roman" w:hAnsi="Times New Roman"/>
          <w:sz w:val="22"/>
          <w:szCs w:val="22"/>
          <w:lang w:val="en"/>
        </w:rPr>
        <w:br/>
      </w:r>
    </w:p>
    <w:p w14:paraId="70DC8007" w14:textId="4DA933AB"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w:t>
      </w:r>
      <w:proofErr w:type="gramStart"/>
      <w:r w:rsidR="00557E98" w:rsidRPr="00557E98">
        <w:rPr>
          <w:rFonts w:ascii="Times New Roman" w:hAnsi="Times New Roman"/>
          <w:sz w:val="22"/>
          <w:szCs w:val="22"/>
          <w:lang w:val="en"/>
        </w:rPr>
        <w:t>seems</w:t>
      </w:r>
      <w:proofErr w:type="gramEnd"/>
      <w:r w:rsidR="00557E98" w:rsidRPr="00557E98">
        <w:rPr>
          <w:rFonts w:ascii="Times New Roman" w:hAnsi="Times New Roman"/>
          <w:sz w:val="22"/>
          <w:szCs w:val="22"/>
          <w:lang w:val="en"/>
        </w:rPr>
        <w:t xml:space="preserve">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r w:rsidR="00557E98">
        <w:rPr>
          <w:rFonts w:ascii="Times New Roman" w:hAnsi="Times New Roman"/>
          <w:sz w:val="22"/>
          <w:szCs w:val="22"/>
          <w:lang w:val="en"/>
        </w:rPr>
        <w:t>”</w:t>
      </w:r>
    </w:p>
    <w:p w14:paraId="562884F4" w14:textId="77777777" w:rsidR="00557E98" w:rsidRPr="00557E98" w:rsidRDefault="00557E98" w:rsidP="00557E98">
      <w:pPr>
        <w:pStyle w:val="ListParagraph"/>
        <w:tabs>
          <w:tab w:val="left" w:pos="180"/>
        </w:tabs>
        <w:rPr>
          <w:rFonts w:ascii="Times New Roman" w:hAnsi="Times New Roman"/>
          <w:sz w:val="22"/>
          <w:szCs w:val="22"/>
          <w:lang w:val="en"/>
        </w:rPr>
      </w:pPr>
    </w:p>
    <w:p w14:paraId="152EBD6E" w14:textId="724DAB8D" w:rsidR="00557E98" w:rsidRPr="006F1DBE" w:rsidRDefault="006F1DBE" w:rsidP="00D84465">
      <w:pPr>
        <w:pStyle w:val="ListParagraph"/>
        <w:tabs>
          <w:tab w:val="left" w:pos="180"/>
        </w:tabs>
        <w:ind w:left="180"/>
        <w:rPr>
          <w:rFonts w:ascii="Times New Roman" w:hAnsi="Times New Roman"/>
          <w:sz w:val="22"/>
          <w:szCs w:val="22"/>
          <w:lang w:val="en"/>
        </w:rPr>
      </w:pPr>
      <w:r>
        <w:rPr>
          <w:rFonts w:ascii="Times New Roman" w:hAnsi="Times New Roman"/>
          <w:b/>
          <w:bCs/>
          <w:sz w:val="22"/>
          <w:szCs w:val="22"/>
          <w:lang w:val="en"/>
        </w:rPr>
        <w:t xml:space="preserve">     </w:t>
      </w:r>
      <w:commentRangeStart w:id="3"/>
      <w:r w:rsidR="00557E98" w:rsidRPr="00557E98">
        <w:rPr>
          <w:rFonts w:ascii="Times New Roman" w:hAnsi="Times New Roman"/>
          <w:b/>
          <w:bCs/>
          <w:sz w:val="22"/>
          <w:szCs w:val="22"/>
          <w:lang w:val="en"/>
        </w:rPr>
        <w:t>Our response:</w:t>
      </w:r>
      <w:r>
        <w:rPr>
          <w:rFonts w:ascii="Times New Roman" w:hAnsi="Times New Roman"/>
          <w:sz w:val="22"/>
          <w:szCs w:val="22"/>
          <w:lang w:val="en"/>
        </w:rPr>
        <w:t xml:space="preserve"> </w:t>
      </w:r>
      <w:commentRangeEnd w:id="3"/>
      <w:r w:rsidR="00D03F25">
        <w:rPr>
          <w:rStyle w:val="CommentReference"/>
        </w:rPr>
        <w:commentReference w:id="3"/>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r w:rsidR="00557E98">
        <w:rPr>
          <w:rFonts w:ascii="Times New Roman" w:hAnsi="Times New Roman"/>
          <w:sz w:val="22"/>
          <w:szCs w:val="22"/>
          <w:lang w:val="en"/>
        </w:rPr>
        <w:t>”</w:t>
      </w:r>
    </w:p>
    <w:p w14:paraId="71C0F146" w14:textId="77777777" w:rsidR="00557E98" w:rsidRPr="00557E98" w:rsidRDefault="00557E98" w:rsidP="00557E98">
      <w:pPr>
        <w:pStyle w:val="ListParagraph"/>
        <w:tabs>
          <w:tab w:val="left" w:pos="180"/>
        </w:tabs>
        <w:rPr>
          <w:rFonts w:ascii="Times New Roman" w:hAnsi="Times New Roman"/>
          <w:sz w:val="22"/>
          <w:szCs w:val="22"/>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557E98">
        <w:rPr>
          <w:rFonts w:ascii="Times New Roman" w:hAnsi="Times New Roman"/>
          <w:b/>
          <w:bCs/>
          <w:sz w:val="22"/>
          <w:szCs w:val="22"/>
          <w:lang w:val="en"/>
        </w:rPr>
        <w:t>Our response:</w:t>
      </w:r>
      <w:r w:rsidR="006F1DBE">
        <w:rPr>
          <w:rFonts w:ascii="Times New Roman" w:hAnsi="Times New Roman"/>
          <w:sz w:val="22"/>
          <w:szCs w:val="22"/>
          <w:lang w:val="en"/>
        </w:rPr>
        <w:t xml:space="preserve"> Thanks for highlighting this, as it is a point that we should better clarify. Participants in Study 1 were asked to first describe the emotionally salient event in as much detail as they could, and to </w:t>
      </w:r>
      <w:proofErr w:type="gramStart"/>
      <w:r w:rsidR="006F1DBE">
        <w:rPr>
          <w:rFonts w:ascii="Times New Roman" w:hAnsi="Times New Roman"/>
          <w:sz w:val="22"/>
          <w:szCs w:val="22"/>
          <w:lang w:val="en"/>
        </w:rPr>
        <w:t>then separately describe in their own words how</w:t>
      </w:r>
      <w:proofErr w:type="gramEnd"/>
      <w:r w:rsidR="006F1DBE">
        <w:rPr>
          <w:rFonts w:ascii="Times New Roman" w:hAnsi="Times New Roman"/>
          <w:sz w:val="22"/>
          <w:szCs w:val="22"/>
          <w:lang w:val="en"/>
        </w:rPr>
        <w:t xml:space="preserve">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w:t>
      </w:r>
      <w:r w:rsidR="006F1DBE" w:rsidRPr="006F1DBE">
        <w:rPr>
          <w:rFonts w:ascii="Times New Roman" w:hAnsi="Times New Roman"/>
          <w:sz w:val="22"/>
          <w:szCs w:val="22"/>
          <w:highlight w:val="yellow"/>
          <w:lang w:val="en"/>
        </w:rPr>
        <w:t>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w:t>
      </w:r>
      <w:proofErr w:type="gramStart"/>
      <w:r w:rsidR="00557E98" w:rsidRPr="00557E98">
        <w:rPr>
          <w:rFonts w:ascii="Times New Roman" w:hAnsi="Times New Roman"/>
          <w:sz w:val="22"/>
          <w:szCs w:val="22"/>
          <w:lang w:val="en"/>
        </w:rPr>
        <w:t>in a given</w:t>
      </w:r>
      <w:proofErr w:type="gramEnd"/>
      <w:r w:rsidR="00557E98" w:rsidRPr="00557E98">
        <w:rPr>
          <w:rFonts w:ascii="Times New Roman" w:hAnsi="Times New Roman"/>
          <w:sz w:val="22"/>
          <w:szCs w:val="22"/>
          <w:lang w:val="en"/>
        </w:rPr>
        <w:t xml:space="preserve"> situation. I think this is a nice way of interpreting the results. I think the section focusses too much on a passive viewing perspective (</w:t>
      </w:r>
      <w:proofErr w:type="gramStart"/>
      <w:r w:rsidR="00557E98" w:rsidRPr="00557E98">
        <w:rPr>
          <w:rFonts w:ascii="Times New Roman" w:hAnsi="Times New Roman"/>
          <w:sz w:val="22"/>
          <w:szCs w:val="22"/>
          <w:lang w:val="en"/>
        </w:rPr>
        <w:t>i.e.</w:t>
      </w:r>
      <w:proofErr w:type="gramEnd"/>
      <w:r w:rsidR="00557E98" w:rsidRPr="00557E98">
        <w:rPr>
          <w:rFonts w:ascii="Times New Roman" w:hAnsi="Times New Roman"/>
          <w:sz w:val="22"/>
          <w:szCs w:val="22"/>
          <w:lang w:val="en"/>
        </w:rPr>
        <w:t xml:space="preserv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w:t>
      </w:r>
      <w:r w:rsidR="00557E98" w:rsidRPr="00557E98">
        <w:rPr>
          <w:rFonts w:ascii="Times New Roman" w:hAnsi="Times New Roman"/>
          <w:sz w:val="22"/>
          <w:szCs w:val="22"/>
          <w:lang w:val="en"/>
        </w:rPr>
        <w:lastRenderedPageBreak/>
        <w:t xml:space="preserve">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w:t>
      </w:r>
      <w:proofErr w:type="gramStart"/>
      <w:r w:rsidR="00557E98" w:rsidRPr="00557E98">
        <w:rPr>
          <w:rFonts w:ascii="Times New Roman" w:hAnsi="Times New Roman"/>
          <w:sz w:val="22"/>
          <w:szCs w:val="22"/>
          <w:lang w:val="en"/>
        </w:rPr>
        <w:t>focusses in</w:t>
      </w:r>
      <w:proofErr w:type="gramEnd"/>
      <w:r w:rsidR="00557E98" w:rsidRPr="00557E98">
        <w:rPr>
          <w:rFonts w:ascii="Times New Roman" w:hAnsi="Times New Roman"/>
          <w:sz w:val="22"/>
          <w:szCs w:val="22"/>
          <w:lang w:val="en"/>
        </w:rPr>
        <w:t xml:space="preserve">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4" w:name="_nzrhjkcz59p2" w:colFirst="0" w:colLast="0"/>
      <w:bookmarkEnd w:id="4"/>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5" w:name="_1bscj0sz6838" w:colFirst="0" w:colLast="0"/>
      <w:bookmarkEnd w:id="5"/>
      <w:r w:rsidRPr="00334635">
        <w:rPr>
          <w:rFonts w:ascii="Times New Roman" w:hAnsi="Times New Roman"/>
          <w:b/>
          <w:bCs/>
          <w:sz w:val="22"/>
          <w:szCs w:val="22"/>
          <w:u w:val="single"/>
          <w:lang w:val="en"/>
        </w:rPr>
        <w:t>Minor Comments</w:t>
      </w:r>
      <w:bookmarkStart w:id="6" w:name="_z1kh8npwyhlb" w:colFirst="0" w:colLast="0"/>
      <w:bookmarkEnd w:id="6"/>
    </w:p>
    <w:p w14:paraId="2DFECAB6" w14:textId="3814D435"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I'm wondering why the plots show Emotion Intensity as z-scores (Fig 2, 3, </w:t>
      </w:r>
      <w:proofErr w:type="spellStart"/>
      <w:proofErr w:type="gramStart"/>
      <w:r w:rsidR="00557E98" w:rsidRPr="00557E98">
        <w:rPr>
          <w:rFonts w:ascii="Times New Roman" w:hAnsi="Times New Roman"/>
          <w:sz w:val="22"/>
          <w:szCs w:val="22"/>
          <w:lang w:val="en"/>
        </w:rPr>
        <w:t>e..</w:t>
      </w:r>
      <w:proofErr w:type="gramEnd"/>
      <w:r w:rsidR="00557E98" w:rsidRPr="00557E98">
        <w:rPr>
          <w:rFonts w:ascii="Times New Roman" w:hAnsi="Times New Roman"/>
          <w:sz w:val="22"/>
          <w:szCs w:val="22"/>
          <w:lang w:val="en"/>
        </w:rPr>
        <w:t>g</w:t>
      </w:r>
      <w:proofErr w:type="spellEnd"/>
      <w:r w:rsidR="00557E98" w:rsidRPr="00557E98">
        <w:rPr>
          <w:rFonts w:ascii="Times New Roman" w:hAnsi="Times New Roman"/>
          <w:sz w:val="22"/>
          <w:szCs w:val="22"/>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D84465">
        <w:rPr>
          <w:rFonts w:ascii="Times New Roman" w:hAnsi="Times New Roman"/>
          <w:sz w:val="22"/>
          <w:szCs w:val="22"/>
          <w:lang w:val="en"/>
        </w:rPr>
        <w:t xml:space="preserve"> </w:t>
      </w:r>
      <w:r>
        <w:rPr>
          <w:rFonts w:ascii="Times New Roman" w:hAnsi="Times New Roman"/>
          <w:sz w:val="22"/>
          <w:szCs w:val="22"/>
          <w:lang w:val="en"/>
        </w:rPr>
        <w:t>”</w:t>
      </w:r>
    </w:p>
    <w:p w14:paraId="22B36CD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F150489" w14:textId="4C3A674A" w:rsidR="00557E98"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commentRangeStart w:id="7"/>
      <w:r w:rsidRPr="00557E98">
        <w:rPr>
          <w:rFonts w:ascii="Times New Roman" w:hAnsi="Times New Roman"/>
          <w:b/>
          <w:bCs/>
          <w:sz w:val="22"/>
          <w:szCs w:val="22"/>
          <w:lang w:val="en"/>
        </w:rPr>
        <w:tab/>
        <w:t xml:space="preserve">Our response: </w:t>
      </w:r>
      <w:commentRangeEnd w:id="7"/>
      <w:r w:rsidR="00D03F25">
        <w:rPr>
          <w:rStyle w:val="CommentReference"/>
        </w:rPr>
        <w:commentReference w:id="7"/>
      </w:r>
    </w:p>
    <w:p w14:paraId="7F910D08" w14:textId="77777777" w:rsidR="00D84465" w:rsidRPr="00557E98" w:rsidRDefault="00D8446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w:t>
      </w:r>
      <w:r w:rsidR="00557E98" w:rsidRPr="00557E98">
        <w:rPr>
          <w:rFonts w:ascii="Times New Roman" w:hAnsi="Times New Roman"/>
          <w:sz w:val="22"/>
          <w:szCs w:val="22"/>
          <w:lang w:val="en"/>
        </w:rPr>
        <w:lastRenderedPageBreak/>
        <w:t>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767FC918"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8"/>
      <w:r w:rsidRPr="00557E98">
        <w:rPr>
          <w:rFonts w:ascii="Times New Roman" w:hAnsi="Times New Roman"/>
          <w:b/>
          <w:bCs/>
          <w:sz w:val="22"/>
          <w:szCs w:val="22"/>
          <w:lang w:val="en"/>
        </w:rPr>
        <w:t xml:space="preserve">Our response: </w:t>
      </w:r>
      <w:commentRangeEnd w:id="8"/>
      <w:r w:rsidR="00D03F25">
        <w:rPr>
          <w:rStyle w:val="CommentReference"/>
        </w:rPr>
        <w:commentReference w:id="8"/>
      </w:r>
      <w:r w:rsidRPr="00557E98">
        <w:rPr>
          <w:rFonts w:ascii="Times New Roman" w:hAnsi="Times New Roman"/>
          <w:sz w:val="22"/>
          <w:szCs w:val="22"/>
          <w:lang w:val="en"/>
        </w:rPr>
        <w:br/>
      </w:r>
    </w:p>
    <w:p w14:paraId="4DE3B994" w14:textId="39AB8BC1"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r w:rsidRPr="00D84465">
        <w:rPr>
          <w:rFonts w:ascii="Times New Roman" w:hAnsi="Times New Roman"/>
          <w:sz w:val="22"/>
          <w:szCs w:val="22"/>
          <w:lang w:val="en"/>
        </w:rPr>
        <w:t xml:space="preserve"> </w:t>
      </w:r>
      <w:r>
        <w:rPr>
          <w:rFonts w:ascii="Times New Roman" w:hAnsi="Times New Roman"/>
          <w:sz w:val="22"/>
          <w:szCs w:val="22"/>
          <w:lang w:val="en"/>
        </w:rPr>
        <w:t>”</w:t>
      </w:r>
    </w:p>
    <w:p w14:paraId="345351A9"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614F9CA7" w14:textId="4D40EF6A" w:rsidR="00557E98" w:rsidRPr="00D03F25" w:rsidRDefault="00D84465" w:rsidP="00D03F25">
      <w:pPr>
        <w:tabs>
          <w:tab w:val="left" w:pos="180"/>
        </w:tabs>
        <w:ind w:left="720" w:hanging="990"/>
        <w:rPr>
          <w:rFonts w:ascii="Times New Roman" w:hAnsi="Times New Roman"/>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t xml:space="preserve">Our response: </w:t>
      </w:r>
      <w:r w:rsidR="00D03F25">
        <w:rPr>
          <w:rFonts w:ascii="Times New Roman" w:hAnsi="Times New Roman"/>
          <w:sz w:val="22"/>
          <w:szCs w:val="22"/>
          <w:lang w:val="en"/>
        </w:rPr>
        <w:t xml:space="preserve">We had originally thought to not do so since the training materials are available in our public repository for the </w:t>
      </w:r>
      <w:proofErr w:type="gramStart"/>
      <w:r w:rsidR="00D03F25">
        <w:rPr>
          <w:rFonts w:ascii="Times New Roman" w:hAnsi="Times New Roman"/>
          <w:sz w:val="22"/>
          <w:szCs w:val="22"/>
          <w:lang w:val="en"/>
        </w:rPr>
        <w:t>project, but</w:t>
      </w:r>
      <w:proofErr w:type="gramEnd"/>
      <w:r w:rsidR="00D03F25">
        <w:rPr>
          <w:rFonts w:ascii="Times New Roman" w:hAnsi="Times New Roman"/>
          <w:sz w:val="22"/>
          <w:szCs w:val="22"/>
          <w:lang w:val="en"/>
        </w:rPr>
        <w:t xml:space="preserve"> have since reconsidered and added examples within the manuscript as well. </w:t>
      </w:r>
    </w:p>
    <w:p w14:paraId="4C0BF94E" w14:textId="77777777" w:rsidR="00D84465" w:rsidRPr="00557E98" w:rsidRDefault="00D84465" w:rsidP="00D84465">
      <w:pPr>
        <w:pStyle w:val="ListParagraph"/>
        <w:ind w:left="180" w:hanging="450"/>
        <w:rPr>
          <w:rFonts w:ascii="Times New Roman" w:hAnsi="Times New Roman"/>
          <w:sz w:val="22"/>
          <w:szCs w:val="22"/>
          <w:lang w:val="en"/>
        </w:rPr>
      </w:pPr>
    </w:p>
    <w:p w14:paraId="29D5770E" w14:textId="3861107E"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discussion, it states, "Affective intensity predicted regulation extent…" I couldn't connect "regulation extent" to anything in the results section.</w:t>
      </w:r>
      <w:r w:rsidRPr="00D84465">
        <w:rPr>
          <w:rFonts w:ascii="Times New Roman" w:hAnsi="Times New Roman"/>
          <w:sz w:val="22"/>
          <w:szCs w:val="22"/>
          <w:lang w:val="en"/>
        </w:rPr>
        <w:t xml:space="preserve"> </w:t>
      </w:r>
      <w:r>
        <w:rPr>
          <w:rFonts w:ascii="Times New Roman" w:hAnsi="Times New Roman"/>
          <w:sz w:val="22"/>
          <w:szCs w:val="22"/>
          <w:lang w:val="en"/>
        </w:rPr>
        <w:t>”</w:t>
      </w:r>
    </w:p>
    <w:p w14:paraId="7D4524C8"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44D07787" w14:textId="6AFBB866" w:rsidR="00D84465" w:rsidRPr="00AC73AB" w:rsidRDefault="00D84465" w:rsidP="00AC73AB">
      <w:pPr>
        <w:tabs>
          <w:tab w:val="left" w:pos="720"/>
        </w:tabs>
        <w:ind w:left="720" w:hanging="630"/>
        <w:rPr>
          <w:rFonts w:ascii="Times New Roman" w:hAnsi="Times New Roman"/>
          <w:sz w:val="22"/>
          <w:szCs w:val="22"/>
          <w:lang w:val="en"/>
        </w:rPr>
      </w:pPr>
      <w:r w:rsidRPr="00557E98">
        <w:rPr>
          <w:rFonts w:ascii="Times New Roman" w:hAnsi="Times New Roman"/>
          <w:b/>
          <w:bCs/>
          <w:sz w:val="22"/>
          <w:szCs w:val="22"/>
          <w:lang w:val="en"/>
        </w:rPr>
        <w:tab/>
        <w:t xml:space="preserve">Our response: </w:t>
      </w:r>
      <w:r w:rsidR="00AC73AB">
        <w:rPr>
          <w:rFonts w:ascii="Times New Roman" w:hAnsi="Times New Roman"/>
          <w:sz w:val="22"/>
          <w:szCs w:val="22"/>
          <w:lang w:val="en"/>
        </w:rPr>
        <w:t xml:space="preserve">This was an oversight on my part. I have corrected this language to be more consistent and expounded upon what we meant by and how we measured regulation effort in this section. </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Some primary results are presented in the discussion, which seems a bit unusual. To focus the discussion, I suggest developing </w:t>
      </w:r>
      <w:proofErr w:type="gramStart"/>
      <w:r w:rsidR="00557E98" w:rsidRPr="00557E98">
        <w:rPr>
          <w:rFonts w:ascii="Times New Roman" w:hAnsi="Times New Roman"/>
          <w:sz w:val="22"/>
          <w:szCs w:val="22"/>
          <w:lang w:val="en"/>
        </w:rPr>
        <w:t>these alternative account</w:t>
      </w:r>
      <w:proofErr w:type="gramEnd"/>
      <w:r w:rsidR="00557E98" w:rsidRPr="00557E98">
        <w:rPr>
          <w:rFonts w:ascii="Times New Roman" w:hAnsi="Times New Roman"/>
          <w:sz w:val="22"/>
          <w:szCs w:val="22"/>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Pr>
          <w:rFonts w:ascii="Times New Roman" w:hAnsi="Times New Roman"/>
          <w:sz w:val="22"/>
          <w:szCs w:val="22"/>
          <w:lang w:val="en"/>
        </w:rPr>
        <w:t>”</w:t>
      </w:r>
    </w:p>
    <w:p w14:paraId="2103E37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AC73AB">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I have tried to centralize </w:t>
      </w:r>
      <w:proofErr w:type="gramStart"/>
      <w:r w:rsidR="00D03F25">
        <w:rPr>
          <w:rFonts w:ascii="Times New Roman" w:hAnsi="Times New Roman"/>
          <w:sz w:val="22"/>
          <w:szCs w:val="22"/>
          <w:lang w:val="en"/>
        </w:rPr>
        <w:t>all of</w:t>
      </w:r>
      <w:proofErr w:type="gramEnd"/>
      <w:r w:rsidR="00D03F25">
        <w:rPr>
          <w:rFonts w:ascii="Times New Roman" w:hAnsi="Times New Roman"/>
          <w:sz w:val="22"/>
          <w:szCs w:val="22"/>
          <w:lang w:val="en"/>
        </w:rPr>
        <w:t xml:space="preserve"> these types of analyses within the results section as requested. </w:t>
      </w:r>
      <w:r w:rsidRPr="00557E98">
        <w:rPr>
          <w:rFonts w:ascii="Times New Roman" w:hAnsi="Times New Roman"/>
          <w:sz w:val="22"/>
          <w:szCs w:val="22"/>
          <w:lang w:val="en"/>
        </w:rPr>
        <w:br/>
      </w:r>
    </w:p>
    <w:p w14:paraId="3682E47E" w14:textId="2354CB8A" w:rsidR="00557E98" w:rsidRPr="00D84465" w:rsidRDefault="00D84465" w:rsidP="00D84465">
      <w:pPr>
        <w:pStyle w:val="ListParagraph"/>
        <w:numPr>
          <w:ilvl w:val="0"/>
          <w:numId w:val="7"/>
        </w:numPr>
        <w:ind w:left="180" w:hanging="450"/>
        <w:rPr>
          <w:rFonts w:ascii="Times New Roman" w:hAnsi="Times New Roman"/>
          <w:sz w:val="22"/>
          <w:szCs w:val="22"/>
          <w:lang w:val="en"/>
        </w:rPr>
      </w:pPr>
      <w:r w:rsidRPr="00D84465">
        <w:rPr>
          <w:rFonts w:ascii="Times New Roman" w:hAnsi="Times New Roman"/>
          <w:sz w:val="22"/>
          <w:szCs w:val="22"/>
          <w:lang w:val="en"/>
        </w:rPr>
        <w:t>“</w:t>
      </w:r>
      <w:r w:rsidR="00557E98" w:rsidRPr="00D84465">
        <w:rPr>
          <w:rFonts w:ascii="Times New Roman" w:hAnsi="Times New Roman"/>
          <w:sz w:val="22"/>
          <w:szCs w:val="22"/>
          <w:lang w:val="en"/>
        </w:rPr>
        <w:t>Is there a typo in Figure 4A, "jot" should be jolt?</w:t>
      </w:r>
      <w:r w:rsidRPr="00D84465">
        <w:rPr>
          <w:rFonts w:ascii="Times New Roman" w:hAnsi="Times New Roman"/>
          <w:sz w:val="22"/>
          <w:szCs w:val="22"/>
          <w:lang w:val="en"/>
        </w:rPr>
        <w:t>”</w:t>
      </w:r>
    </w:p>
    <w:p w14:paraId="2C2B0C5A" w14:textId="77777777" w:rsidR="00334635" w:rsidRPr="00334635" w:rsidRDefault="00334635" w:rsidP="00D84465">
      <w:pPr>
        <w:ind w:left="180" w:hanging="450"/>
        <w:rPr>
          <w:rFonts w:ascii="Times New Roman" w:hAnsi="Times New Roman"/>
          <w:sz w:val="22"/>
          <w:szCs w:val="22"/>
          <w:lang w:val="en"/>
        </w:rPr>
      </w:pPr>
    </w:p>
    <w:p w14:paraId="463042AA" w14:textId="7D2565BE" w:rsidR="00334635" w:rsidRPr="00D03F25" w:rsidRDefault="00334635" w:rsidP="00037D63">
      <w:pPr>
        <w:ind w:left="180" w:firstLine="54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t>
      </w:r>
      <w:bookmarkStart w:id="9" w:name="_ssb7qhq1nnqk" w:colFirst="0" w:colLast="0"/>
      <w:bookmarkEnd w:id="9"/>
      <w:r w:rsidR="00D03F25">
        <w:rPr>
          <w:rFonts w:ascii="Times New Roman" w:hAnsi="Times New Roman"/>
          <w:sz w:val="22"/>
          <w:szCs w:val="22"/>
          <w:lang w:val="en"/>
        </w:rPr>
        <w:t xml:space="preserve">Thank you, we have corrected this as well.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10" w:name="_ssztz871p6gd" w:colFirst="0" w:colLast="0"/>
      <w:bookmarkEnd w:id="10"/>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11" w:name="_irx4x43ano66" w:colFirst="0" w:colLast="0"/>
      <w:bookmarkEnd w:id="11"/>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D84465">
        <w:rPr>
          <w:rFonts w:ascii="Times New Roman" w:hAnsi="Times New Roman"/>
          <w:sz w:val="22"/>
          <w:szCs w:val="22"/>
          <w:lang w:val="en"/>
        </w:rPr>
        <w:t>a number of</w:t>
      </w:r>
      <w:proofErr w:type="gramEnd"/>
      <w:r w:rsidRPr="00D84465">
        <w:rPr>
          <w:rFonts w:ascii="Times New Roman" w:hAnsi="Times New Roman"/>
          <w:sz w:val="22"/>
          <w:szCs w:val="22"/>
          <w:lang w:val="en"/>
        </w:rPr>
        <w:t xml:space="preserve"> other ways (as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w:t>
      </w:r>
      <w:r w:rsidRPr="00D84465">
        <w:rPr>
          <w:rFonts w:ascii="Times New Roman" w:hAnsi="Times New Roman"/>
          <w:sz w:val="22"/>
          <w:szCs w:val="22"/>
          <w:lang w:val="en"/>
        </w:rPr>
        <w:lastRenderedPageBreak/>
        <w:t>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2"/>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w:t>
      </w:r>
      <w:proofErr w:type="gramStart"/>
      <w:r w:rsidR="00AC73AB">
        <w:rPr>
          <w:rFonts w:ascii="Times New Roman" w:hAnsi="Times New Roman"/>
          <w:sz w:val="22"/>
          <w:szCs w:val="22"/>
          <w:lang w:val="en"/>
        </w:rPr>
        <w:t>submission, and</w:t>
      </w:r>
      <w:proofErr w:type="gramEnd"/>
      <w:r w:rsidR="00AC73AB">
        <w:rPr>
          <w:rFonts w:ascii="Times New Roman" w:hAnsi="Times New Roman"/>
          <w:sz w:val="22"/>
          <w:szCs w:val="22"/>
          <w:lang w:val="en"/>
        </w:rPr>
        <w:t xml:space="preserve">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2"/>
      <w:r w:rsidR="00AC73AB">
        <w:rPr>
          <w:rStyle w:val="CommentReference"/>
        </w:rPr>
        <w:commentReference w:id="12"/>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3"/>
      <w:commentRangeStart w:id="14"/>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partnered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Additionally, there were many events that participants could have self-identified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t xml:space="preserve">intervene after every event. This has already been captured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3"/>
      <w:r w:rsidR="00AC73AB">
        <w:rPr>
          <w:rStyle w:val="CommentReference"/>
        </w:rPr>
        <w:commentReference w:id="13"/>
      </w:r>
      <w:commentRangeEnd w:id="14"/>
      <w:r w:rsidR="00AC73AB">
        <w:rPr>
          <w:rStyle w:val="CommentReference"/>
        </w:rPr>
        <w:commentReference w:id="14"/>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conclusions may be too strong considering how effectiveness was measured (i.e., participants </w:t>
      </w:r>
      <w:proofErr w:type="gramStart"/>
      <w:r w:rsidRPr="00D84465">
        <w:rPr>
          <w:rFonts w:ascii="Times New Roman" w:hAnsi="Times New Roman"/>
          <w:sz w:val="22"/>
          <w:szCs w:val="22"/>
          <w:lang w:val="en"/>
        </w:rPr>
        <w:t>reports</w:t>
      </w:r>
      <w:proofErr w:type="gramEnd"/>
      <w:r w:rsidRPr="00D84465">
        <w:rPr>
          <w:rFonts w:ascii="Times New Roman" w:hAnsi="Times New Roman"/>
          <w:sz w:val="22"/>
          <w:szCs w:val="22"/>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lastRenderedPageBreak/>
        <w:t>“On p. 30, the authors state that "affective intensity predicted regulation extent but not usage"; however, it is not clear how "regulation extent" was measured. This should be clarified in the methods and/or results section of Experiment 1.</w:t>
      </w:r>
      <w:r w:rsidR="00037D63">
        <w:rPr>
          <w:rFonts w:ascii="Times New Roman" w:hAnsi="Times New Roman"/>
          <w:sz w:val="22"/>
          <w:szCs w:val="22"/>
          <w:lang w:val="en"/>
        </w:rPr>
        <w:t>”</w:t>
      </w:r>
    </w:p>
    <w:p w14:paraId="1439FC23" w14:textId="77777777" w:rsidR="00037D63" w:rsidRDefault="00037D63" w:rsidP="00037D63">
      <w:pPr>
        <w:pStyle w:val="ListParagraph"/>
        <w:ind w:left="180"/>
        <w:rPr>
          <w:rFonts w:ascii="Times New Roman" w:hAnsi="Times New Roman"/>
          <w:sz w:val="22"/>
          <w:szCs w:val="22"/>
          <w:lang w:val="en"/>
        </w:rPr>
      </w:pPr>
    </w:p>
    <w:p w14:paraId="22BBCAC8" w14:textId="34BF1ED0" w:rsidR="00037D63" w:rsidRPr="00536F51" w:rsidRDefault="00037D63" w:rsidP="00536F51">
      <w:pPr>
        <w:pStyle w:val="ListParagraph"/>
        <w:tabs>
          <w:tab w:val="left" w:pos="720"/>
        </w:tabs>
        <w:ind w:hanging="540"/>
        <w:rPr>
          <w:rFonts w:ascii="Times New Roman" w:hAnsi="Times New Roman"/>
          <w:sz w:val="22"/>
          <w:szCs w:val="22"/>
          <w:lang w:val="en"/>
        </w:rPr>
      </w:pPr>
      <w:r>
        <w:rPr>
          <w:rFonts w:ascii="Times New Roman" w:hAnsi="Times New Roman"/>
          <w:b/>
          <w:bCs/>
          <w:sz w:val="22"/>
          <w:szCs w:val="22"/>
          <w:lang w:val="en"/>
        </w:rPr>
        <w:tab/>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Thank you for highlighting this. We have expounded</w:t>
      </w:r>
      <w:r w:rsidR="00AC73AB">
        <w:rPr>
          <w:rFonts w:ascii="Times New Roman" w:hAnsi="Times New Roman"/>
          <w:sz w:val="22"/>
          <w:szCs w:val="22"/>
          <w:lang w:val="en"/>
        </w:rPr>
        <w:t xml:space="preserve"> upon</w:t>
      </w:r>
      <w:r w:rsidR="00536F51">
        <w:rPr>
          <w:rFonts w:ascii="Times New Roman" w:hAnsi="Times New Roman"/>
          <w:sz w:val="22"/>
          <w:szCs w:val="22"/>
          <w:lang w:val="en"/>
        </w:rPr>
        <w:t xml:space="preserve"> regulation effort in this section, per your suggestions.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1F095519"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w:t>
      </w:r>
      <w:proofErr w:type="gramStart"/>
      <w:r w:rsidR="00536F51">
        <w:rPr>
          <w:rFonts w:ascii="Times New Roman" w:hAnsi="Times New Roman"/>
          <w:sz w:val="22"/>
          <w:szCs w:val="22"/>
          <w:lang w:val="en"/>
        </w:rPr>
        <w:t>had taken</w:t>
      </w:r>
      <w:proofErr w:type="gramEnd"/>
      <w:r w:rsidR="00536F51">
        <w:rPr>
          <w:rFonts w:ascii="Times New Roman" w:hAnsi="Times New Roman"/>
          <w:sz w:val="22"/>
          <w:szCs w:val="22"/>
          <w:lang w:val="en"/>
        </w:rPr>
        <w:t xml:space="preserve"> this criticism into consideration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 xml:space="preserve">What did we briefly </w:t>
      </w:r>
      <w:proofErr w:type="gramStart"/>
      <w:r w:rsidR="00536F51" w:rsidRPr="00536F51">
        <w:rPr>
          <w:rFonts w:ascii="Times New Roman" w:hAnsi="Times New Roman"/>
          <w:sz w:val="22"/>
          <w:szCs w:val="22"/>
          <w:highlight w:val="yellow"/>
          <w:lang w:val="en"/>
        </w:rPr>
        <w:t>find?</w:t>
      </w:r>
      <w:r w:rsidR="00536F51">
        <w:rPr>
          <w:rFonts w:ascii="Times New Roman" w:hAnsi="Times New Roman"/>
          <w:sz w:val="22"/>
          <w:szCs w:val="22"/>
          <w:lang w:val="en"/>
        </w:rPr>
        <w:t>.</w:t>
      </w:r>
      <w:proofErr w:type="gramEnd"/>
      <w:r w:rsidR="00536F51">
        <w:rPr>
          <w:rFonts w:ascii="Times New Roman" w:hAnsi="Times New Roman"/>
          <w:sz w:val="22"/>
          <w:szCs w:val="22"/>
          <w:lang w:val="en"/>
        </w:rPr>
        <w:t xml:space="preserve"> Please see the updated manuscript for more specific details.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037D63" w:rsidRDefault="00D84465" w:rsidP="00D84465">
      <w:pPr>
        <w:pStyle w:val="ListParagraph"/>
        <w:numPr>
          <w:ilvl w:val="0"/>
          <w:numId w:val="6"/>
        </w:numPr>
        <w:ind w:left="180" w:hanging="450"/>
        <w:rPr>
          <w:rFonts w:ascii="Times New Roman" w:hAnsi="Times New Roman"/>
          <w:sz w:val="22"/>
          <w:szCs w:val="22"/>
          <w:u w:val="single"/>
          <w:lang w:val="en"/>
        </w:rPr>
      </w:pPr>
      <w:r w:rsidRPr="00D84465">
        <w:rPr>
          <w:rFonts w:ascii="Times New Roman" w:hAnsi="Times New Roman"/>
          <w:sz w:val="22"/>
          <w:szCs w:val="22"/>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5" w:name="_sczck5ll67g9" w:colFirst="0" w:colLast="0"/>
      <w:bookmarkEnd w:id="15"/>
      <w:r w:rsidR="00037D63">
        <w:rPr>
          <w:rFonts w:ascii="Times New Roman" w:hAnsi="Times New Roman"/>
          <w:sz w:val="22"/>
          <w:szCs w:val="22"/>
          <w:lang w:val="en"/>
        </w:rPr>
        <w:t>”</w:t>
      </w:r>
    </w:p>
    <w:p w14:paraId="52B1EF92" w14:textId="77777777" w:rsidR="00037D63" w:rsidRDefault="00037D63" w:rsidP="00037D63">
      <w:pPr>
        <w:pStyle w:val="ListParagraph"/>
        <w:ind w:left="180"/>
        <w:rPr>
          <w:rFonts w:ascii="Times New Roman" w:hAnsi="Times New Roman"/>
          <w:sz w:val="22"/>
          <w:szCs w:val="22"/>
          <w:lang w:val="en"/>
        </w:rPr>
      </w:pPr>
    </w:p>
    <w:p w14:paraId="138F255E" w14:textId="1CACAC52" w:rsidR="00536F51" w:rsidRPr="00536F51" w:rsidRDefault="00037D63" w:rsidP="00536F51">
      <w:pPr>
        <w:pStyle w:val="ListParagraph"/>
        <w:rPr>
          <w:rFonts w:ascii="Times New Roman" w:hAnsi="Times New Roman"/>
          <w:sz w:val="22"/>
          <w:szCs w:val="22"/>
          <w:lang w:val="en"/>
        </w:rPr>
      </w:pPr>
      <w:r>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have reviewed the language and corrected where appropriate. Please let us know if you still feel that the language in this revision is not sufficiently economical or consistent. </w:t>
      </w:r>
    </w:p>
    <w:sectPr w:rsidR="00536F51" w:rsidRPr="00536F51" w:rsidSect="005B4A92">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illy Mitchell" w:date="2023-11-05T21:32:00Z" w:initials="BM">
    <w:p w14:paraId="4734029F" w14:textId="77777777" w:rsidR="00D03F25" w:rsidRDefault="00D03F25" w:rsidP="00FE59A1">
      <w:pPr>
        <w:pStyle w:val="CommentText"/>
      </w:pPr>
      <w:r>
        <w:rPr>
          <w:rStyle w:val="CommentReference"/>
        </w:rPr>
        <w:annotationRef/>
      </w:r>
      <w:r>
        <w:t xml:space="preserve">My brain couldn't handle this and I need to come back to it. </w:t>
      </w:r>
    </w:p>
  </w:comment>
  <w:comment w:id="7" w:author="Billy Mitchell" w:date="2023-11-05T21:32:00Z" w:initials="BM">
    <w:p w14:paraId="4CD8E153" w14:textId="1CB586F6" w:rsidR="00D03F25" w:rsidRDefault="00D03F25" w:rsidP="004D522C">
      <w:pPr>
        <w:pStyle w:val="CommentText"/>
      </w:pPr>
      <w:r>
        <w:rPr>
          <w:rStyle w:val="CommentReference"/>
        </w:rPr>
        <w:annotationRef/>
      </w:r>
      <w:r>
        <w:t xml:space="preserve">My brain couldn't handle this and I need to come back to it. </w:t>
      </w:r>
    </w:p>
  </w:comment>
  <w:comment w:id="8"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2"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3"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4"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4029F" w15:done="0"/>
  <w15:commentEx w15:paraId="4CD8E153" w15:done="0"/>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560B2B" w16cex:dateUtc="2023-11-06T02:32:00Z"/>
  <w16cex:commentExtensible w16cex:durableId="500BAD18" w16cex:dateUtc="2023-11-06T02:32:00Z"/>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4029F" w16cid:durableId="6B560B2B"/>
  <w16cid:commentId w16cid:paraId="4CD8E153" w16cid:durableId="500BAD18"/>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FCFF" w14:textId="77777777" w:rsidR="00663068" w:rsidRDefault="00663068" w:rsidP="003811D1">
      <w:r>
        <w:separator/>
      </w:r>
    </w:p>
  </w:endnote>
  <w:endnote w:type="continuationSeparator" w:id="0">
    <w:p w14:paraId="6253AA0E" w14:textId="77777777" w:rsidR="00663068" w:rsidRDefault="00663068"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FFFA" w14:textId="77777777" w:rsidR="00663068" w:rsidRDefault="00663068" w:rsidP="003811D1">
      <w:r>
        <w:separator/>
      </w:r>
    </w:p>
  </w:footnote>
  <w:footnote w:type="continuationSeparator" w:id="0">
    <w:p w14:paraId="0D1F078B" w14:textId="77777777" w:rsidR="00663068" w:rsidRDefault="00663068"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1737350">
    <w:abstractNumId w:val="5"/>
  </w:num>
  <w:num w:numId="2" w16cid:durableId="2070417477">
    <w:abstractNumId w:val="3"/>
  </w:num>
  <w:num w:numId="3" w16cid:durableId="1151023255">
    <w:abstractNumId w:val="4"/>
  </w:num>
  <w:num w:numId="4" w16cid:durableId="2119520987">
    <w:abstractNumId w:val="2"/>
  </w:num>
  <w:num w:numId="5" w16cid:durableId="1342582124">
    <w:abstractNumId w:val="6"/>
  </w:num>
  <w:num w:numId="6" w16cid:durableId="892813829">
    <w:abstractNumId w:val="1"/>
  </w:num>
  <w:num w:numId="7" w16cid:durableId="15901196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8F"/>
    <w:rsid w:val="00011C31"/>
    <w:rsid w:val="000138D1"/>
    <w:rsid w:val="00037D63"/>
    <w:rsid w:val="00055081"/>
    <w:rsid w:val="00073E1C"/>
    <w:rsid w:val="00081B55"/>
    <w:rsid w:val="000918C8"/>
    <w:rsid w:val="00096A50"/>
    <w:rsid w:val="000C3679"/>
    <w:rsid w:val="000D33E1"/>
    <w:rsid w:val="000E0CCB"/>
    <w:rsid w:val="000E5089"/>
    <w:rsid w:val="00103171"/>
    <w:rsid w:val="001170B6"/>
    <w:rsid w:val="00122CED"/>
    <w:rsid w:val="0012756B"/>
    <w:rsid w:val="00135C48"/>
    <w:rsid w:val="00160289"/>
    <w:rsid w:val="001A4D01"/>
    <w:rsid w:val="001A6459"/>
    <w:rsid w:val="001C6B42"/>
    <w:rsid w:val="001E44D5"/>
    <w:rsid w:val="002037E1"/>
    <w:rsid w:val="00215373"/>
    <w:rsid w:val="0027393A"/>
    <w:rsid w:val="00280562"/>
    <w:rsid w:val="002963D7"/>
    <w:rsid w:val="002A366A"/>
    <w:rsid w:val="002D38C2"/>
    <w:rsid w:val="002F20F4"/>
    <w:rsid w:val="002F71AE"/>
    <w:rsid w:val="002F7BF1"/>
    <w:rsid w:val="003030EE"/>
    <w:rsid w:val="0033316E"/>
    <w:rsid w:val="00334635"/>
    <w:rsid w:val="00346527"/>
    <w:rsid w:val="0037337E"/>
    <w:rsid w:val="003811D1"/>
    <w:rsid w:val="0038542A"/>
    <w:rsid w:val="0039759E"/>
    <w:rsid w:val="003A7E1D"/>
    <w:rsid w:val="003C0DDB"/>
    <w:rsid w:val="003C7EE7"/>
    <w:rsid w:val="003F479A"/>
    <w:rsid w:val="004172C7"/>
    <w:rsid w:val="00427949"/>
    <w:rsid w:val="004567DE"/>
    <w:rsid w:val="00492F9E"/>
    <w:rsid w:val="004967C9"/>
    <w:rsid w:val="00497FEE"/>
    <w:rsid w:val="004A5918"/>
    <w:rsid w:val="00501F63"/>
    <w:rsid w:val="00525844"/>
    <w:rsid w:val="00536F51"/>
    <w:rsid w:val="0055112E"/>
    <w:rsid w:val="00551C7A"/>
    <w:rsid w:val="005533D5"/>
    <w:rsid w:val="00557E98"/>
    <w:rsid w:val="005B4A92"/>
    <w:rsid w:val="005B4CE8"/>
    <w:rsid w:val="005C4F79"/>
    <w:rsid w:val="005C5484"/>
    <w:rsid w:val="005E08A0"/>
    <w:rsid w:val="005F3FAA"/>
    <w:rsid w:val="005F6A90"/>
    <w:rsid w:val="005F7F2D"/>
    <w:rsid w:val="006013A9"/>
    <w:rsid w:val="006179A4"/>
    <w:rsid w:val="00656B52"/>
    <w:rsid w:val="00663068"/>
    <w:rsid w:val="006828A8"/>
    <w:rsid w:val="00687D13"/>
    <w:rsid w:val="006C7D43"/>
    <w:rsid w:val="006D287B"/>
    <w:rsid w:val="006F1DBE"/>
    <w:rsid w:val="00702CEA"/>
    <w:rsid w:val="00720D07"/>
    <w:rsid w:val="00767648"/>
    <w:rsid w:val="007910AE"/>
    <w:rsid w:val="007C00DB"/>
    <w:rsid w:val="007E4E54"/>
    <w:rsid w:val="007F0245"/>
    <w:rsid w:val="007F6B08"/>
    <w:rsid w:val="00802D2E"/>
    <w:rsid w:val="008064F2"/>
    <w:rsid w:val="00810CDF"/>
    <w:rsid w:val="0083251F"/>
    <w:rsid w:val="00836A4F"/>
    <w:rsid w:val="00847D9C"/>
    <w:rsid w:val="00852C9F"/>
    <w:rsid w:val="008A003F"/>
    <w:rsid w:val="008B4B73"/>
    <w:rsid w:val="008C44CA"/>
    <w:rsid w:val="008C54A2"/>
    <w:rsid w:val="008C6882"/>
    <w:rsid w:val="008D3A6D"/>
    <w:rsid w:val="008D7B7D"/>
    <w:rsid w:val="008F2D70"/>
    <w:rsid w:val="009038D7"/>
    <w:rsid w:val="009078E9"/>
    <w:rsid w:val="0091546A"/>
    <w:rsid w:val="009658E5"/>
    <w:rsid w:val="00976852"/>
    <w:rsid w:val="00997E0C"/>
    <w:rsid w:val="009A7F0D"/>
    <w:rsid w:val="009E36BC"/>
    <w:rsid w:val="00A32E83"/>
    <w:rsid w:val="00A352B5"/>
    <w:rsid w:val="00A564C1"/>
    <w:rsid w:val="00A67710"/>
    <w:rsid w:val="00AB17B5"/>
    <w:rsid w:val="00AB3742"/>
    <w:rsid w:val="00AC73AB"/>
    <w:rsid w:val="00B47374"/>
    <w:rsid w:val="00B71DE5"/>
    <w:rsid w:val="00B804C5"/>
    <w:rsid w:val="00BA59B5"/>
    <w:rsid w:val="00BD3ABC"/>
    <w:rsid w:val="00BD40D0"/>
    <w:rsid w:val="00BF12FD"/>
    <w:rsid w:val="00BF2E05"/>
    <w:rsid w:val="00BF4240"/>
    <w:rsid w:val="00C227DC"/>
    <w:rsid w:val="00C2469E"/>
    <w:rsid w:val="00C43910"/>
    <w:rsid w:val="00C644FA"/>
    <w:rsid w:val="00C939A8"/>
    <w:rsid w:val="00CB1484"/>
    <w:rsid w:val="00CC5B0F"/>
    <w:rsid w:val="00CD7130"/>
    <w:rsid w:val="00D004CD"/>
    <w:rsid w:val="00D03F25"/>
    <w:rsid w:val="00D07ECF"/>
    <w:rsid w:val="00D36ADE"/>
    <w:rsid w:val="00D40806"/>
    <w:rsid w:val="00D735F0"/>
    <w:rsid w:val="00D76F19"/>
    <w:rsid w:val="00D814FA"/>
    <w:rsid w:val="00D84465"/>
    <w:rsid w:val="00D97A86"/>
    <w:rsid w:val="00DB0811"/>
    <w:rsid w:val="00DB3CDC"/>
    <w:rsid w:val="00DE13FB"/>
    <w:rsid w:val="00DF60A6"/>
    <w:rsid w:val="00E021DD"/>
    <w:rsid w:val="00E12E75"/>
    <w:rsid w:val="00E135AA"/>
    <w:rsid w:val="00E2284D"/>
    <w:rsid w:val="00E35F05"/>
    <w:rsid w:val="00E400B9"/>
    <w:rsid w:val="00E5578F"/>
    <w:rsid w:val="00E9385C"/>
    <w:rsid w:val="00EB221D"/>
    <w:rsid w:val="00EC67EC"/>
    <w:rsid w:val="00EC7133"/>
    <w:rsid w:val="00ED5C38"/>
    <w:rsid w:val="00EE375A"/>
    <w:rsid w:val="00EF5BD9"/>
    <w:rsid w:val="00F046A2"/>
    <w:rsid w:val="00F228D2"/>
    <w:rsid w:val="00F54F88"/>
    <w:rsid w:val="00F62781"/>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styleId="UnresolvedMention">
    <w:name w:val="Unresolved Mention"/>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3</cp:revision>
  <cp:lastPrinted>2021-06-16T02:55:00Z</cp:lastPrinted>
  <dcterms:created xsi:type="dcterms:W3CDTF">2023-11-03T01:48:00Z</dcterms:created>
  <dcterms:modified xsi:type="dcterms:W3CDTF">2023-11-06T02:32:00Z</dcterms:modified>
</cp:coreProperties>
</file>