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BC95" w14:textId="77777777" w:rsidR="002969D1" w:rsidRDefault="002969D1" w:rsidP="002969D1">
      <w:pPr>
        <w:pStyle w:val="NormalWeb"/>
        <w:spacing w:before="240" w:beforeAutospacing="0"/>
        <w:contextualSpacing/>
        <w:jc w:val="center"/>
      </w:pPr>
      <w:r>
        <w:rPr>
          <w:b/>
          <w:bCs/>
        </w:rPr>
        <w:t xml:space="preserve">Table 2. </w:t>
      </w:r>
      <w:r>
        <w:t>Performance comparison of ADR frequencies between DeepADR and other model</w:t>
      </w:r>
      <w:r>
        <w:rPr>
          <w:rFonts w:hint="eastAsia"/>
        </w:rPr>
        <w:t>s</w:t>
      </w:r>
    </w:p>
    <w:tbl>
      <w:tblPr>
        <w:tblW w:w="10991" w:type="dxa"/>
        <w:jc w:val="center"/>
        <w:tblBorders>
          <w:top w:val="single" w:sz="12" w:space="0" w:color="000000"/>
          <w:bottom w:val="single" w:sz="12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170"/>
        <w:gridCol w:w="1721"/>
        <w:gridCol w:w="1710"/>
        <w:gridCol w:w="1620"/>
        <w:gridCol w:w="1620"/>
        <w:gridCol w:w="1620"/>
        <w:gridCol w:w="1530"/>
      </w:tblGrid>
      <w:tr w:rsidR="004E1365" w14:paraId="48D4DD38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4661194B" w14:textId="77777777" w:rsidR="004E1365" w:rsidRDefault="004E1365" w:rsidP="005D510D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bookmarkStart w:id="0" w:name="OLE_LINK5"/>
            <w:r>
              <w:rPr>
                <w:b/>
                <w:bCs/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16141FE0" w14:textId="77777777" w:rsidR="004E1365" w:rsidRDefault="004E1365" w:rsidP="005D510D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AU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RO</w:t>
            </w:r>
            <w:r>
              <w:rPr>
                <w:b/>
                <w:bCs/>
                <w:color w:val="000000"/>
                <w:sz w:val="18"/>
                <w:szCs w:val="18"/>
              </w:rPr>
              <w:t>C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1D178EBF" w14:textId="77777777" w:rsidR="004E1365" w:rsidRDefault="004E1365" w:rsidP="005D510D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AUPR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BCBFBF9" w14:textId="77777777" w:rsidR="004E1365" w:rsidRDefault="004E1365" w:rsidP="005D510D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F1 score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B8E36FB" w14:textId="77777777" w:rsidR="004E1365" w:rsidRDefault="004E1365" w:rsidP="005D510D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RMSE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9E00584" w14:textId="77777777" w:rsidR="004E1365" w:rsidRDefault="004E1365" w:rsidP="005D510D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MAE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24053A0" w14:textId="77777777" w:rsidR="004E1365" w:rsidRDefault="004E1365" w:rsidP="005D510D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PCC</w:t>
            </w:r>
          </w:p>
        </w:tc>
      </w:tr>
      <w:tr w:rsidR="004E1365" w14:paraId="53FE1C52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29377ABF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Galeno’s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506CBD37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0.9069 ± 0.0017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6A3B9EC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0.7541 ± 0.0037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22095DD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0.6875 ± 0.0071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721EDD1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1.3140±0.0031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BAD3D0D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0.9621±0.0045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00BE933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0.4782±0.0005</w:t>
            </w:r>
          </w:p>
        </w:tc>
      </w:tr>
      <w:tr w:rsidR="004E1365" w14:paraId="6A47F18B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56916AFA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MGPred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23C1D5F5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0.7543±0.0063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5E39E960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0.7355±0.0024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EBAEBC0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0.6743 ± 0.0069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3F329D3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0.7402±0.0052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2984DE7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0.6020±0.0046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7F19758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0.6212±0.0076</w:t>
            </w:r>
          </w:p>
        </w:tc>
      </w:tr>
      <w:tr w:rsidR="004E1365" w14:paraId="38F7EC3D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650A54E2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SDPred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586757D0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0.7975 ± 0.0077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FA0AE1E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0.7859 ± 0.006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244696D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0.695 ± 0.005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58D3ABD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  <w:u w:val="single"/>
              </w:rPr>
              <w:t>0.6912 ± 0.0075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6132AB9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  <w:u w:val="single"/>
              </w:rPr>
              <w:t>0.5474 ± 0.0069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85AA851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  <w:u w:val="single"/>
              </w:rPr>
              <w:t>0.6727±0.0065</w:t>
            </w:r>
          </w:p>
        </w:tc>
      </w:tr>
      <w:tr w:rsidR="004E1365" w14:paraId="3F7A5DCF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1A2EBE93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DSGAT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0E51BBC9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0.9168±0.0038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09DD234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0.8603±0.0059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195F9F7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0.8235 ± 0.0047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1A37A49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1.029 ± 0.0045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796F83F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0.7533±0.0063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5BE456F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0.556±0.0051</w:t>
            </w:r>
          </w:p>
        </w:tc>
      </w:tr>
      <w:tr w:rsidR="004E1365" w14:paraId="48C80747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546DA7AA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NRFSE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0DC5F9F4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  <w:u w:val="single"/>
              </w:rPr>
              <w:t>0.9264±0.0045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F12CD45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0.8723±0.0057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F59C2C9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  <w:u w:val="single"/>
              </w:rPr>
              <w:t>0.8322±0.0064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1925019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1.006±0.0091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5176F99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0.7656±0.0084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F213A57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0.5807±0.0065</w:t>
            </w:r>
          </w:p>
        </w:tc>
      </w:tr>
      <w:tr w:rsidR="004E1365" w14:paraId="33E3F501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3CCC094F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MSDSE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7A8DDF5B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0.6972±0.0023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2FBEA716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0.6758±0.0047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01CC897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0.6085±0.0034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B481B47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84B4525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/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AA84175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/</w:t>
            </w:r>
          </w:p>
        </w:tc>
      </w:tr>
      <w:tr w:rsidR="004E1365" w14:paraId="3B64BAAB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4B3AF67D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HSTrans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300EEC0F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0.8929±0.0023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4782BC56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  <w:u w:val="single"/>
              </w:rPr>
              <w:t>0.8723±0.0053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D80149E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0.8123±0.0024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5A3E863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1.390±0.0021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C16E286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0.725±0.0055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4FD103D" w14:textId="77777777" w:rsidR="004E1365" w:rsidRDefault="004E1365" w:rsidP="005D510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0.4564±0.0014</w:t>
            </w:r>
          </w:p>
        </w:tc>
      </w:tr>
      <w:tr w:rsidR="004E1365" w14:paraId="5B5B5F90" w14:textId="77777777" w:rsidTr="005D510D">
        <w:trPr>
          <w:trHeight w:val="432"/>
          <w:jc w:val="center"/>
        </w:trPr>
        <w:tc>
          <w:tcPr>
            <w:tcW w:w="1170" w:type="dxa"/>
            <w:shd w:val="clear" w:color="auto" w:fill="auto"/>
            <w:vAlign w:val="center"/>
          </w:tcPr>
          <w:p w14:paraId="225A090A" w14:textId="77777777" w:rsidR="004E1365" w:rsidRPr="00501089" w:rsidRDefault="004E1365" w:rsidP="005D510D">
            <w:pPr>
              <w:jc w:val="center"/>
              <w:rPr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color w:val="000000" w:themeColor="text1"/>
                <w:sz w:val="18"/>
                <w:szCs w:val="18"/>
                <w:highlight w:val="yellow"/>
              </w:rPr>
              <w:t>DeepADR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73199314" w14:textId="77777777" w:rsidR="004E1365" w:rsidRPr="00501089" w:rsidRDefault="004E1365" w:rsidP="005D510D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0.9346±0.0048</w:t>
            </w:r>
          </w:p>
          <w:p w14:paraId="372C6D4A" w14:textId="77777777" w:rsidR="004E1365" w:rsidRPr="00501089" w:rsidRDefault="004E1365" w:rsidP="005D51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rFonts w:eastAsia="PingFang TC"/>
                <w:b/>
                <w:bCs/>
                <w:color w:val="000000" w:themeColor="text1"/>
                <w:sz w:val="18"/>
                <w:szCs w:val="18"/>
                <w:highlight w:val="yellow"/>
              </w:rPr>
              <w:t>(0.0</w:t>
            </w:r>
            <w:r w:rsidRPr="00501089">
              <w:rPr>
                <w:rFonts w:eastAsia="PingFang TC" w:hint="eastAsia"/>
                <w:b/>
                <w:bCs/>
                <w:color w:val="000000" w:themeColor="text1"/>
                <w:sz w:val="18"/>
                <w:szCs w:val="18"/>
                <w:highlight w:val="yellow"/>
              </w:rPr>
              <w:t>136</w:t>
            </w:r>
            <w:r w:rsidRPr="00501089">
              <w:rPr>
                <w:rFonts w:eastAsia="PingFang TC"/>
                <w:b/>
                <w:bCs/>
                <w:color w:val="000000" w:themeColor="text1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E696F7F" w14:textId="77777777" w:rsidR="004E1365" w:rsidRPr="00501089" w:rsidRDefault="004E1365" w:rsidP="005D510D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0.9305±0.0079</w:t>
            </w:r>
          </w:p>
          <w:p w14:paraId="6DE73D24" w14:textId="77777777" w:rsidR="004E1365" w:rsidRPr="00501089" w:rsidRDefault="004E1365" w:rsidP="005D51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(</w:t>
            </w:r>
            <w:r w:rsidRPr="00501089">
              <w:rPr>
                <w:rFonts w:hint="eastAsia"/>
                <w:b/>
                <w:bCs/>
                <w:color w:val="000000" w:themeColor="text1"/>
                <w:sz w:val="18"/>
                <w:szCs w:val="18"/>
                <w:highlight w:val="yellow"/>
              </w:rPr>
              <w:t>0.0002</w:t>
            </w: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B217E65" w14:textId="77777777" w:rsidR="004E1365" w:rsidRPr="00501089" w:rsidRDefault="004E1365" w:rsidP="005D510D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0.8618±0.0038</w:t>
            </w:r>
          </w:p>
          <w:p w14:paraId="2EFACD52" w14:textId="77777777" w:rsidR="004E1365" w:rsidRPr="00501089" w:rsidRDefault="004E1365" w:rsidP="005D51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(</w:t>
            </w:r>
            <w:r w:rsidRPr="00501089">
              <w:rPr>
                <w:rFonts w:hint="eastAsia"/>
                <w:b/>
                <w:bCs/>
                <w:color w:val="000000" w:themeColor="text1"/>
                <w:sz w:val="18"/>
                <w:szCs w:val="18"/>
                <w:highlight w:val="yellow"/>
              </w:rPr>
              <w:t>0.0016</w:t>
            </w: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6A39A74" w14:textId="77777777" w:rsidR="004E1365" w:rsidRPr="00501089" w:rsidRDefault="004E1365" w:rsidP="005D510D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0.6239±0.0100</w:t>
            </w:r>
          </w:p>
          <w:p w14:paraId="2D6941E9" w14:textId="77777777" w:rsidR="004E1365" w:rsidRPr="00501089" w:rsidRDefault="004E1365" w:rsidP="005D51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(</w:t>
            </w:r>
            <w:r w:rsidRPr="00501089">
              <w:rPr>
                <w:rFonts w:hint="eastAsia"/>
                <w:b/>
                <w:bCs/>
                <w:color w:val="000000" w:themeColor="text1"/>
                <w:sz w:val="18"/>
                <w:szCs w:val="18"/>
                <w:highlight w:val="yellow"/>
              </w:rPr>
              <w:t>0.0005</w:t>
            </w: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A126575" w14:textId="77777777" w:rsidR="004E1365" w:rsidRPr="00501089" w:rsidRDefault="004E1365" w:rsidP="005D510D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0.4652±0.0080</w:t>
            </w:r>
          </w:p>
          <w:p w14:paraId="6ECAFCDD" w14:textId="77777777" w:rsidR="004E1365" w:rsidRPr="00501089" w:rsidRDefault="004E1365" w:rsidP="005D51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(</w:t>
            </w:r>
            <w:r w:rsidRPr="00501089">
              <w:rPr>
                <w:rFonts w:hint="eastAsia"/>
                <w:b/>
                <w:bCs/>
                <w:color w:val="000000" w:themeColor="text1"/>
                <w:sz w:val="18"/>
                <w:szCs w:val="18"/>
                <w:highlight w:val="yellow"/>
              </w:rPr>
              <w:t>0.0001</w:t>
            </w: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C538F6F" w14:textId="77777777" w:rsidR="004E1365" w:rsidRPr="00501089" w:rsidRDefault="004E1365" w:rsidP="005D510D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0.7422±0.0053</w:t>
            </w:r>
          </w:p>
          <w:p w14:paraId="2CB29DC5" w14:textId="77777777" w:rsidR="004E1365" w:rsidRPr="00501089" w:rsidRDefault="004E1365" w:rsidP="005D51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(</w:t>
            </w:r>
            <w:r w:rsidRPr="00501089">
              <w:rPr>
                <w:rFonts w:hint="eastAsia"/>
                <w:b/>
                <w:bCs/>
                <w:color w:val="000000" w:themeColor="text1"/>
                <w:sz w:val="18"/>
                <w:szCs w:val="18"/>
                <w:highlight w:val="yellow"/>
              </w:rPr>
              <w:t>0.0002</w:t>
            </w:r>
            <w:r w:rsidRPr="00501089">
              <w:rPr>
                <w:b/>
                <w:bCs/>
                <w:color w:val="000000" w:themeColor="text1"/>
                <w:sz w:val="18"/>
                <w:szCs w:val="18"/>
                <w:highlight w:val="yellow"/>
              </w:rPr>
              <w:t>)</w:t>
            </w:r>
          </w:p>
        </w:tc>
      </w:tr>
      <w:tr w:rsidR="004E1365" w14:paraId="25D17F6F" w14:textId="77777777" w:rsidTr="005D510D">
        <w:trPr>
          <w:trHeight w:val="432"/>
          <w:jc w:val="center"/>
        </w:trPr>
        <w:tc>
          <w:tcPr>
            <w:tcW w:w="10991" w:type="dxa"/>
            <w:gridSpan w:val="7"/>
            <w:shd w:val="clear" w:color="auto" w:fill="auto"/>
            <w:vAlign w:val="center"/>
          </w:tcPr>
          <w:p w14:paraId="5B6DFEB6" w14:textId="77777777" w:rsidR="004E1365" w:rsidRPr="00071810" w:rsidRDefault="004E1365" w:rsidP="005D510D">
            <w:pPr>
              <w:pStyle w:val="NormalWeb"/>
              <w:tabs>
                <w:tab w:val="left" w:pos="2628"/>
              </w:tabs>
              <w:spacing w:before="240" w:line="276" w:lineRule="auto"/>
              <w:jc w:val="both"/>
              <w:rPr>
                <w:sz w:val="21"/>
                <w:szCs w:val="21"/>
              </w:rPr>
            </w:pPr>
            <w:r w:rsidRPr="00F03E89">
              <w:rPr>
                <w:sz w:val="21"/>
                <w:szCs w:val="21"/>
                <w:highlight w:val="yellow"/>
              </w:rPr>
              <w:t xml:space="preserve">Note: For each evaluation metric, the best-performing value is highlighted in </w:t>
            </w:r>
            <w:r w:rsidRPr="00F03E89">
              <w:rPr>
                <w:b/>
                <w:bCs/>
                <w:color w:val="000000" w:themeColor="text1"/>
                <w:sz w:val="21"/>
                <w:szCs w:val="21"/>
                <w:highlight w:val="yellow"/>
              </w:rPr>
              <w:t>bold</w:t>
            </w:r>
            <w:r w:rsidRPr="00F03E89">
              <w:rPr>
                <w:sz w:val="21"/>
                <w:szCs w:val="21"/>
                <w:highlight w:val="yellow"/>
              </w:rPr>
              <w:t xml:space="preserve">, and the second-best is indicated with </w:t>
            </w:r>
            <w:r w:rsidRPr="00F03E89">
              <w:rPr>
                <w:sz w:val="21"/>
                <w:szCs w:val="21"/>
                <w:highlight w:val="yellow"/>
                <w:u w:val="single"/>
              </w:rPr>
              <w:t>underline</w:t>
            </w:r>
            <w:r w:rsidRPr="00F03E89">
              <w:rPr>
                <w:sz w:val="21"/>
                <w:szCs w:val="21"/>
                <w:highlight w:val="yellow"/>
              </w:rPr>
              <w:t xml:space="preserve"> for ease of comparison.</w:t>
            </w:r>
            <w:r w:rsidRPr="00F03E89">
              <w:rPr>
                <w:rFonts w:hint="eastAsia"/>
                <w:sz w:val="21"/>
                <w:szCs w:val="21"/>
                <w:highlight w:val="yellow"/>
              </w:rPr>
              <w:t xml:space="preserve"> </w:t>
            </w:r>
            <w:r w:rsidRPr="00F03E89">
              <w:rPr>
                <w:sz w:val="21"/>
                <w:szCs w:val="21"/>
                <w:highlight w:val="yellow"/>
              </w:rPr>
              <w:t>All values are presented as mean ± standard deviation.</w:t>
            </w:r>
            <w:r w:rsidRPr="00F03E89">
              <w:rPr>
                <w:rFonts w:hint="eastAsia"/>
                <w:sz w:val="21"/>
                <w:szCs w:val="21"/>
                <w:highlight w:val="yellow"/>
              </w:rPr>
              <w:t xml:space="preserve"> </w:t>
            </w:r>
            <w:r w:rsidRPr="00F03E89">
              <w:rPr>
                <w:sz w:val="21"/>
                <w:szCs w:val="21"/>
                <w:highlight w:val="yellow"/>
              </w:rPr>
              <w:t>Values in parentheses indicate p-values (paired t-test) comparing DeepADR with the second-best model.</w:t>
            </w:r>
          </w:p>
        </w:tc>
      </w:tr>
      <w:bookmarkEnd w:id="0"/>
    </w:tbl>
    <w:p w14:paraId="2ED9817E" w14:textId="77777777" w:rsidR="002969D1" w:rsidRDefault="002969D1" w:rsidP="002969D1"/>
    <w:p w14:paraId="69497804" w14:textId="77777777" w:rsidR="00A5069F" w:rsidRDefault="00A5069F"/>
    <w:sectPr w:rsidR="00A50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D1"/>
    <w:rsid w:val="00092941"/>
    <w:rsid w:val="000A0439"/>
    <w:rsid w:val="00194F62"/>
    <w:rsid w:val="002969D1"/>
    <w:rsid w:val="003234E6"/>
    <w:rsid w:val="00467CFF"/>
    <w:rsid w:val="004E1365"/>
    <w:rsid w:val="005B441B"/>
    <w:rsid w:val="00775F04"/>
    <w:rsid w:val="007A33B9"/>
    <w:rsid w:val="007A4B21"/>
    <w:rsid w:val="008B3BB8"/>
    <w:rsid w:val="00931C5D"/>
    <w:rsid w:val="00987BA8"/>
    <w:rsid w:val="00996CF7"/>
    <w:rsid w:val="00A5069F"/>
    <w:rsid w:val="00A946A7"/>
    <w:rsid w:val="00F7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95532"/>
  <w15:chartTrackingRefBased/>
  <w15:docId w15:val="{76A8000F-20B7-2945-8511-AB4D6CCF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9D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9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D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D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D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D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D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D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D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6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D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6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D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6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D1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6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2969D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Jingting Wan (MED,118010284)</dc:creator>
  <cp:keywords/>
  <dc:description/>
  <cp:lastModifiedBy>Jingting Wan (MED,118010284)</cp:lastModifiedBy>
  <cp:revision>2</cp:revision>
  <dcterms:created xsi:type="dcterms:W3CDTF">2025-08-06T08:11:00Z</dcterms:created>
  <dcterms:modified xsi:type="dcterms:W3CDTF">2025-11-03T07:14:00Z</dcterms:modified>
</cp:coreProperties>
</file>