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80"/>
      </w:pPr>
      <w:r>
        <w:rPr>
          <w:rFonts w:ascii="Arial Unicode MS" w:hAnsi="Arial Unicode MS" w:eastAsia="Arial Unicode MS"/>
          <w:b/>
          <w:color w:val="2E74B5"/>
          <w:sz w:val="24"/>
        </w:rPr>
        <w:t>研发与生产大数据平台数据库建设</w:t>
      </w:r>
    </w:p>
    <w:p>
      <w:pPr>
        <w:pStyle w:val="SpecTitle"/>
        <w:spacing w:after="200"/>
      </w:pPr>
      <w:r>
        <w:rPr>
          <w:rFonts w:ascii="Arial Unicode MS" w:hAnsi="Arial Unicode MS" w:eastAsia="Arial Unicode MS"/>
          <w:b/>
          <w:color w:val="123B5D"/>
          <w:sz w:val="56"/>
        </w:rPr>
        <w:t>系统设计说明书</w:t>
      </w:r>
    </w:p>
    <w:p>
      <w:pPr>
        <w:pStyle w:val="SpecSubtitle"/>
        <w:spacing w:after="640"/>
      </w:pPr>
      <w:r>
        <w:rPr>
          <w:rFonts w:ascii="Arial Unicode MS" w:hAnsi="Arial Unicode MS" w:eastAsia="Arial Unicode MS"/>
          <w:color w:val="667684"/>
          <w:sz w:val="28"/>
        </w:rPr>
        <w:t>架构设计 · 详细设计 · 数据库设计｜实现对齐版</w:t>
      </w:r>
    </w:p>
    <w:p>
      <w:pPr>
        <w:spacing w:after="100"/>
      </w:pPr>
      <w:r>
        <w:rPr>
          <w:rFonts w:ascii="Arial Unicode MS" w:hAnsi="Arial Unicode MS" w:eastAsia="Arial Unicode MS"/>
          <w:b/>
          <w:color w:val="123B5D"/>
          <w:sz w:val="21"/>
        </w:rPr>
        <w:t>文档版本：</w:t>
      </w:r>
      <w:r>
        <w:rPr>
          <w:rFonts w:ascii="Arial Unicode MS" w:hAnsi="Arial Unicode MS" w:eastAsia="Arial Unicode MS"/>
          <w:color w:val="172B3A"/>
          <w:sz w:val="21"/>
        </w:rPr>
        <w:t>V1.9（V33 + BAK-002 跨库恢复对齐版）</w:t>
      </w:r>
    </w:p>
    <w:p>
      <w:pPr>
        <w:spacing w:after="100"/>
      </w:pPr>
      <w:r>
        <w:rPr>
          <w:rFonts w:ascii="Arial Unicode MS" w:hAnsi="Arial Unicode MS" w:eastAsia="Arial Unicode MS"/>
          <w:b/>
          <w:color w:val="123B5D"/>
          <w:sz w:val="21"/>
        </w:rPr>
        <w:t>技术基线：</w:t>
      </w:r>
      <w:r>
        <w:rPr>
          <w:rFonts w:ascii="Arial Unicode MS" w:hAnsi="Arial Unicode MS" w:eastAsia="Arial Unicode MS"/>
          <w:color w:val="172B3A"/>
          <w:sz w:val="21"/>
        </w:rPr>
        <w:t>Spring Boot 3.5 / Vue 3 / PostgreSQL 17 / MongoDB 8 / Redis 8</w:t>
      </w:r>
    </w:p>
    <w:p>
      <w:pPr>
        <w:spacing w:after="100"/>
      </w:pPr>
      <w:r>
        <w:rPr>
          <w:rFonts w:ascii="Arial Unicode MS" w:hAnsi="Arial Unicode MS" w:eastAsia="Arial Unicode MS"/>
          <w:b/>
          <w:color w:val="123B5D"/>
          <w:sz w:val="21"/>
        </w:rPr>
        <w:t>对齐依据：</w:t>
      </w:r>
      <w:r>
        <w:rPr>
          <w:rFonts w:ascii="Arial Unicode MS" w:hAnsi="Arial Unicode MS" w:eastAsia="Arial Unicode MS"/>
          <w:color w:val="172B3A"/>
          <w:sz w:val="21"/>
        </w:rPr>
        <w:t>软件开发需求文档-0408、项目实施方案修改2、需求基线与当前代码</w:t>
      </w:r>
    </w:p>
    <w:p>
      <w:pPr>
        <w:spacing w:after="100"/>
      </w:pPr>
      <w:r>
        <w:rPr>
          <w:rFonts w:ascii="Arial Unicode MS" w:hAnsi="Arial Unicode MS" w:eastAsia="Arial Unicode MS"/>
          <w:b/>
          <w:color w:val="123B5D"/>
          <w:sz w:val="21"/>
        </w:rPr>
        <w:t>编制日期：</w:t>
      </w:r>
      <w:r>
        <w:rPr>
          <w:rFonts w:ascii="Arial Unicode MS" w:hAnsi="Arial Unicode MS" w:eastAsia="Arial Unicode MS"/>
          <w:color w:val="172B3A"/>
          <w:sz w:val="21"/>
        </w:rPr>
        <w:t>2026年8月12日</w:t>
      </w:r>
    </w:p>
    <w:p>
      <w:pPr>
        <w:spacing w:after="100"/>
      </w:pPr>
      <w:r>
        <w:rPr>
          <w:rFonts w:ascii="Arial Unicode MS" w:hAnsi="Arial Unicode MS" w:eastAsia="Arial Unicode MS"/>
          <w:b/>
          <w:color w:val="123B5D"/>
          <w:sz w:val="21"/>
        </w:rPr>
        <w:t>文档状态：</w:t>
      </w:r>
      <w:r>
        <w:rPr>
          <w:rFonts w:ascii="Arial Unicode MS" w:hAnsi="Arial Unicode MS" w:eastAsia="Arial Unicode MS"/>
          <w:color w:val="172B3A"/>
          <w:sz w:val="21"/>
        </w:rPr>
        <w:t>核心开发/演示设计基线；生产门禁另行验收</w:t>
      </w:r>
    </w:p>
    <w:p>
      <w:pPr>
        <w:spacing w:before="840" w:after="0"/>
        <w:shd w:fill="EEF4F8"/>
      </w:pPr>
      <w:r>
        <w:rPr>
          <w:rFonts w:ascii="Arial Unicode MS" w:hAnsi="Arial Unicode MS" w:eastAsia="Arial Unicode MS"/>
          <w:b/>
          <w:color w:val="1F4D78"/>
          <w:sz w:val="21"/>
        </w:rPr>
        <w:t>设计口径：PostgreSQL 是权限、业务元数据、工作流、电子签名与审计的权威来源；MongoDB/GridFS 承载动态记录与附件；Redis 承载有期限的安全状态。</w:t>
      </w:r>
    </w:p>
    <w:p>
      <w:r>
        <w:br w:type="page"/>
      </w:r>
    </w:p>
    <w:p>
      <w:pPr>
        <w:pStyle w:val="Heading1"/>
        <w:spacing w:before="0"/>
      </w:pPr>
      <w:r>
        <w:t>目录</w:t>
      </w:r>
    </w:p>
    <w:p>
      <w:pPr>
        <w:pStyle w:val="TOCEntry"/>
        <w:ind w:left="0"/>
      </w:pPr>
      <w:r>
        <w:rPr>
          <w:rFonts w:ascii="Arial Unicode MS" w:hAnsi="Arial Unicode MS" w:eastAsia="Arial Unicode MS"/>
          <w:b/>
          <w:color w:val="172B3A"/>
          <w:sz w:val="22"/>
        </w:rPr>
        <w:t>编制说明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文档状态定义</w:t>
      </w:r>
    </w:p>
    <w:p>
      <w:pPr>
        <w:pStyle w:val="TOCEntry"/>
        <w:ind w:left="0"/>
      </w:pPr>
      <w:r>
        <w:rPr>
          <w:rFonts w:ascii="Arial Unicode MS" w:hAnsi="Arial Unicode MS" w:eastAsia="Arial Unicode MS"/>
          <w:b/>
          <w:color w:val="172B3A"/>
          <w:sz w:val="22"/>
        </w:rPr>
        <w:t>1 设计目标与范围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1.1 建设目标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1.2 当前交付边界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1.3 关键需求对齐决策</w:t>
      </w:r>
    </w:p>
    <w:p>
      <w:pPr>
        <w:pStyle w:val="TOCEntry"/>
        <w:ind w:left="0"/>
      </w:pPr>
      <w:r>
        <w:rPr>
          <w:rFonts w:ascii="Arial Unicode MS" w:hAnsi="Arial Unicode MS" w:eastAsia="Arial Unicode MS"/>
          <w:b/>
          <w:color w:val="172B3A"/>
          <w:sz w:val="22"/>
        </w:rPr>
        <w:t>2 总体架构设计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2.1 分层架构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2.2 技术选型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2.3 部署拓扑</w:t>
      </w:r>
    </w:p>
    <w:p>
      <w:pPr>
        <w:pStyle w:val="TOCEntry"/>
        <w:ind w:left="0"/>
      </w:pPr>
      <w:r>
        <w:rPr>
          <w:rFonts w:ascii="Arial Unicode MS" w:hAnsi="Arial Unicode MS" w:eastAsia="Arial Unicode MS"/>
          <w:b/>
          <w:color w:val="172B3A"/>
          <w:sz w:val="22"/>
        </w:rPr>
        <w:t>3 安全架构与权限设计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3.1 身份认证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3.2 RBAC 与数据域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3.3 敏感数据和文件安全</w:t>
      </w:r>
    </w:p>
    <w:p>
      <w:pPr>
        <w:pStyle w:val="TOCEntry"/>
        <w:ind w:left="0"/>
      </w:pPr>
      <w:r>
        <w:rPr>
          <w:rFonts w:ascii="Arial Unicode MS" w:hAnsi="Arial Unicode MS" w:eastAsia="Arial Unicode MS"/>
          <w:b/>
          <w:color w:val="172B3A"/>
          <w:sz w:val="22"/>
        </w:rPr>
        <w:t>4 功能模块详细设计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4.1 用户、组织与管理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4.2 模板管理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4.3 数据集与动态记录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4.4 导入导出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4.5 记录工作流与电子签名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4.6 全链路追溯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4.7 设备与测量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4.8 文件与附件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4.9 外部系统集成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4.10 看板、检索与审计</w:t>
      </w:r>
    </w:p>
    <w:p>
      <w:pPr>
        <w:pStyle w:val="TOCEntry"/>
        <w:ind w:left="0"/>
      </w:pPr>
      <w:r>
        <w:rPr>
          <w:rFonts w:ascii="Arial Unicode MS" w:hAnsi="Arial Unicode MS" w:eastAsia="Arial Unicode MS"/>
          <w:b/>
          <w:color w:val="172B3A"/>
          <w:sz w:val="22"/>
        </w:rPr>
        <w:t>5 数据架构与数据库设计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5.1 存储职责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5.2 PostgreSQL 逻辑表分组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5.3 MongoDB 文档模型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5.4 索引、约束和迁移</w:t>
      </w:r>
    </w:p>
    <w:p>
      <w:pPr>
        <w:pStyle w:val="TOCEntry"/>
        <w:ind w:left="0"/>
      </w:pPr>
      <w:r>
        <w:rPr>
          <w:rFonts w:ascii="Arial Unicode MS" w:hAnsi="Arial Unicode MS" w:eastAsia="Arial Unicode MS"/>
          <w:b/>
          <w:color w:val="172B3A"/>
          <w:sz w:val="22"/>
        </w:rPr>
        <w:t>6 跨库事务与一致性设计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6.1 动态记录写入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6.2 工作流投影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6.3 文件一致性</w:t>
      </w:r>
    </w:p>
    <w:p>
      <w:pPr>
        <w:pStyle w:val="TOCEntry"/>
        <w:ind w:left="0"/>
      </w:pPr>
      <w:r>
        <w:rPr>
          <w:rFonts w:ascii="Arial Unicode MS" w:hAnsi="Arial Unicode MS" w:eastAsia="Arial Unicode MS"/>
          <w:b/>
          <w:color w:val="172B3A"/>
          <w:sz w:val="22"/>
        </w:rPr>
        <w:t>7 接口设计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7.1 通用契约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7.2 Webhook 认证与调用审计</w:t>
      </w:r>
    </w:p>
    <w:p>
      <w:pPr>
        <w:pStyle w:val="TOCEntry"/>
        <w:ind w:left="0"/>
      </w:pPr>
      <w:r>
        <w:rPr>
          <w:rFonts w:ascii="Arial Unicode MS" w:hAnsi="Arial Unicode MS" w:eastAsia="Arial Unicode MS"/>
          <w:b/>
          <w:color w:val="172B3A"/>
          <w:sz w:val="22"/>
        </w:rPr>
        <w:t>8 前端设计</w:t>
      </w:r>
    </w:p>
    <w:p>
      <w:pPr>
        <w:pStyle w:val="TOCEntry"/>
        <w:ind w:left="0"/>
      </w:pPr>
      <w:r>
        <w:rPr>
          <w:rFonts w:ascii="Arial Unicode MS" w:hAnsi="Arial Unicode MS" w:eastAsia="Arial Unicode MS"/>
          <w:b/>
          <w:color w:val="172B3A"/>
          <w:sz w:val="22"/>
        </w:rPr>
        <w:t>9 部署与运维设计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9.1 容器部署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9.2 配置与密钥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9.3 监控、备份与恢复</w:t>
      </w:r>
    </w:p>
    <w:p>
      <w:pPr>
        <w:pStyle w:val="TOCEntry"/>
        <w:ind w:left="0"/>
      </w:pPr>
      <w:r>
        <w:rPr>
          <w:rFonts w:ascii="Arial Unicode MS" w:hAnsi="Arial Unicode MS" w:eastAsia="Arial Unicode MS"/>
          <w:b/>
          <w:color w:val="172B3A"/>
          <w:sz w:val="22"/>
        </w:rPr>
        <w:t>10 非功能设计与验收门禁</w:t>
      </w:r>
    </w:p>
    <w:p>
      <w:pPr>
        <w:pStyle w:val="TOCEntry"/>
        <w:ind w:left="0"/>
      </w:pPr>
      <w:r>
        <w:rPr>
          <w:rFonts w:ascii="Arial Unicode MS" w:hAnsi="Arial Unicode MS" w:eastAsia="Arial Unicode MS"/>
          <w:b/>
          <w:color w:val="172B3A"/>
          <w:sz w:val="22"/>
        </w:rPr>
        <w:t>11 测试与设计验证</w:t>
      </w:r>
    </w:p>
    <w:p>
      <w:pPr>
        <w:pStyle w:val="TOCEntry"/>
        <w:ind w:left="0"/>
      </w:pPr>
      <w:r>
        <w:rPr>
          <w:rFonts w:ascii="Arial Unicode MS" w:hAnsi="Arial Unicode MS" w:eastAsia="Arial Unicode MS"/>
          <w:b/>
          <w:color w:val="172B3A"/>
          <w:sz w:val="22"/>
        </w:rPr>
        <w:t>12 实现状态、偏差与后续设计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12.1 已实现并验证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12.2 设计偏差与残余风险</w:t>
      </w:r>
    </w:p>
    <w:p>
      <w:pPr>
        <w:pStyle w:val="TOCEntry"/>
        <w:spacing w:after="40"/>
        <w:ind w:left="403"/>
      </w:pPr>
      <w:r>
        <w:rPr>
          <w:rFonts w:ascii="Arial Unicode MS" w:hAnsi="Arial Unicode MS" w:eastAsia="Arial Unicode MS"/>
          <w:color w:val="667684"/>
          <w:sz w:val="19"/>
        </w:rPr>
        <w:t>12.3 外部待确认事项</w:t>
      </w:r>
    </w:p>
    <w:p>
      <w:pPr>
        <w:pStyle w:val="TOCEntry"/>
        <w:ind w:left="0"/>
      </w:pPr>
      <w:r>
        <w:rPr>
          <w:rFonts w:ascii="Arial Unicode MS" w:hAnsi="Arial Unicode MS" w:eastAsia="Arial Unicode MS"/>
          <w:b/>
          <w:color w:val="172B3A"/>
          <w:sz w:val="22"/>
        </w:rPr>
        <w:t>附录 A 需求—设计映射摘要</w:t>
      </w:r>
    </w:p>
    <w:p>
      <w:pPr>
        <w:pStyle w:val="TOCEntry"/>
        <w:ind w:left="0"/>
      </w:pPr>
      <w:r>
        <w:rPr>
          <w:rFonts w:ascii="Arial Unicode MS" w:hAnsi="Arial Unicode MS" w:eastAsia="Arial Unicode MS"/>
          <w:b/>
          <w:color w:val="172B3A"/>
          <w:sz w:val="22"/>
        </w:rPr>
        <w:t>附录 B 设计基线引用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编制说明</w:t>
      </w:r>
    </w:p>
    <w:p>
      <w:pPr/>
      <w:r>
        <w:rPr>
          <w:rFonts w:ascii="Arial Unicode MS" w:hAnsi="Arial Unicode MS" w:eastAsia="Arial Unicode MS"/>
        </w:rPr>
        <w:t>本文档依据《研发与生产大数据平台数据库建设软件开发需求文档-0408》《研发与生产大数据平台项目实施方案修改2》、项目需求基线、需求追踪矩阵以及截至 2026-08-12 的 V33 实际代码与 BAK-002 恢复工具编制。本文档描述的是当前可运行版本的真实设计，不将模拟接口、预留能力或尚未取得外部条件的事项表述为已经完成生产验收。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文档属性</w:t>
            </w:r>
          </w:p>
        </w:tc>
        <w:tc>
          <w:tcPr>
            <w:tcW w:type="dxa" w:w="7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项目名称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研发与生产大数据平台数据库建设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文档名称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系统设计说明书（架构、详细设计、数据库设计）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文档版本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V1.9（V33 + BAK-002 跨库恢复对齐版）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技术基线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Java 17、Spring Boot 3.5、Vue 3、PostgreSQL 17、MongoDB 8、Redis 8、Docker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对齐日期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2026-08-12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当前结论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核心开发/演示基线有条件通过；生产验收门禁尚未全部闭环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 Unicode MS" w:hAnsi="Arial Unicode MS" w:eastAsia="Arial Unicode MS"/>
        </w:rPr>
        <w:t>文档状态定义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  <w:b/>
        </w:rPr>
        <w:t>已实现并测试</w:t>
      </w:r>
      <w:r>
        <w:rPr>
          <w:rFonts w:ascii="Arial Unicode MS" w:hAnsi="Arial Unicode MS" w:eastAsia="Arial Unicode MS"/>
        </w:rPr>
        <w:t>：存在代码、数据库迁移或配置，并有自动测试、独立运行态测试或构建证据。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  <w:b/>
        </w:rPr>
        <w:t>基础能力</w:t>
      </w:r>
      <w:r>
        <w:rPr>
          <w:rFonts w:ascii="Arial Unicode MS" w:hAnsi="Arial Unicode MS" w:eastAsia="Arial Unicode MS"/>
        </w:rPr>
        <w:t>：已提供通用模型、适配框架或安全默认行为，但仍需外部接口、设备资料或正式验收。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  <w:b/>
        </w:rPr>
        <w:t>待定/未纳入</w:t>
      </w:r>
      <w:r>
        <w:rPr>
          <w:rFonts w:ascii="Arial Unicode MS" w:hAnsi="Arial Unicode MS" w:eastAsia="Arial Unicode MS"/>
        </w:rPr>
        <w:t>：源文档要求仍存在，但当前版本没有完整实现或缺少必要输入；不得作为已交付生产能力宣传。</w:t>
      </w:r>
    </w:p>
    <w:p>
      <w:pPr>
        <w:pStyle w:val="Heading1"/>
      </w:pPr>
      <w:r>
        <w:rPr>
          <w:rFonts w:ascii="Arial Unicode MS" w:hAnsi="Arial Unicode MS" w:eastAsia="Arial Unicode MS"/>
        </w:rPr>
        <w:t>1 设计目标与范围</w:t>
      </w:r>
    </w:p>
    <w:p>
      <w:pPr>
        <w:pStyle w:val="Heading2"/>
      </w:pPr>
      <w:r>
        <w:rPr>
          <w:rFonts w:ascii="Arial Unicode MS" w:hAnsi="Arial Unicode MS" w:eastAsia="Arial Unicode MS"/>
        </w:rPr>
        <w:t>1.1 建设目标</w:t>
      </w:r>
    </w:p>
    <w:p>
      <w:pPr/>
      <w:r>
        <w:rPr>
          <w:rFonts w:ascii="Arial Unicode MS" w:hAnsi="Arial Unicode MS" w:eastAsia="Arial Unicode MS"/>
        </w:rPr>
        <w:t>平台面向医疗器械研发与生产场景，统一管理材料、工艺、设备、批次、产品、性能、质量检测和附件数据，形成“材料—工艺—产品—检测/性能”的双向可追溯证据链。系统同时提供模板化数据治理、多角色和数据域控制、受控审核发布、导入导出、文件管理、设备采集、外部系统接入与不可变审计，为后续工艺优化、质量预测和数字孪生建设准备可信数据基础。</w:t>
      </w:r>
    </w:p>
    <w:p>
      <w:pPr>
        <w:pStyle w:val="Heading2"/>
      </w:pPr>
      <w:r>
        <w:rPr>
          <w:rFonts w:ascii="Arial Unicode MS" w:hAnsi="Arial Unicode MS" w:eastAsia="Arial Unicode MS"/>
        </w:rPr>
        <w:t>1.2 当前交付边界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160"/>
        <w:gridCol w:w="2100"/>
      </w:tblGrid>
      <w:tr>
        <w:trPr>
          <w:tblHeader w:val="true"/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范围</w:t>
            </w:r>
          </w:p>
        </w:tc>
        <w:tc>
          <w:tcPr>
            <w:tcW w:type="dxa" w:w="5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设计结论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认证、RBAC、数据域、管理员保护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后端鉴权为安全边界，支持多角色和多数据域</w:t>
            </w:r>
          </w:p>
        </w:tc>
        <w:tc>
          <w:tcPr>
            <w:tcW w:type="dxa" w:w="2100"/>
            <w:shd w:fill="E7F4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23633B"/>
              </w:rPr>
              <w:t>已实现并测试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可配置自助注册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默认关闭；邮箱/手机一次性验证码、待审账号、模拟通知和管理员原子审核</w:t>
            </w:r>
          </w:p>
        </w:tc>
        <w:tc>
          <w:tcPr>
            <w:tcW w:type="dxa" w:w="2100"/>
            <w:shd w:fill="E7F4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  <w:color w:val="23633B"/>
              </w:rPr>
              <w:t>已实现并测试；真实通知供应商待生产决策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选择性共享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按用户/部门/角色共享数据集或数据域，操作、期限和撤销独立控制</w:t>
            </w:r>
          </w:p>
        </w:tc>
        <w:tc>
          <w:tcPr>
            <w:tcW w:type="dxa" w:w="2100"/>
            <w:shd w:fill="E7F4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23633B"/>
              </w:rPr>
              <w:t>已实现并测试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系统治理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科学/产业分类、部门、标签、用户、角色权限、数据域、字典、界面和动态菜单</w:t>
            </w:r>
          </w:p>
        </w:tc>
        <w:tc>
          <w:tcPr>
            <w:tcW w:type="dxa" w:w="2100"/>
            <w:shd w:fill="E7F4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23633B"/>
              </w:rPr>
              <w:t>已实现并测试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模板、数据集、动态字段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模板驱动动态记录，字段规则由 JSON 定义并在服务端校验</w:t>
            </w:r>
          </w:p>
        </w:tc>
        <w:tc>
          <w:tcPr>
            <w:tcW w:type="dxa" w:w="2100"/>
            <w:shd w:fill="E7F4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23633B"/>
              </w:rPr>
              <w:t>已实现并测试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记录审核发布和电子签名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PostgreSQL 保存权威状态与签名，MongoDB 仅保存查询投影</w:t>
            </w:r>
          </w:p>
        </w:tc>
        <w:tc>
          <w:tcPr>
            <w:tcW w:type="dxa" w:w="2100"/>
            <w:shd w:fill="E7F4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23633B"/>
              </w:rPr>
              <w:t>已实现并测试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CSV/JSON/XLSX 导入导出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逐行错误明细、字段选择、脱敏、附件清单/实体 ZIP 与一次性下载票据</w:t>
            </w:r>
          </w:p>
        </w:tc>
        <w:tc>
          <w:tcPr>
            <w:tcW w:type="dxa" w:w="2100"/>
            <w:shd w:fill="E7F4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23633B"/>
              </w:rPr>
              <w:t>已实现并测试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文件与附件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PostgreSQL 元数据 + MongoDB GridFS 内容 + SHA-256、分片断点续传和 Range 下载</w:t>
            </w:r>
          </w:p>
        </w:tc>
        <w:tc>
          <w:tcPr>
            <w:tcW w:type="dxa" w:w="2100"/>
            <w:shd w:fill="E7F4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23633B"/>
              </w:rPr>
              <w:t>已实现并测试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全链路追溯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统一实体和有向关系支持正向、反向和双向查询</w:t>
            </w:r>
          </w:p>
        </w:tc>
        <w:tc>
          <w:tcPr>
            <w:tcW w:type="dxa" w:w="2100"/>
            <w:shd w:fill="E7F4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23633B"/>
              </w:rPr>
              <w:t>已实现并测试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中文全文检索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PostgreSQL 全文 GIN、服务端高亮、Redis 历史和用户级建议</w:t>
            </w:r>
          </w:p>
        </w:tc>
        <w:tc>
          <w:tcPr>
            <w:tcW w:type="dxa" w:w="2100"/>
            <w:shd w:fill="E7F4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23633B"/>
              </w:rPr>
              <w:t>已实现并测试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数据生命周期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已发布记录的策略、保留例外、归档、摘要校验、恢复和清理</w:t>
            </w:r>
          </w:p>
        </w:tc>
        <w:tc>
          <w:tcPr>
            <w:tcW w:type="dxa" w:w="21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  <w:color w:val="7A5A00"/>
              </w:rPr>
              <w:t>基础能力；全资源/NAS 待扩展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跨库存储恢复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停写恢复点、签名 manifest、原生归档预检、PG/Mongo/GridFS 破坏恢复与自动对账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已实现并独立演练；异地/PITR/RPO-RTO 归生产门禁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设备与 MES/PLM/ERP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通用设备模型、映射、作业、安全 Webhook 和幂等契约</w:t>
            </w:r>
          </w:p>
        </w:tc>
        <w:tc>
          <w:tcPr>
            <w:tcW w:type="dxa" w:w="21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7A5A00"/>
              </w:rPr>
              <w:t>基础能力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文件主动内容与病毒扫描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大文件断点续传和安全下载已闭环；生产病毒扫描器仍未接入</w:t>
            </w:r>
          </w:p>
        </w:tc>
        <w:tc>
          <w:tcPr>
            <w:tcW w:type="dxa" w:w="21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7A5A00"/>
              </w:rPr>
              <w:t>基础能力；生产扫描待扩展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性能、容灾、法规和正式生产联调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需要约定环境、真实接口与质量/法规签署</w:t>
            </w:r>
          </w:p>
        </w:tc>
        <w:tc>
          <w:tcPr>
            <w:tcW w:type="dxa" w:w="2100"/>
            <w:shd w:fill="FDEB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9B1C1C"/>
              </w:rPr>
              <w:t>待定/未纳入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 Unicode MS" w:hAnsi="Arial Unicode MS" w:eastAsia="Arial Unicode MS"/>
        </w:rPr>
        <w:t>1.3 关键需求对齐决策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 xml:space="preserve">用户所述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pq</w:t>
      </w:r>
      <w:r>
        <w:rPr>
          <w:rFonts w:ascii="Arial Unicode MS" w:hAnsi="Arial Unicode MS" w:eastAsia="Arial Unicode MS"/>
        </w:rPr>
        <w:t xml:space="preserve"> 统一解释为 PostgreSQL；两份源文档均将 PostgreSQL 作为关系型数据库。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源文档“唯一角色”与“多角色绑定”冲突，设计按更严格且可扩展的多角色 RBAC 实现。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PostgreSQL 是用户、权限、元数据、流程、电子签名、审计和跨库事件的权威来源；MongoDB 保存动态数据集记录，GridFS 保存附件内容。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审计保存期按“永久保存”基线处理，除非后续由合同或质量体系书面确认其他期限。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MES/PLM/ERP 和真实工业设备因缺少正式契约、SDK、点表、账号与联调网络，仅能认定为接入框架已实现。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ALCOA+ 软件控制已形成独立的 [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技术控制—测试—证据矩阵</w:t>
      </w:r>
      <w:r>
        <w:rPr>
          <w:rFonts w:ascii="Arial Unicode MS" w:hAnsi="Arial Unicode MS" w:eastAsia="Arial Unicode MS"/>
        </w:rPr>
        <w:t>](./alcoa-control-evidence-matrix.md)；ISO 13485、FDA 21 CFR Part 11、GDPR 和 ALCOA+ 的最终适用性与验证不能仅由代码声明，仍需要质量、法规和法务形成运行证据与签署。</w:t>
      </w:r>
    </w:p>
    <w:p>
      <w:pPr>
        <w:pStyle w:val="Heading1"/>
      </w:pPr>
      <w:r>
        <w:rPr>
          <w:rFonts w:ascii="Arial Unicode MS" w:hAnsi="Arial Unicode MS" w:eastAsia="Arial Unicode MS"/>
        </w:rPr>
        <w:t>2 总体架构设计</w:t>
      </w:r>
    </w:p>
    <w:p>
      <w:pPr>
        <w:pStyle w:val="Heading2"/>
      </w:pPr>
      <w:r>
        <w:rPr>
          <w:rFonts w:ascii="Arial Unicode MS" w:hAnsi="Arial Unicode MS" w:eastAsia="Arial Unicode MS"/>
        </w:rPr>
        <w:t>2.1 分层架构</w:t>
      </w:r>
    </w:p>
    <w:p>
      <w:pPr/>
      <w:r>
        <w:rPr>
          <w:rFonts w:ascii="Arial Unicode MS" w:hAnsi="Arial Unicode MS" w:eastAsia="Arial Unicode MS"/>
        </w:rPr>
        <w:t>系统采用前后端分离和分层服务设计。Vue 3 管理端通过 HTTPS/REST 访问 Spring Boot API；应用层按认证授权、模板、数据集、追溯、设备、文件、集成和审计划分业务边界；数据层由 PostgreSQL、MongoDB/GridFS 与 Redis 协同承担不同一致性和访问特征的数据。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9128"/>
            <wp:docPr id="1" name="Picture 1" descr="总体架构图" title="总体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9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rPr>
          <w:rFonts w:ascii="Arial Unicode MS" w:hAnsi="Arial Unicode MS" w:eastAsia="Arial Unicode MS"/>
          <w:color w:val="667684"/>
          <w:sz w:val="18"/>
        </w:rPr>
        <w:t>总体架构图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160"/>
        <w:gridCol w:w="2100"/>
      </w:tblGrid>
      <w:tr>
        <w:trPr>
          <w:tblHeader w:val="true"/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层次</w:t>
            </w:r>
          </w:p>
        </w:tc>
        <w:tc>
          <w:tcPr>
            <w:tcW w:type="dxa" w:w="5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核心组件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设计职责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用户界面层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Vue 3、TypeScript、Element Plus、Pinia、Axios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登录、看板、动态表单、数据记录、追溯、设备、附件、集成、审计与管理页面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接入层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Nginx、REST API、统一响应与异常处理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静态资源、API 反向代理、请求路由、下载响应头和错误契约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应用服务层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Spring Boot、Spring Security、Bean Validation、JDBC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业务规则、权限、事务、状态机、幂等、审计与外部契约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数据访问层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JdbcClient、MongoTemplate、GridFsTemplate、StringRedisTemplate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关系数据、动态文档、附件字节和短期状态访问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存储层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PostgreSQL、MongoDB/GridFS、Redis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权威元数据与审计、动态记录与文件、验证码/锁定/会话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运维层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Docker Compose、Flyway、Actuator、定时对账任务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部署、迁移、健康检查、指标和跨库一致性修复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 Unicode MS" w:hAnsi="Arial Unicode MS" w:eastAsia="Arial Unicode MS"/>
        </w:rPr>
        <w:t>2.2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160"/>
        <w:gridCol w:w="2100"/>
      </w:tblGrid>
      <w:tr>
        <w:trPr>
          <w:tblHeader w:val="true"/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技术</w:t>
            </w:r>
          </w:p>
        </w:tc>
        <w:tc>
          <w:tcPr>
            <w:tcW w:type="dxa" w:w="5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当前版本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选型作用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Java / Spring Boot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Java 17 / Spring Boot 3.5.16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REST 服务、认证授权、事务、校验、调度和监控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Vue 3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Vue 3.5、TypeScript、Vite 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响应式管理端与权限路由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PostgreSQL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17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关系约束、工作流、审计链、电子签名、Outbox 和追溯关系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MongoDB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8.0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每数据集独立动态集合、工作流查询投影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MongoDB GridFS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8.0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图片、报告、模型和其他附件内容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Redis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8.2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验证码、失败锁定、当前会话、一次性刷新令牌和导出下载票据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Flyway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V1—V33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数据库结构、权限/共享、状态机、全文检索、生命周期、租约、签名上下文、系统治理、分片上传、追溯证据、注册审核、集成可靠性、交付凭据快照和升级凭据验强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Apache POI / Commons CSV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5.4.1 / 1.14.1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XLSX、CSV 导入导出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Docker / Nginx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Compose / Nginx 1.28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本地与私有化容器部署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 Unicode MS" w:hAnsi="Arial Unicode MS" w:eastAsia="Arial Unicode MS"/>
        </w:rPr>
        <w:t>2.3 部署拓扑</w:t>
      </w:r>
    </w:p>
    <w:p>
      <w:pPr/>
      <w:r>
        <w:rPr>
          <w:rFonts w:ascii="Arial Unicode MS" w:hAnsi="Arial Unicode MS" w:eastAsia="Arial Unicode MS"/>
        </w:rPr>
        <w:t xml:space="preserve">开发环境由 Vite 5173 端口代理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/api</w:t>
      </w:r>
      <w:r>
        <w:rPr>
          <w:rFonts w:ascii="Arial Unicode MS" w:hAnsi="Arial Unicode MS" w:eastAsia="Arial Unicode MS"/>
        </w:rPr>
        <w:t xml:space="preserve"> 至 Spring Boot 8080；PostgreSQL、MongoDB 和 Redis 由 Docker Compose 提供。应用容器化部署时，Nginx 对外暴露 Web 端口并转发 API 至后端容器，后端仅通过内部网络访问三类存储。生产环境必须在外层终止 TLS、启用 Secure Cookie、精确 CORS、密钥外置和可信代理配置。</w:t>
      </w:r>
    </w:p>
    <w:p>
      <w:pPr>
        <w:pStyle w:val="Heading1"/>
      </w:pPr>
      <w:r>
        <w:rPr>
          <w:rFonts w:ascii="Arial Unicode MS" w:hAnsi="Arial Unicode MS" w:eastAsia="Arial Unicode MS"/>
        </w:rPr>
        <w:t>3 安全架构与权限设计</w:t>
      </w:r>
    </w:p>
    <w:p>
      <w:pPr>
        <w:pStyle w:val="Heading2"/>
      </w:pPr>
      <w:r>
        <w:rPr>
          <w:rFonts w:ascii="Arial Unicode MS" w:hAnsi="Arial Unicode MS" w:eastAsia="Arial Unicode MS"/>
        </w:rPr>
        <w:t>3.1 身份认证</w:t>
      </w:r>
    </w:p>
    <w:p>
      <w:pPr/>
      <w:r>
        <w:rPr>
          <w:rFonts w:ascii="Arial Unicode MS" w:hAnsi="Arial Unicode MS" w:eastAsia="Arial Unicode MS"/>
        </w:rPr>
        <w:t>登录由一次性算术验证码、用户名和 BCrypt 密码共同校验。验证码在 Redis 保存 5 分钟并以读后删除方式消费；连续失败达到 5 次后锁定 30 分钟。匿名认证 POST 在 Servlet 读取阶段限制为 16KB，各字段具有显式长度/格式约束；验证码与登录分别使用 IP/全局 Redis Lua 固定窗口限流，缓存键使用账号/IP 的 SHA-256 摘要，Redis 故障时失败关闭并写独立审计。全新部署的管理员密码必须由环境变量提供，首次登录强制修改，重复启动不会重置已存在的管理员密码。</w:t>
      </w:r>
    </w:p>
    <w:p>
      <w:pPr/>
      <w:r>
        <w:rPr>
          <w:rFonts w:ascii="Arial Unicode MS" w:hAnsi="Arial Unicode MS" w:eastAsia="Arial Unicode MS"/>
        </w:rPr>
        <w:t xml:space="preserve">访问令牌仅保存在前端内存中；刷新令牌存于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HttpOnly + SameSite=Strict</w:t>
      </w:r>
      <w:r>
        <w:rPr>
          <w:rFonts w:ascii="Arial Unicode MS" w:hAnsi="Arial Unicode MS" w:eastAsia="Arial Unicode MS"/>
        </w:rPr>
        <w:t xml:space="preserve"> Cookie。Redis 中只保存刷新令牌摘要，并使用原子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GETDEL</w:t>
      </w:r>
      <w:r>
        <w:rPr>
          <w:rFonts w:ascii="Arial Unicode MS" w:hAnsi="Arial Unicode MS" w:eastAsia="Arial Unicode MS"/>
        </w:rPr>
        <w:t xml:space="preserve"> 保证并发刷新至多一次成功。账户冻结、密码修改、角色或数据域变化后，服务端在后续请求中重新加载用户状态，避免只信任旧令牌内声明。</w:t>
      </w:r>
    </w:p>
    <w:p>
      <w:pPr/>
      <w:r>
        <w:rPr>
          <w:rFonts w:ascii="Arial Unicode MS" w:hAnsi="Arial Unicode MS" w:eastAsia="Arial Unicode MS"/>
        </w:rPr>
        <w:t xml:space="preserve">自助注册遵循“默认关闭、后端强制、零外部费用可验收”的边界。启用后，申请人选择邮箱或手机之一，先通过图形验证码，再获取 6 位验证码；Redis 中只保存绑定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REGISTER + channel + normalized target</w:t>
      </w:r>
      <w:r>
        <w:rPr>
          <w:rFonts w:ascii="Arial Unicode MS" w:hAnsi="Arial Unicode MS" w:eastAsia="Arial Unicode MS"/>
        </w:rPr>
        <w:t xml:space="preserve"> 的 HMAC 摘要，TTL 为 5 分钟，Lua 脚本原子校验并删除，发送还受目标、来源 IP 和全局窗口限流。只把已验证渠道写入用户唯一字段，另一未验证联系方式不落库；注册申请另存掩码和不可逆目标 HMAC，审核前重新计算，防止待审期间改写联系方式。账号以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status=0 + GUEST + PENDING</w:t>
      </w:r>
      <w:r>
        <w:rPr>
          <w:rFonts w:ascii="Arial Unicode MS" w:hAnsi="Arial Unicode MS" w:eastAsia="Arial Unicode MS"/>
        </w:rPr>
        <w:t xml:space="preserve"> 创建，普通状态接口不能绕过审核。</w:t>
      </w:r>
    </w:p>
    <w:p>
      <w:pPr/>
      <w:r>
        <w:rPr>
          <w:rFonts w:ascii="Arial Unicode MS" w:hAnsi="Arial Unicode MS" w:eastAsia="Arial Unicode MS"/>
        </w:rPr>
        <w:t xml:space="preserve">管理员审核要求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user:manage + permission:assign</w:t>
      </w:r>
      <w:r>
        <w:rPr>
          <w:rFonts w:ascii="Arial Unicode MS" w:hAnsi="Arial Unicode MS" w:eastAsia="Arial Unicode MS"/>
        </w:rPr>
        <w:t xml:space="preserve"> 和载荷绑定的一次性二级确认。事务先取得统一管理员 advisory lock，再锁定申请与用户行；批准在同一事务内替换正式角色、直接数据域和部门、启用账号、写审核元数据、审计和模拟通知，驳回保持不可登录。非 ADMIN 只能授予自己当前持有且权限不超出自身的角色、直接拥有的非全局数据域和自身当前部门，防止借角色/部门共享间接扩域；通用资料编辑不能变更部门。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user:read</w:t>
      </w:r>
      <w:r>
        <w:rPr>
          <w:rFonts w:ascii="Arial Unicode MS" w:hAnsi="Arial Unicode MS" w:eastAsia="Arial Unicode MS"/>
        </w:rPr>
        <w:t xml:space="preserve"> 列表排除待审/驳回申请并脱敏联系方式，防止从通用用户目录旁路读取注册隐私。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SIMULATED</w:t>
      </w:r>
      <w:r>
        <w:rPr>
          <w:rFonts w:ascii="Arial Unicode MS" w:hAnsi="Arial Unicode MS" w:eastAsia="Arial Unicode MS"/>
        </w:rPr>
        <w:t xml:space="preserve"> 适配器只在进程内短期保存测试 OTP，通知表不保存验证码/密码；真实 SMTP/SMS 供应商未配置时生产开关必须保持关闭。</w:t>
      </w:r>
    </w:p>
    <w:p>
      <w:pPr>
        <w:pStyle w:val="Heading2"/>
      </w:pPr>
      <w:r>
        <w:rPr>
          <w:rFonts w:ascii="Arial Unicode MS" w:hAnsi="Arial Unicode MS" w:eastAsia="Arial Unicode MS"/>
        </w:rPr>
        <w:t>3.2 RBAC 与数据域</w:t>
      </w:r>
    </w:p>
    <w:p>
      <w:pPr/>
      <w:r>
        <w:rPr>
          <w:rFonts w:ascii="Arial Unicode MS" w:hAnsi="Arial Unicode MS" w:eastAsia="Arial Unicode MS"/>
        </w:rPr>
        <w:t xml:space="preserve">授权模型为“用户—角色—权限”和“用户—数据域”两组多对多关系。用户可拥有多个角色，权限取角色权限并集；业务查询、详情、修改、导出、文件和追溯节点均叠加数据域约束。前端菜单与按钮控制仅用于交互提示，不能替代后端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@PreAuthorize</w:t>
      </w:r>
      <w:r>
        <w:rPr>
          <w:rFonts w:ascii="Arial Unicode MS" w:hAnsi="Arial Unicode MS" w:eastAsia="Arial Unicode MS"/>
        </w:rPr>
        <w:t xml:space="preserve"> 和服务层数据域判断。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160"/>
        <w:gridCol w:w="2100"/>
      </w:tblGrid>
      <w:tr>
        <w:trPr>
          <w:tblHeader w:val="true"/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角色代码</w:t>
            </w:r>
          </w:p>
        </w:tc>
        <w:tc>
          <w:tcPr>
            <w:tcW w:type="dxa" w:w="5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主要职责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代表权限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ADMIN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用户、角色、数据域、配置和全局管理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全部权限；唯一管理员受并发保护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RND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研发模板、数据集、导入导出和追溯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template、dataset、trace、dashboard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PRODUCTION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生产记录、设备采集和追溯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dataset、device、trace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QUALITY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质量数据、审核、发布和审计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dataset:audit、dataset:publish、audit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EXECUTIVE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看板、汇总、授权导出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只读类权限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AUDITOR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独立模板/记录审核和发布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audit、publish、read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DATA_ADMIN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数据标准、模板、数据集治理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template、dataset、import/export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GUEST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公开数据只读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当前版本默认最小权限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 Unicode MS" w:hAnsi="Arial Unicode MS" w:eastAsia="Arial Unicode MS"/>
        </w:rPr>
        <w:t>3.3 敏感数据和文件安全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密码只保存 BCrypt 摘要；设备与外部系统连接配置采用 AES-GCM 加密，API 不回显明文。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HTML、SVG 等主动内容强制附件下载；前端只内联预览纯文本和被动图片，不以内联 Blob 打开 PDF。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 xml:space="preserve">文件响应设置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X-Content-Type-Options: nosniff</w:t>
      </w:r>
      <w:r>
        <w:rPr>
          <w:rFonts w:ascii="Arial Unicode MS" w:hAnsi="Arial Unicode MS" w:eastAsia="Arial Unicode MS"/>
        </w:rPr>
        <w:t xml:space="preserve"> 和受限 CSP；所有下载先检查权限、数据域和文件状态。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 xml:space="preserve">Webhook 使用时间戳、HMAC-SHA256、IP 白名单和幂等键；客户端地址只取受控网络边界提供的远端地址，不直接信任可伪造的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X-Forwarded-For</w:t>
      </w:r>
      <w:r>
        <w:rPr>
          <w:rFonts w:ascii="Arial Unicode MS" w:hAnsi="Arial Unicode MS" w:eastAsia="Arial Unicode MS"/>
        </w:rPr>
        <w:t>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生产密钥不得使用开发默认值，不得写入源代码、镜像或版本库；当前仍需增加生产 profile 的失败启动门禁。</w:t>
      </w:r>
    </w:p>
    <w:p>
      <w:pPr>
        <w:pStyle w:val="Heading1"/>
      </w:pPr>
      <w:r>
        <w:rPr>
          <w:rFonts w:ascii="Arial Unicode MS" w:hAnsi="Arial Unicode MS" w:eastAsia="Arial Unicode MS"/>
        </w:rPr>
        <w:t>4 功能模块详细设计</w:t>
      </w:r>
    </w:p>
    <w:p>
      <w:pPr>
        <w:pStyle w:val="Heading2"/>
      </w:pPr>
      <w:r>
        <w:rPr>
          <w:rFonts w:ascii="Arial Unicode MS" w:hAnsi="Arial Unicode MS" w:eastAsia="Arial Unicode MS"/>
        </w:rPr>
        <w:t>4.1 用户、组织与管理</w:t>
      </w:r>
    </w:p>
    <w:p>
      <w:pPr/>
      <w:r>
        <w:rPr>
          <w:rFonts w:ascii="Arial Unicode MS" w:hAnsi="Arial Unicode MS" w:eastAsia="Arial Unicode MS"/>
        </w:rPr>
        <w:t xml:space="preserve">用户模块提供资料查询/修改、登录密码和二级密码修改；首次设置二级密码必须再次验证当前登录密码，后续修改验证旧二级密码。二级密码的修改、审核和发布共享 Redis 原子失败计数，连续失败 5 次锁定 30 分钟；失败事件以独立事务写入不可变审计，业务请求回滚不会抹除认证失败证据，Redis 不可用时安全拒绝二级认证。删除、导出、账号启停/授权和选择性共享变更先签发 5 分钟有效的一次性 step-up proof；proof 绑定用户、当前会话 JTI、用途、HTTP 方法、规范化目标、请求载荷摘要及账号/角色/部门/数据域/PIN 安全戳，并以 Redis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GETDEL</w:t>
      </w:r>
      <w:r>
        <w:rPr>
          <w:rFonts w:ascii="Arial Unicode MS" w:hAnsi="Arial Unicode MS" w:eastAsia="Arial Unicode MS"/>
        </w:rPr>
        <w:t xml:space="preserve"> 原子消费，前端只在内存中短暂持有。</w:t>
      </w:r>
    </w:p>
    <w:p>
      <w:pPr/>
      <w:r>
        <w:rPr>
          <w:rFonts w:ascii="Arial Unicode MS" w:hAnsi="Arial Unicode MS" w:eastAsia="Arial Unicode MS"/>
        </w:rPr>
        <w:t>系统治理覆盖科学分类、产业分类、部门和负责人、数据标签、用户生命周期、角色权限、数据域、数据字典、界面变量和动态菜单。树结构变更使用事务 advisory lock 防止并发成环；引用对象创建与治理对象删除使用共享/排他锁和在锁内重验，避免产生软删除依赖。角色权限和用户授权使用版本 CAS，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permission:assign</w:t>
      </w:r>
      <w:r>
        <w:rPr>
          <w:rFonts w:ascii="Arial Unicode MS" w:hAnsi="Arial Unicode MS" w:eastAsia="Arial Unicode MS"/>
        </w:rPr>
        <w:t xml:space="preserve"> 与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role:manage</w:t>
      </w:r>
      <w:r>
        <w:rPr>
          <w:rFonts w:ascii="Arial Unicode MS" w:hAnsi="Arial Unicode MS" w:eastAsia="Arial Unicode MS"/>
        </w:rPr>
        <w:t>/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user:manage</w:t>
      </w:r>
      <w:r>
        <w:rPr>
          <w:rFonts w:ascii="Arial Unicode MS" w:hAnsi="Arial Unicode MS" w:eastAsia="Arial Unicode MS"/>
        </w:rPr>
        <w:t xml:space="preserve"> 分离；非 ADMIN 只能授予自身权限子集，也不能修改、重置、启停或删除权限高于自己的账号。ADMIN 角色必须保留全部启用权限，唯一启用管理员和部门负责人均受移交保护。用户批量导入支持 CSV/XLSX，step-up proof 绑定原因、文件大小及 SHA-256；临时密码只在创建结果中返回一次。标签统一小写并禁止继续绑定停用标签；在用标签、字典项、分类、部门、角色和数据域具有删除保护。动态导航按权限过滤，并要求菜单全部祖先处于启用状态。所有治理变更写入不可变审计，成功修改账号授权后立即撤销旧会话。</w:t>
      </w:r>
    </w:p>
    <w:p>
      <w:pPr>
        <w:pStyle w:val="Heading2"/>
      </w:pPr>
      <w:r>
        <w:rPr>
          <w:rFonts w:ascii="Arial Unicode MS" w:hAnsi="Arial Unicode MS" w:eastAsia="Arial Unicode MS"/>
        </w:rPr>
        <w:t>4.2 模板管理</w:t>
      </w:r>
    </w:p>
    <w:p>
      <w:pPr/>
      <w:r>
        <w:rPr>
          <w:rFonts w:ascii="Arial Unicode MS" w:hAnsi="Arial Unicode MS" w:eastAsia="Arial Unicode MS"/>
        </w:rPr>
        <w:t xml:space="preserve">模板分为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template</w:t>
      </w:r>
      <w:r>
        <w:rPr>
          <w:rFonts w:ascii="Arial Unicode MS" w:hAnsi="Arial Unicode MS" w:eastAsia="Arial Unicode MS"/>
        </w:rPr>
        <w:t xml:space="preserve"> 与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fragment</w:t>
      </w:r>
      <w:r>
        <w:rPr>
          <w:rFonts w:ascii="Arial Unicode MS" w:hAnsi="Arial Unicode MS" w:eastAsia="Arial Unicode MS"/>
        </w:rPr>
        <w:t>，内容和字段 schema 使用 JSONB 保存。模板支持创建、更新、逻辑删除、提交发布、独立审核、收藏和版本管理。已发布模板不得原地修改；已被数据集引用的模板受删除保护。创建者不能审核自己的公共模板，审核结果和意见进入模板状态与审计记录。</w:t>
      </w:r>
    </w:p>
    <w:p>
      <w:pPr>
        <w:pStyle w:val="Heading2"/>
      </w:pPr>
      <w:r>
        <w:rPr>
          <w:rFonts w:ascii="Arial Unicode MS" w:hAnsi="Arial Unicode MS" w:eastAsia="Arial Unicode MS"/>
        </w:rPr>
        <w:t>4.3 数据集与动态记录</w:t>
      </w:r>
    </w:p>
    <w:p>
      <w:pPr/>
      <w:r>
        <w:rPr>
          <w:rFonts w:ascii="Arial Unicode MS" w:hAnsi="Arial Unicode MS" w:eastAsia="Arial Unicode MS"/>
        </w:rPr>
        <w:t xml:space="preserve">数据集元数据和字段定义保存在 PostgreSQL；动态记录保存在 MongoDB 的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dataset_data_{datasetId}</w:t>
      </w:r>
      <w:r>
        <w:rPr>
          <w:rFonts w:ascii="Arial Unicode MS" w:hAnsi="Arial Unicode MS" w:eastAsia="Arial Unicode MS"/>
        </w:rPr>
        <w:t xml:space="preserve"> 集合。每条记录包含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_id</w:t>
      </w:r>
      <w:r>
        <w:rPr>
          <w:rFonts w:ascii="Arial Unicode MS" w:hAnsi="Arial Unicode MS" w:eastAsia="Arial Unicode MS"/>
        </w:rPr>
        <w:t>、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data</w:t>
      </w:r>
      <w:r>
        <w:rPr>
          <w:rFonts w:ascii="Arial Unicode MS" w:hAnsi="Arial Unicode MS" w:eastAsia="Arial Unicode MS"/>
        </w:rPr>
        <w:t>、版本、创建人、创建时间、删除标志、Outbox 事件键和工作流投影。写入时按字段类型、必填和数值规则校验。</w:t>
      </w:r>
    </w:p>
    <w:p>
      <w:pPr/>
      <w:r>
        <w:rPr>
          <w:rFonts w:ascii="Arial Unicode MS" w:hAnsi="Arial Unicode MS" w:eastAsia="Arial Unicode MS"/>
        </w:rPr>
        <w:t xml:space="preserve">创建、更正和删除要求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X-Idempotency-Key</w:t>
      </w:r>
      <w:r>
        <w:rPr>
          <w:rFonts w:ascii="Arial Unicode MS" w:hAnsi="Arial Unicode MS" w:eastAsia="Arial Unicode MS"/>
        </w:rPr>
        <w:t>。同一幂等键与相同载荷重放返回原结果；同键不同载荷返回 409。更正使用乐观版本校验并保留审计前后值；APPROVED 或 PUBLISHED 状态记录禁止原地更改。</w:t>
      </w:r>
    </w:p>
    <w:p>
      <w:pPr>
        <w:pStyle w:val="Heading2"/>
      </w:pPr>
      <w:r>
        <w:rPr>
          <w:rFonts w:ascii="Arial Unicode MS" w:hAnsi="Arial Unicode MS" w:eastAsia="Arial Unicode MS"/>
        </w:rPr>
        <w:t>4.4 导入导出</w:t>
      </w:r>
    </w:p>
    <w:p>
      <w:pPr/>
      <w:r>
        <w:rPr>
          <w:rFonts w:ascii="Arial Unicode MS" w:hAnsi="Arial Unicode MS" w:eastAsia="Arial Unicode MS"/>
        </w:rPr>
        <w:t>导入支持 CSV、JSON 和 XLSX。服务逐行解析、转换并调用统一记录校验逻辑；单行失败不会中断整批，任务保存总数、成功数、失败数以及行号、原始值和错误原因，状态可为 COMPLETED、PARTIAL 或 FAILED。</w:t>
      </w:r>
    </w:p>
    <w:p>
      <w:pPr/>
      <w:r>
        <w:rPr>
          <w:rFonts w:ascii="Arial Unicode MS" w:hAnsi="Arial Unicode MS" w:eastAsia="Arial Unicode MS"/>
        </w:rPr>
        <w:t>导出支持 CSV、JSON 和 XLSX，允许选择字段，并使用游标和 SXSSF 限制服务端内存占用。字段元数据可标记敏感项，三种格式采用同一脱敏规则；CSV 对字段名和值均做公式注入保护。普通用户导出非本人记录前，必须再次以 PostgreSQL 的 PUBLISHED 状态复核，防止 MongoDB 伪造或过期投影导致未发布数据泄露。</w:t>
      </w:r>
    </w:p>
    <w:p>
      <w:pPr/>
      <w:r>
        <w:rPr>
          <w:rFonts w:ascii="Arial Unicode MS" w:hAnsi="Arial Unicode MS" w:eastAsia="Arial Unicode MS"/>
        </w:rPr>
        <w:t xml:space="preserve">附件包导出先在权限与数据域范围内构建数据文件、附件和清单，逐项复核 GridFS 实际大小与 SHA-256；完整 ZIP 在权限为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0700</w:t>
      </w:r>
      <w:r>
        <w:rPr>
          <w:rFonts w:ascii="Arial Unicode MS" w:hAnsi="Arial Unicode MS" w:eastAsia="Arial Unicode MS"/>
        </w:rPr>
        <w:t xml:space="preserve"> 的专用临时目录通过大小、数量和并发配额门禁并完成验真后才发送。页面通过绑定当前会话 JTI、客户端地址、权限和请求载荷的 90 秒 Redis 一次性票据发起浏览器原生下载，避免大型 Blob 占用前端内存；票据以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GETDEL</w:t>
      </w:r>
      <w:r>
        <w:rPr>
          <w:rFonts w:ascii="Arial Unicode MS" w:hAnsi="Arial Unicode MS" w:eastAsia="Arial Unicode MS"/>
        </w:rPr>
        <w:t xml:space="preserve"> 消费，下载时重新验证会话与权限，响应禁止缓存。普通导出、附件包及管理导出均要求用途和载荷绑定的二级确认，成功/失败审计记录字段、条数、附件数、字节数和包摘要，但不记录二级密码。</w:t>
      </w:r>
    </w:p>
    <w:p>
      <w:pPr>
        <w:pStyle w:val="Heading2"/>
      </w:pPr>
      <w:r>
        <w:rPr>
          <w:rFonts w:ascii="Arial Unicode MS" w:hAnsi="Arial Unicode MS" w:eastAsia="Arial Unicode MS"/>
        </w:rPr>
        <w:t>4.5 记录工作流与电子签名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52752"/>
            <wp:docPr id="2" name="Picture 2" descr="记录工作流状态图" title="记录工作流状态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rd-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52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rPr>
          <w:rFonts w:ascii="Arial Unicode MS" w:hAnsi="Arial Unicode MS" w:eastAsia="Arial Unicode MS"/>
          <w:color w:val="667684"/>
          <w:sz w:val="18"/>
        </w:rPr>
        <w:t>记录工作流状态图</w:t>
      </w:r>
    </w:p>
    <w:p>
      <w:pPr/>
      <w:r>
        <w:rPr>
          <w:rFonts w:ascii="Arial Unicode MS" w:hAnsi="Arial Unicode MS" w:eastAsia="Arial Unicode MS"/>
        </w:rPr>
        <w:t xml:space="preserve">工作流权威状态保存在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dataset_record_workflow</w:t>
      </w:r>
      <w:r>
        <w:rPr>
          <w:rFonts w:ascii="Arial Unicode MS" w:hAnsi="Arial Unicode MS" w:eastAsia="Arial Unicode MS"/>
        </w:rPr>
        <w:t xml:space="preserve">。创建者提交后进入 PENDING_REVIEW；独立审核员可批准或驳回；驳回记录必须受控更正并升版后才能再次提交；批准后由具备发布权限的用户输入独立6位二级密码并发布。审核和发布生成不可变电子签名，签名绑定目标类型、记录 ID、版本、签名人、含义、原因、时间、来源 IP、认证方式、记录内容摘要和附件清单摘要。来源 IP 默认取直连地址；只有部署显式启用受信代理开关时才采信入口 Nginx 覆盖后的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X-Real-IP</w:t>
      </w:r>
      <w:r>
        <w:rPr>
          <w:rFonts w:ascii="Arial Unicode MS" w:hAnsi="Arial Unicode MS" w:eastAsia="Arial Unicode MS"/>
        </w:rPr>
        <w:t>。签名表保存 HMAC 密钥版本；验签接口用当前密钥或显式配置的历史密钥重算载荷，兼容迁移前无 keyId 的载荷，前端可展示验真结果。该技术完整性控制不等同于已完成 Part 11 适用性和不可抵赖合规验证。</w:t>
      </w:r>
    </w:p>
    <w:p>
      <w:pPr>
        <w:pStyle w:val="Heading2"/>
      </w:pPr>
      <w:r>
        <w:rPr>
          <w:rFonts w:ascii="Arial Unicode MS" w:hAnsi="Arial Unicode MS" w:eastAsia="Arial Unicode MS"/>
        </w:rPr>
        <w:t>4.6 全链路追溯</w:t>
      </w:r>
    </w:p>
    <w:p>
      <w:pPr/>
      <w:r>
        <w:rPr>
          <w:rFonts w:ascii="Arial Unicode MS" w:hAnsi="Arial Unicode MS" w:eastAsia="Arial Unicode MS"/>
          <w:color w:val="1F4D78"/>
          <w:sz w:val="19"/>
          <w:shd w:fill="EEF2F5"/>
        </w:rPr>
        <w:t>trace_entity</w:t>
      </w:r>
      <w:r>
        <w:rPr>
          <w:rFonts w:ascii="Arial Unicode MS" w:hAnsi="Arial Unicode MS" w:eastAsia="Arial Unicode MS"/>
        </w:rPr>
        <w:t xml:space="preserve"> 统一表示材料批次、工艺批次、产品批次、检测、缺陷等可扩展节点，保留来源系统、来源记录号、结构化原始参数和版本；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trace_relation</w:t>
      </w:r>
      <w:r>
        <w:rPr>
          <w:rFonts w:ascii="Arial Unicode MS" w:hAnsi="Arial Unicode MS" w:eastAsia="Arial Unicode MS"/>
        </w:rPr>
        <w:t xml:space="preserve"> 表示带类型和属性的有向关系。递归 CTE 支持 forward、reverse 和 both 三种方向，查询时对每个节点执行数据域过滤并限制结果规模。前端使用带业务方向箭头的 SVG 分层图展示链路，单击任一节点可展开原始来源/参数、关联附件元数据和经裁剪的不可变审计事件。</w:t>
      </w:r>
    </w:p>
    <w:p>
      <w:pPr/>
      <w:r>
        <w:rPr>
          <w:rFonts w:ascii="Arial Unicode MS" w:hAnsi="Arial Unicode MS" w:eastAsia="Arial Unicode MS"/>
        </w:rPr>
        <w:t xml:space="preserve">节点证据接口仅返回与当前可见实体直接锚定的审计字段；关系审计只有在关系另一端节点同样可见时才返回，防止通过审计详情推断跨域实体。附件元数据要求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file:read</w:t>
      </w:r>
      <w:r>
        <w:rPr>
          <w:rFonts w:ascii="Arial Unicode MS" w:hAnsi="Arial Unicode MS" w:eastAsia="Arial Unicode MS"/>
        </w:rPr>
        <w:t xml:space="preserve">，实际下载还需当前业务对象及共享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DOWNLOAD</w:t>
      </w:r>
      <w:r>
        <w:rPr>
          <w:rFonts w:ascii="Arial Unicode MS" w:hAnsi="Arial Unicode MS" w:eastAsia="Arial Unicode MS"/>
        </w:rPr>
        <w:t xml:space="preserve"> 授权，READ 共享不能替代下载许可。证据查询使用 V29 的 JSONB 表达式索引；循环/稠密图的数据库资源容量测试仍属于生产门禁。</w:t>
      </w:r>
    </w:p>
    <w:p>
      <w:pPr>
        <w:pStyle w:val="Heading2"/>
      </w:pPr>
      <w:r>
        <w:rPr>
          <w:rFonts w:ascii="Arial Unicode MS" w:hAnsi="Arial Unicode MS" w:eastAsia="Arial Unicode MS"/>
        </w:rPr>
        <w:t>4.7 设备与测量</w:t>
      </w:r>
    </w:p>
    <w:p>
      <w:pPr/>
      <w:r>
        <w:rPr>
          <w:rFonts w:ascii="Arial Unicode MS" w:hAnsi="Arial Unicode MS" w:eastAsia="Arial Unicode MS"/>
        </w:rPr>
        <w:t>设备保存编码、类型、型号、协议、状态、数据域和加密连接配置。测量接口要求幂等键，保存指标名、数值/文本值、单位、质量标识、采集时间和原始报文；数据库触发器禁止测量 UPDATE/DELETE，满足原始数据不可覆盖要求。设备接入已提供独立 HMAC 凭据、时间窗、重放阻断、Redis Lua 限流、报文读取上限、模拟轮询和离线恢复；真实厂商 SDK、Modbus/OPC UA 点表和设备联调仍待外部输入。</w:t>
      </w:r>
    </w:p>
    <w:p>
      <w:pPr>
        <w:pStyle w:val="Heading2"/>
      </w:pPr>
      <w:r>
        <w:rPr>
          <w:rFonts w:ascii="Arial Unicode MS" w:hAnsi="Arial Unicode MS" w:eastAsia="Arial Unicode MS"/>
        </w:rPr>
        <w:t>4.8 文件与附件</w:t>
      </w:r>
    </w:p>
    <w:p>
      <w:pPr/>
      <w:r>
        <w:rPr>
          <w:rFonts w:ascii="Arial Unicode MS" w:hAnsi="Arial Unicode MS" w:eastAsia="Arial Unicode MS"/>
        </w:rPr>
        <w:t xml:space="preserve">小文件上传先校验权限、数据域、业务引用、文件大小和内容类型，再写入 GridFS 并计算 SHA-256，最后提交 PostgreSQL 元数据。大文件采用 PostgreSQL 上传会话与分片清单：客户端按 4MB 默认块提交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Content-Range</w:t>
      </w:r>
      <w:r>
        <w:rPr>
          <w:rFonts w:ascii="Arial Unicode MS" w:hAnsi="Arial Unicode MS" w:eastAsia="Arial Unicode MS"/>
        </w:rPr>
        <w:t xml:space="preserve"> 和分片 SHA-256，支持乱序、同块幂等重放、缺片查询、暂停/续传、取消和整体摘要校验；完成阶段在事务锁内登记唯一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file_asset</w:t>
      </w:r>
      <w:r>
        <w:rPr>
          <w:rFonts w:ascii="Arial Unicode MS" w:hAnsi="Arial Unicode MS" w:eastAsia="Arial Unicode MS"/>
        </w:rPr>
        <w:t>，失败会话可在有效期内补片重试。服务限制单文件 20GB、分片数、单用户活动会话和未完成声明容量，过期会话及孤儿块由定时任务清理。</w:t>
      </w:r>
    </w:p>
    <w:p>
      <w:pPr/>
      <w:r>
        <w:rPr>
          <w:rFonts w:ascii="Arial Unicode MS" w:hAnsi="Arial Unicode MS" w:eastAsia="Arial Unicode MS"/>
        </w:rPr>
        <w:t>下载支持标准单范围、后缀范围、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206 Partial Content</w:t>
      </w:r>
      <w:r>
        <w:rPr>
          <w:rFonts w:ascii="Arial Unicode MS" w:hAnsi="Arial Unicode MS" w:eastAsia="Arial Unicode MS"/>
        </w:rPr>
        <w:t xml:space="preserve"> 和带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Content-Range: bytes */size</w:t>
      </w:r>
      <w:r>
        <w:rPr>
          <w:rFonts w:ascii="Arial Unicode MS" w:hAnsi="Arial Unicode MS" w:eastAsia="Arial Unicode MS"/>
        </w:rPr>
        <w:t xml:space="preserve"> 的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416</w:t>
      </w:r>
      <w:r>
        <w:rPr>
          <w:rFonts w:ascii="Arial Unicode MS" w:hAnsi="Arial Unicode MS" w:eastAsia="Arial Unicode MS"/>
        </w:rPr>
        <w:t xml:space="preserve">；所有文件响应复核当前业务对象、数据域/共享操作和状态，并使用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no-store/private</w:t>
      </w:r>
      <w:r>
        <w:rPr>
          <w:rFonts w:ascii="Arial Unicode MS" w:hAnsi="Arial Unicode MS" w:eastAsia="Arial Unicode MS"/>
        </w:rPr>
        <w:t>、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nosniff</w:t>
      </w:r>
      <w:r>
        <w:rPr>
          <w:rFonts w:ascii="Arial Unicode MS" w:hAnsi="Arial Unicode MS" w:eastAsia="Arial Unicode MS"/>
        </w:rPr>
        <w:t xml:space="preserve"> 与受限 CSP。元数据失败时清理新建 GridFS 内容；删除先使元数据不可见，再尽力删除内容。定时对账使用游标分批扫描，区分存储故障与确实缺失，保护正在上传/合并/可重试失败的分片，并能处理超过 500 条对象而不长期饿死高位异常。生产病毒扫描器仍是上线门禁。</w:t>
      </w:r>
    </w:p>
    <w:p>
      <w:pPr>
        <w:pStyle w:val="Heading2"/>
      </w:pPr>
      <w:r>
        <w:rPr>
          <w:rFonts w:ascii="Arial Unicode MS" w:hAnsi="Arial Unicode MS" w:eastAsia="Arial Unicode MS"/>
        </w:rPr>
        <w:t>4.9 外部系统集成</w:t>
      </w:r>
    </w:p>
    <w:p>
      <w:pPr/>
      <w:r>
        <w:rPr>
          <w:rFonts w:ascii="Arial Unicode MS" w:hAnsi="Arial Unicode MS" w:eastAsia="Arial Unicode MS"/>
        </w:rPr>
        <w:t xml:space="preserve">集成配置保存系统类型、基础地址、认证类型、加密密钥、同步游标、信任域/实体类型、来源优先级/版本和扩展配置；字段映射支持 DIRECT、TRIM、大小写、NUMBER、DATE、CONSTANT、UNIT、必填和默认值。Webhook 在读取前经过 1MB 门禁和 Redis 原子限流，随后按配置使用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RDP-HMAC-V1</w:t>
      </w:r>
      <w:r>
        <w:rPr>
          <w:rFonts w:ascii="Arial Unicode MS" w:hAnsi="Arial Unicode MS" w:eastAsia="Arial Unicode MS"/>
        </w:rPr>
        <w:t xml:space="preserve"> 或 OAuth2 RFC 7662 认证。HMAC canonical 绑定版本、方法、规范化路由/系统、时间戳、幂等键和原始 UTF-8 请求体，共享密钥不少于 32 字节；OAuth2 强制精确 IP 白名单、唯一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issuer + source client_id</w:t>
      </w:r>
      <w:r>
        <w:rPr>
          <w:rFonts w:ascii="Arial Unicode MS" w:hAnsi="Arial Unicode MS" w:eastAsia="Arial Unicode MS"/>
        </w:rPr>
        <w:t xml:space="preserve">、audience、scope、active/exp/nbf，自省解析、连接、响应头和 64KB 正文共用 100—5000ms 壁钟预算。自省与交付主机均须进入部署白名单，生产默认要求 HTTPS、公网解析，并由受信 DNS 和出口防火墙补足 Java HTTP 客户端不能固定单次 DNS 解析地址的网络层边界。认证通过后按稳定 integration 与幂等键持久写入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RECEIVED</w:t>
      </w:r>
      <w:r>
        <w:rPr>
          <w:rFonts w:ascii="Arial Unicode MS" w:hAnsi="Arial Unicode MS" w:eastAsia="Arial Unicode MS"/>
        </w:rPr>
        <w:t xml:space="preserve"> 作业并返回 202；相同键同载荷返回原 jobId，不同载荷返回冲突。</w:t>
      </w:r>
    </w:p>
    <w:p>
      <w:pPr/>
      <w:r>
        <w:rPr>
          <w:rFonts w:ascii="Arial Unicode MS" w:hAnsi="Arial Unicode MS" w:eastAsia="Arial Unicode MS"/>
        </w:rPr>
        <w:t xml:space="preserve">后台以短事务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PROCESSING</w:t>
      </w:r>
      <w:r>
        <w:rPr>
          <w:rFonts w:ascii="Arial Unicode MS" w:hAnsi="Arial Unicode MS" w:eastAsia="Arial Unicode MS"/>
        </w:rPr>
        <w:t xml:space="preserve"> 租约领取并在事务外完成确定性映射；随后先在 PostgreSQL 事务内复核启用状态、阻断低游标 gap、执行稳定信任源裁决、写入规范记录并推进不回退游标。只有本地裁决接受的事件才被标记为持久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PENDING</w:t>
      </w:r>
      <w:r>
        <w:rPr>
          <w:rFonts w:ascii="Arial Unicode MS" w:hAnsi="Arial Unicode MS" w:eastAsia="Arial Unicode MS"/>
        </w:rPr>
        <w:t xml:space="preserve"> 交付，事务提交后才调用 HTTP HMAC 适配器；低优先级/旧版本/停用/gap 事件不会产生远端副作用。同一信任域、实体类型和业务键存在未完成交付时，后续可接受版本进入死信等待，避免实体版本乱序。V32 在接收时为 HTTP 作业保存加密交付凭据快照；V33 迁移先将既有启用 HMAC 配置置为待验证并失败关闭，启动守卫逐条解密复核强度，只有合格密钥自动恢复启用，弱密钥或坏密文配置及待交付作业进入需轮换/人工 rebase 状态并写审计。当前配置可立即轮换，旧的合格作业仍按原凭据和同一幂等键重试，完成/跳过/明确终结后原子擦除密文。人工 rebase 只在审计说明下刷新当前交付参数/凭据，不改写已裁决载荷。出站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RDP-HMAC-V1</w:t>
      </w:r>
      <w:r>
        <w:rPr>
          <w:rFonts w:ascii="Arial Unicode MS" w:hAnsi="Arial Unicode MS" w:eastAsia="Arial Unicode MS"/>
        </w:rPr>
        <w:t xml:space="preserve"> 绑定方法、raw path/query、来源系统、时间戳、幂等键和规范 JSON；远端成功后用作业租约 fenced 完成，进程在远端成功后崩溃会以同一幂等键重放。503/超时及 Retry-After 采用配置快照中的 60/300/1800 秒退避，陈旧租约恢复后继续处理，耗尽进入人工复核。真实 MES/PLM/ERP 拉取、回写字段及业务补偿仍必须取得正式契约和隔离联调证据，分别保留在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INT-001/002/003</w:t>
      </w:r>
      <w:r>
        <w:rPr>
          <w:rFonts w:ascii="Arial Unicode MS" w:hAnsi="Arial Unicode MS" w:eastAsia="Arial Unicode MS"/>
        </w:rPr>
        <w:t>。</w:t>
      </w:r>
    </w:p>
    <w:p>
      <w:pPr>
        <w:pStyle w:val="Heading2"/>
      </w:pPr>
      <w:r>
        <w:rPr>
          <w:rFonts w:ascii="Arial Unicode MS" w:hAnsi="Arial Unicode MS" w:eastAsia="Arial Unicode MS"/>
        </w:rPr>
        <w:t>4.10 看板、检索与审计</w:t>
      </w:r>
    </w:p>
    <w:p>
      <w:pPr/>
      <w:r>
        <w:rPr>
          <w:rFonts w:ascii="Arial Unicode MS" w:hAnsi="Arial Unicode MS" w:eastAsia="Arial Unicode MS"/>
        </w:rPr>
        <w:t>看板汇总用户可见范围内的数据集、记录、设备和审计指标。高级检索支持资源白名单、多条件 AND、精确/模糊、时间范围、分页排序和稳定二级排序；V23 使用中文单字/双字 token、生成式 tsvector 与 GIN，服务端先转义再高亮。Redis 保存用户隔离的历史与建议。审计记录采用 HMAC 链，保存前一摘要、当前摘要和密钥 ID；数据库触发器禁止修改、删除和截断，并提供验链及导出接口。</w:t>
      </w:r>
    </w:p>
    <w:p>
      <w:pPr>
        <w:pStyle w:val="Heading1"/>
      </w:pPr>
      <w:r>
        <w:rPr>
          <w:rFonts w:ascii="Arial Unicode MS" w:hAnsi="Arial Unicode MS" w:eastAsia="Arial Unicode MS"/>
        </w:rPr>
        <w:t>5 数据架构与数据库设计</w:t>
      </w:r>
    </w:p>
    <w:p>
      <w:pPr>
        <w:pStyle w:val="Heading2"/>
      </w:pPr>
      <w:r>
        <w:rPr>
          <w:rFonts w:ascii="Arial Unicode MS" w:hAnsi="Arial Unicode MS" w:eastAsia="Arial Unicode MS"/>
        </w:rPr>
        <w:t>5.1 存储职责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160"/>
        <w:gridCol w:w="2100"/>
      </w:tblGrid>
      <w:tr>
        <w:trPr>
          <w:tblHeader w:val="true"/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存储</w:t>
            </w:r>
          </w:p>
        </w:tc>
        <w:tc>
          <w:tcPr>
            <w:tcW w:type="dxa" w:w="5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权威数据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一致性策略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PostgreSQL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用户/角色/权限/数据域、模板、数据集、工作流、签名、追溯、设备、文件/上传会话元数据、集成、导入作业、审计、Outbox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本地事务、外键、唯一约束、触发器、Flyway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MongoDB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动态数据集记录、工作流读取投影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幂等事件键、提交后投影、PG 权威复核、定时修复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GridFS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附件字节和分块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PostgreSQL 业务引用、SHA-256、孤儿/缺失对账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Redis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验证码、登录失败/锁定、当前会话、刷新令牌摘要、一次性导出票据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TTL、读后删除、原子 GETDEL；不是永久业务权威库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 Unicode MS" w:hAnsi="Arial Unicode MS" w:eastAsia="Arial Unicode MS"/>
        </w:rPr>
        <w:t>5.2 PostgreSQL 逻辑表分组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160"/>
        <w:gridCol w:w="2100"/>
      </w:tblGrid>
      <w:tr>
        <w:trPr>
          <w:tblHeader w:val="true"/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数据域</w:t>
            </w:r>
          </w:p>
        </w:tc>
        <w:tc>
          <w:tcPr>
            <w:tcW w:type="dxa" w:w="5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主要表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设计说明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组织权限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sys_department、sys_user、sys_role、sys_permission、sys_user_role、sys_role_permission、sys_data_scope、sys_user_data_scope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多角色、多数据域和层级组织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系统治理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gov_scientific_category、gov_industry_category、gov_tag、gov_dictionary、gov_dictionary_item、sys_menu、sys_ui_config 及分类/标签关联表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分类树、标签归一、字典选项、动态导航和全局界面变量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模板/数据集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tpl_template、data_dataset、user_favorite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JSONB 字段定义、版本、发布和收藏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工作流/签名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dataset_record_workflow、electronic_signature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PG 权威状态、职责分离和不可变签名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导入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data_import_job、data_import_error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批次状态与逐行失败证据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追溯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trace_entity、trace_relation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可扩展有向图和 JSONB 属性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设备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device、device_measurement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加密配置、时序索引和不可变原始测量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文件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file_asset、file_upload_session、file_upload_chunk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GridFS ID、SHA-256、业务引用、数据域、扫描状态、分片幂等与上传生命周期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集成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integration_config、integration_field_mapping、integration_job、integration_dead_letter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配置、映射、幂等作业和死信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一致性/审计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cross_store_outbox、sys_audit_log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跨库补偿事件和不可变摘要链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 Unicode MS" w:hAnsi="Arial Unicode MS" w:eastAsia="Arial Unicode MS"/>
        </w:rPr>
        <w:t>5.3 MongoDB 文档模型</w:t>
      </w:r>
    </w:p>
    <w:p>
      <w:pPr/>
      <w:r>
        <w:rPr>
          <w:rFonts w:ascii="Arial Unicode MS" w:hAnsi="Arial Unicode MS" w:eastAsia="Arial Unicode MS"/>
        </w:rPr>
        <w:t xml:space="preserve">每个数据集使用独立集合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dataset_data_{datasetId}</w:t>
      </w:r>
      <w:r>
        <w:rPr>
          <w:rFonts w:ascii="Arial Unicode MS" w:hAnsi="Arial Unicode MS" w:eastAsia="Arial Unicode MS"/>
        </w:rPr>
        <w:t xml:space="preserve">，便于按字段定义建立集合级索引并隔离不同数据集。核心字段包括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_id:ObjectId</w:t>
      </w:r>
      <w:r>
        <w:rPr>
          <w:rFonts w:ascii="Arial Unicode MS" w:hAnsi="Arial Unicode MS" w:eastAsia="Arial Unicode MS"/>
        </w:rPr>
        <w:t>、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data:Document</w:t>
      </w:r>
      <w:r>
        <w:rPr>
          <w:rFonts w:ascii="Arial Unicode MS" w:hAnsi="Arial Unicode MS" w:eastAsia="Arial Unicode MS"/>
        </w:rPr>
        <w:t>、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version</w:t>
      </w:r>
      <w:r>
        <w:rPr>
          <w:rFonts w:ascii="Arial Unicode MS" w:hAnsi="Arial Unicode MS" w:eastAsia="Arial Unicode MS"/>
        </w:rPr>
        <w:t>、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createdBy</w:t>
      </w:r>
      <w:r>
        <w:rPr>
          <w:rFonts w:ascii="Arial Unicode MS" w:hAnsi="Arial Unicode MS" w:eastAsia="Arial Unicode MS"/>
        </w:rPr>
        <w:t>、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createdTime</w:t>
      </w:r>
      <w:r>
        <w:rPr>
          <w:rFonts w:ascii="Arial Unicode MS" w:hAnsi="Arial Unicode MS" w:eastAsia="Arial Unicode MS"/>
        </w:rPr>
        <w:t>、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deleted</w:t>
      </w:r>
      <w:r>
        <w:rPr>
          <w:rFonts w:ascii="Arial Unicode MS" w:hAnsi="Arial Unicode MS" w:eastAsia="Arial Unicode MS"/>
        </w:rPr>
        <w:t>、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outboxEventKey</w:t>
      </w:r>
      <w:r>
        <w:rPr>
          <w:rFonts w:ascii="Arial Unicode MS" w:hAnsi="Arial Unicode MS" w:eastAsia="Arial Unicode MS"/>
        </w:rPr>
        <w:t>、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lastOutboxEventKey</w:t>
      </w:r>
      <w:r>
        <w:rPr>
          <w:rFonts w:ascii="Arial Unicode MS" w:hAnsi="Arial Unicode MS" w:eastAsia="Arial Unicode MS"/>
        </w:rPr>
        <w:t xml:space="preserve"> 和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workflowStatus</w:t>
      </w:r>
      <w:r>
        <w:rPr>
          <w:rFonts w:ascii="Arial Unicode MS" w:hAnsi="Arial Unicode MS" w:eastAsia="Arial Unicode MS"/>
        </w:rPr>
        <w:t>。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workflowStatus</w:t>
      </w:r>
      <w:r>
        <w:rPr>
          <w:rFonts w:ascii="Arial Unicode MS" w:hAnsi="Arial Unicode MS" w:eastAsia="Arial Unicode MS"/>
        </w:rPr>
        <w:t xml:space="preserve"> 仅为投影；授权读取和导出以 PostgreSQL 状态为最终依据。</w:t>
      </w:r>
    </w:p>
    <w:p>
      <w:pPr/>
      <w:r>
        <w:rPr>
          <w:rFonts w:ascii="Arial Unicode MS" w:hAnsi="Arial Unicode MS" w:eastAsia="Arial Unicode MS"/>
        </w:rPr>
        <w:t xml:space="preserve">GridFS 使用标准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fs.files</w:t>
      </w:r>
      <w:r>
        <w:rPr>
          <w:rFonts w:ascii="Arial Unicode MS" w:hAnsi="Arial Unicode MS" w:eastAsia="Arial Unicode MS"/>
        </w:rPr>
        <w:t xml:space="preserve"> 与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fs.chunks</w:t>
      </w:r>
      <w:r>
        <w:rPr>
          <w:rFonts w:ascii="Arial Unicode MS" w:hAnsi="Arial Unicode MS" w:eastAsia="Arial Unicode MS"/>
        </w:rPr>
        <w:t xml:space="preserve">，业务引用不直接依赖原始文件名，而通过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file_asset.gridfs_id</w:t>
      </w:r>
      <w:r>
        <w:rPr>
          <w:rFonts w:ascii="Arial Unicode MS" w:hAnsi="Arial Unicode MS" w:eastAsia="Arial Unicode MS"/>
        </w:rPr>
        <w:t xml:space="preserve"> 关联。文件内容、元数据和业务记录之间采用显式对账任务检测漂移。</w:t>
      </w:r>
    </w:p>
    <w:p>
      <w:pPr>
        <w:pStyle w:val="Heading2"/>
      </w:pPr>
      <w:r>
        <w:rPr>
          <w:rFonts w:ascii="Arial Unicode MS" w:hAnsi="Arial Unicode MS" w:eastAsia="Arial Unicode MS"/>
        </w:rPr>
        <w:t>5.4 索引、约束和迁移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用户名、角色代码、权限代码、数据域代码、分类代码、标签规范名、字典代码、菜单代码和设备代码使用唯一约束。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 xml:space="preserve">模板、数据集和追溯实体使用 GIN/全文索引；设备测量使用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(device_id, measured_time DESC)</w:t>
      </w:r>
      <w:r>
        <w:rPr>
          <w:rFonts w:ascii="Arial Unicode MS" w:hAnsi="Arial Unicode MS" w:eastAsia="Arial Unicode MS"/>
        </w:rPr>
        <w:t>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工作流状态、审计用户/模块时间、文件业务引用/数据域、导入任务和待处理死信建立组合或部分索引。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审计、电子签名和设备测量通过触发器拒绝 UPDATE/DELETE。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Flyway V1—V33 从基线依次覆盖认证权限、模板/数据集、可验证审计、Outbox、设备/文件/集成、记录工作流、模板历史、全文检索、选择性共享、生命周期、跨库 fencing、恢复租约、电子签名密钥/IP 上下文、系统治理、分片上传、追溯证据索引、注册审核、集成处理/死信状态机、最小化交付凭据快照和遗留 HMAC 失败关闭验强。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已执行迁移不可原地修改；后续结构变化必须新增迁移版本。</w:t>
      </w:r>
    </w:p>
    <w:p>
      <w:pPr>
        <w:pStyle w:val="Heading1"/>
      </w:pPr>
      <w:r>
        <w:rPr>
          <w:rFonts w:ascii="Arial Unicode MS" w:hAnsi="Arial Unicode MS" w:eastAsia="Arial Unicode MS"/>
        </w:rPr>
        <w:t>6 跨库事务与一致性设计</w:t>
      </w:r>
    </w:p>
    <w:p>
      <w:pPr>
        <w:pStyle w:val="Heading2"/>
      </w:pPr>
      <w:r>
        <w:rPr>
          <w:rFonts w:ascii="Arial Unicode MS" w:hAnsi="Arial Unicode MS" w:eastAsia="Arial Unicode MS"/>
        </w:rPr>
        <w:t>6.1 动态记录写入</w:t>
      </w:r>
    </w:p>
    <w:p>
      <w:pPr/>
      <w:r>
        <w:rPr>
          <w:rFonts w:ascii="Arial Unicode MS" w:hAnsi="Arial Unicode MS" w:eastAsia="Arial Unicode MS"/>
        </w:rPr>
        <w:t xml:space="preserve">记录写入以请求幂等键生成 Outbox 事件。服务保存请求摘要、目标数据集、记录 ID、操作类型和原操作者；重放前比较请求摘要。更正和删除先在 PostgreSQL 进入 CORRECTING/DELETING 并绑定事件，MongoDB 以事件键和版本 CAS 幂等写入；同键并发副本识别同一 Mongo 事件，不会撤销成功请求。补偿采用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FOR UPDATE SKIP LOCKED</w:t>
      </w:r>
      <w:r>
        <w:rPr>
          <w:rFonts w:ascii="Arial Unicode MS" w:hAnsi="Arial Unicode MS" w:eastAsia="Arial Unicode MS"/>
        </w:rPr>
        <w:t>、处理 token、租约超时和十次后人工复核，避免多实例重复推进。</w:t>
      </w:r>
    </w:p>
    <w:p>
      <w:pPr>
        <w:pStyle w:val="Heading2"/>
      </w:pPr>
      <w:r>
        <w:rPr>
          <w:rFonts w:ascii="Arial Unicode MS" w:hAnsi="Arial Unicode MS" w:eastAsia="Arial Unicode MS"/>
        </w:rPr>
        <w:t>6.2 工作流投影</w:t>
      </w:r>
    </w:p>
    <w:p>
      <w:pPr/>
      <w:r>
        <w:rPr>
          <w:rFonts w:ascii="Arial Unicode MS" w:hAnsi="Arial Unicode MS" w:eastAsia="Arial Unicode MS"/>
        </w:rPr>
        <w:t xml:space="preserve">发布事务先在 PostgreSQL 更新权威状态、写电子签名和审计；Spring 事务提交后回调才更新 MongoDB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workflowStatus</w:t>
      </w:r>
      <w:r>
        <w:rPr>
          <w:rFonts w:ascii="Arial Unicode MS" w:hAnsi="Arial Unicode MS" w:eastAsia="Arial Unicode MS"/>
        </w:rPr>
        <w:t>。若投影失败，定时任务以 PG 状态覆盖 Mongo。普通读取通过 PostgreSQL 二次校验阻断“Mongo 假阳性 PUBLISHED”泄露。</w:t>
      </w:r>
    </w:p>
    <w:p>
      <w:pPr>
        <w:pStyle w:val="Heading2"/>
      </w:pPr>
      <w:r>
        <w:rPr>
          <w:rFonts w:ascii="Arial Unicode MS" w:hAnsi="Arial Unicode MS" w:eastAsia="Arial Unicode MS"/>
        </w:rPr>
        <w:t>6.3 文件一致性</w:t>
      </w:r>
    </w:p>
    <w:p>
      <w:pPr/>
      <w:r>
        <w:rPr>
          <w:rFonts w:ascii="Arial Unicode MS" w:hAnsi="Arial Unicode MS" w:eastAsia="Arial Unicode MS"/>
        </w:rPr>
        <w:t>文件写入采用“先内容、后元数据、失败清理”的补偿策略；删除采用“先隐藏元数据、后删除内容”。每小时对账任务按两个独立游标扫描 PostgreSQL 和 GridFS：PG 指向内容不存在时标记元数据 DELETED；超过安全时间窗的 GridFS 孤儿被删除并审计。</w:t>
      </w:r>
    </w:p>
    <w:p>
      <w:pPr>
        <w:pStyle w:val="Heading1"/>
      </w:pPr>
      <w:r>
        <w:rPr>
          <w:rFonts w:ascii="Arial Unicode MS" w:hAnsi="Arial Unicode MS" w:eastAsia="Arial Unicode MS"/>
        </w:rPr>
        <w:t>7 接口设计</w:t>
      </w:r>
    </w:p>
    <w:p>
      <w:pPr>
        <w:pStyle w:val="Heading2"/>
      </w:pPr>
      <w:r>
        <w:rPr>
          <w:rFonts w:ascii="Arial Unicode MS" w:hAnsi="Arial Unicode MS" w:eastAsia="Arial Unicode MS"/>
        </w:rPr>
        <w:t>7.1 通用契约</w:t>
      </w:r>
    </w:p>
    <w:p>
      <w:pPr/>
      <w:r>
        <w:rPr>
          <w:rFonts w:ascii="Arial Unicode MS" w:hAnsi="Arial Unicode MS" w:eastAsia="Arial Unicode MS"/>
        </w:rPr>
        <w:t xml:space="preserve">业务响应统一为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{code, message, data, timestamp}</w:t>
      </w:r>
      <w:r>
        <w:rPr>
          <w:rFonts w:ascii="Arial Unicode MS" w:hAnsi="Arial Unicode MS" w:eastAsia="Arial Unicode MS"/>
        </w:rPr>
        <w:t xml:space="preserve">，分页响应为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{total, pageNum, pageSize, pages, list}</w:t>
      </w:r>
      <w:r>
        <w:rPr>
          <w:rFonts w:ascii="Arial Unicode MS" w:hAnsi="Arial Unicode MS" w:eastAsia="Arial Unicode MS"/>
        </w:rPr>
        <w:t>。认证失败返回 401、权限不足返回 403、资源不可见返回 404、幂等冲突返回 409、不支持的方法返回 405。除认证公开接口和 Webhook 外，接口要求 Bearer access token。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160"/>
        <w:gridCol w:w="2100"/>
      </w:tblGrid>
      <w:tr>
        <w:trPr>
          <w:tblHeader w:val="true"/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模块</w:t>
            </w:r>
          </w:p>
        </w:tc>
        <w:tc>
          <w:tcPr>
            <w:tcW w:type="dxa" w:w="5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基础路径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关键能力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认证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/api/auth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captcha、login、refresh、logout、register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用户/管理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/api/user、/api/admin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资料、改密、用户 CRUD、导入、状态和授权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系统治理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/api/governance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分类、部门、角色权限、数据域、标签、字典、菜单、界面配置和动态导航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模板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/api/templates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CRUD、publish、audit、favorite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数据集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/api/datasets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CRUD、records、imports、三格式导出、附件包、一次性下载票据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工作流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/api/datasets/{datasetId}/records/{recordId}/workflow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state、submit、review、publish、signature verify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生命周期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/api/lifecycle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policy、preview、hold、archive、items、restore、retry、reconcile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追溯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/api/trace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entities、relations、graph、entity evidence（来源/参数/附件/审计）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设备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/api/devices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CRUD、measurements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文件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/api/files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list、普通/分片上传、上传状态/完成/取消、Range download/preview、delete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集成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/api/integrations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config、mappings、jobs、webhook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审计/看板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/api/audits、/api/dashboard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list、verify、metrics、search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 Unicode MS" w:hAnsi="Arial Unicode MS" w:eastAsia="Arial Unicode MS"/>
        </w:rPr>
        <w:t>7.2 Webhook 认证与调用审计</w:t>
      </w:r>
    </w:p>
    <w:p>
      <w:pPr/>
      <w:r>
        <w:rPr>
          <w:rFonts w:ascii="Arial Unicode MS" w:hAnsi="Arial Unicode MS" w:eastAsia="Arial Unicode MS"/>
        </w:rPr>
        <w:t xml:space="preserve">HMAC 入站 canonical 为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RDP-HMAC-V1</w:t>
      </w:r>
      <w:r>
        <w:rPr>
          <w:rFonts w:ascii="Arial Unicode MS" w:hAnsi="Arial Unicode MS" w:eastAsia="Arial Unicode MS"/>
        </w:rPr>
        <w:t>、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POST</w:t>
      </w:r>
      <w:r>
        <w:rPr>
          <w:rFonts w:ascii="Arial Unicode MS" w:hAnsi="Arial Unicode MS" w:eastAsia="Arial Unicode MS"/>
        </w:rPr>
        <w:t>、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/api/integrations/webhook/{SYSTEM_CODE}</w:t>
      </w:r>
      <w:r>
        <w:rPr>
          <w:rFonts w:ascii="Arial Unicode MS" w:hAnsi="Arial Unicode MS" w:eastAsia="Arial Unicode MS"/>
        </w:rPr>
        <w:t xml:space="preserve">、Unix 秒时间戳、幂等键和原始请求体六行 LF 文本；使用独立高强度共享密钥计算 HMAC-SHA256，并以小写十六进制放入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X-Signature</w:t>
      </w:r>
      <w:r>
        <w:rPr>
          <w:rFonts w:ascii="Arial Unicode MS" w:hAnsi="Arial Unicode MS" w:eastAsia="Arial Unicode MS"/>
        </w:rPr>
        <w:t>。OAuth2 模式使用外部调用方 Bearer，由平台以独立自省客户端调用 RFC 7662 端点，并校验 issuer/audience/client_id/scope/exp/nbf。两种模式都先校验来源 IP，再以稳定 integration 和幂等键持久接收。</w:t>
      </w:r>
    </w:p>
    <w:p>
      <w:pPr/>
      <w:r>
        <w:rPr>
          <w:rFonts w:ascii="Arial Unicode MS" w:hAnsi="Arial Unicode MS" w:eastAsia="Arial Unicode MS"/>
        </w:rPr>
        <w:t xml:space="preserve">Webhook Filter 给每次到达应用的调用生成请求 ID，记录方法、脱敏路径、系统/IP 摘要、请求/响应 SHA-256 与字节数、耗时、状态码、认证模式和 jobId，不记录 Authorization、密钥或原始载荷。413/429/503 早退同样产生响应摘要；Nginx 在 Spring 之前产生的连接限流和大于 2MB 运输层拒绝写入独立 JSON 安全日志，并通过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X-Request-ID</w:t>
      </w:r>
      <w:r>
        <w:rPr>
          <w:rFonts w:ascii="Arial Unicode MS" w:hAnsi="Arial Unicode MS" w:eastAsia="Arial Unicode MS"/>
        </w:rPr>
        <w:t xml:space="preserve"> 关联。完整 canonical 与测试向量见《API 使用说明》；旧的点号拼接协议不再有效。</w:t>
      </w:r>
    </w:p>
    <w:p>
      <w:pPr>
        <w:pStyle w:val="Heading1"/>
      </w:pPr>
      <w:r>
        <w:rPr>
          <w:rFonts w:ascii="Arial Unicode MS" w:hAnsi="Arial Unicode MS" w:eastAsia="Arial Unicode MS"/>
        </w:rPr>
        <w:t>8 前端设计</w:t>
      </w:r>
    </w:p>
    <w:p>
      <w:pPr/>
      <w:r>
        <w:rPr>
          <w:rFonts w:ascii="Arial Unicode MS" w:hAnsi="Arial Unicode MS" w:eastAsia="Arial Unicode MS"/>
        </w:rPr>
        <w:t>前端按登录、首次改密、主布局和各业务视图组织，路由懒加载业务页面。系统治理页按分类、部门、角色权限、数据域、标签、字典、菜单和界面配置分区；用户管理页提供筛选、创建、授权、重置、启停、删除及 CSV/XLSX 导入。Pinia 认证仓库仅在内存保存 access token，用户展示信息可暂存本地；页面刷新时通过 HttpOnly refresh Cookie 恢复会话。Axios 拦截器统一附加 Bearer token、处理一次刷新和标准错误消息。</w:t>
      </w:r>
    </w:p>
    <w:p>
      <w:pPr/>
      <w:r>
        <w:rPr>
          <w:rFonts w:ascii="Arial Unicode MS" w:hAnsi="Arial Unicode MS" w:eastAsia="Arial Unicode MS"/>
        </w:rPr>
        <w:t xml:space="preserve">数据集、模板、管理、审计和记录页面统一读取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PageResponse.list</w:t>
      </w:r>
      <w:r>
        <w:rPr>
          <w:rFonts w:ascii="Arial Unicode MS" w:hAnsi="Arial Unicode MS" w:eastAsia="Arial Unicode MS"/>
        </w:rPr>
        <w:t>。移动端在 900px 以下切换为紧凑导航和单栏登录布局；开发代理固定到 127.0.0.1 后端并转换 Origin，后端本地 CORS 同时允许 localhost 与 127.0.0.1。生产环境必须替换为实际 HTTPS 域名白名单。</w:t>
      </w:r>
    </w:p>
    <w:p>
      <w:pPr>
        <w:pStyle w:val="Heading1"/>
      </w:pPr>
      <w:r>
        <w:rPr>
          <w:rFonts w:ascii="Arial Unicode MS" w:hAnsi="Arial Unicode MS" w:eastAsia="Arial Unicode MS"/>
        </w:rPr>
        <w:t>9 部署与运维设计</w:t>
      </w:r>
    </w:p>
    <w:p>
      <w:pPr>
        <w:pStyle w:val="Heading2"/>
      </w:pPr>
      <w:r>
        <w:rPr>
          <w:rFonts w:ascii="Arial Unicode MS" w:hAnsi="Arial Unicode MS" w:eastAsia="Arial Unicode MS"/>
        </w:rPr>
        <w:t>9.1 容器部署</w:t>
      </w:r>
    </w:p>
    <w:p>
      <w:pPr/>
      <w:r>
        <w:rPr>
          <w:rFonts w:ascii="Arial Unicode MS" w:hAnsi="Arial Unicode MS" w:eastAsia="Arial Unicode MS"/>
        </w:rPr>
        <w:t xml:space="preserve">基础 Compose 提供 PostgreSQL、MongoDB 和 Redis 持久卷与健康检查；应用叠加 Compose 构建 Spring Boot 和 Nginx 镜像。后端镜像基于 Temurin 17 JRE，并以 UID 10001 非 root 用户运行；前端由 Nginx 提供静态资源和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/api</w:t>
      </w:r>
      <w:r>
        <w:rPr>
          <w:rFonts w:ascii="Arial Unicode MS" w:hAnsi="Arial Unicode MS" w:eastAsia="Arial Unicode MS"/>
        </w:rPr>
        <w:t xml:space="preserve"> 代理。数据库结构由应用启动时 Flyway 校验和迁移。</w:t>
      </w:r>
    </w:p>
    <w:p>
      <w:pPr>
        <w:pStyle w:val="Heading2"/>
      </w:pPr>
      <w:r>
        <w:rPr>
          <w:rFonts w:ascii="Arial Unicode MS" w:hAnsi="Arial Unicode MS" w:eastAsia="Arial Unicode MS"/>
        </w:rPr>
        <w:t>9.2 配置与密钥</w:t>
      </w:r>
    </w:p>
    <w:p>
      <w:pPr/>
      <w:r>
        <w:rPr>
          <w:rFonts w:ascii="Arial Unicode MS" w:hAnsi="Arial Unicode MS" w:eastAsia="Arial Unicode MS"/>
        </w:rPr>
        <w:t xml:space="preserve">数据库密码、管理员初始密码、JWT 密钥、审计密钥、数据加密密钥、CORS、Cookie、可信代理和病毒扫描开关通过环境变量注入。开发默认值只用于本机调试；生产环境必须验证密钥长度和随机性，启用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RDP_SECURE_COOKIES=true</w:t>
      </w:r>
      <w:r>
        <w:rPr>
          <w:rFonts w:ascii="Arial Unicode MS" w:hAnsi="Arial Unicode MS" w:eastAsia="Arial Unicode MS"/>
        </w:rPr>
        <w:t>，通过 HTTPS 访问，并建立密钥轮换、历史验签和泄露处置流程。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RDP_TRUST_PROXY_HEADERS</w:t>
      </w:r>
      <w:r>
        <w:rPr>
          <w:rFonts w:ascii="Arial Unicode MS" w:hAnsi="Arial Unicode MS" w:eastAsia="Arial Unicode MS"/>
        </w:rPr>
        <w:t xml:space="preserve"> 只可在后端不可直连且入口会覆盖来源头的拓扑中启用。</w:t>
      </w:r>
    </w:p>
    <w:p>
      <w:pPr>
        <w:pStyle w:val="Heading2"/>
      </w:pPr>
      <w:r>
        <w:rPr>
          <w:rFonts w:ascii="Arial Unicode MS" w:hAnsi="Arial Unicode MS" w:eastAsia="Arial Unicode MS"/>
        </w:rPr>
        <w:t>9.3 监控、备份与恢复</w:t>
      </w:r>
    </w:p>
    <w:p>
      <w:pPr/>
      <w:r>
        <w:rPr>
          <w:rFonts w:ascii="Arial Unicode MS" w:hAnsi="Arial Unicode MS" w:eastAsia="Arial Unicode MS"/>
        </w:rPr>
        <w:t>Actuator 暴露 health、info、metrics 和 prometheus。应监控认证失败、Outbox 待处理数量、投影漂移、文件对账修复、Webhook 失败、数据库连接池和 JVM 指标。</w:t>
      </w:r>
    </w:p>
    <w:p>
      <w:pPr/>
      <w:r>
        <w:rPr>
          <w:rFonts w:ascii="Arial Unicode MS" w:hAnsi="Arial Unicode MS" w:eastAsia="Arial Unicode MS"/>
          <w:color w:val="1F4D78"/>
          <w:sz w:val="19"/>
          <w:shd w:fill="EEF2F5"/>
        </w:rPr>
        <w:t>BAK-002</w:t>
      </w:r>
      <w:r>
        <w:rPr>
          <w:rFonts w:ascii="Arial Unicode MS" w:hAnsi="Arial Unicode MS" w:eastAsia="Arial Unicode MS"/>
        </w:rPr>
        <w:t xml:space="preserve"> 采用明确的离线恢复点，而不声称 PostgreSQL 与 MongoDB 存在分布式 ACID 快照：维护窗口先停止全部写入者，工具确认 Outbox、记录转换、分片上传和集成租约均已收敛，再依次生成 PostgreSQL custom dump 与 MongoDB/GridFS archive。签名 manifest 保存 backupId、UTC 时间、PostgreSQL WAL LSN、Mongo operationTime、Flyway 版本、关键表/集合计数、PostgreSQL 可用附件引用、GridFS 文件/分块结构、逐文件 SHA-256 和备份 HMAC keyId；包与日志固定为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0600</w:t>
      </w:r>
      <w:r>
        <w:rPr>
          <w:rFonts w:ascii="Arial Unicode MS" w:hAnsi="Arial Unicode MS" w:eastAsia="Arial Unicode MS"/>
        </w:rPr>
        <w:t>。恢复前必须通过 HMAC、哈希、引用清单和两个数据库原生归档预检，并以精确 backupId 二次确认；恢复后重新计算同一组计数、分块与引用清单。Redis 不纳入耐久包，恢复后清除安全状态并强制重新认证。</w:t>
      </w:r>
    </w:p>
    <w:p>
      <w:pPr/>
      <w:r>
        <w:rPr>
          <w:rFonts w:ascii="Arial Unicode MS" w:hAnsi="Arial Unicode MS" w:eastAsia="Arial Unicode MS"/>
        </w:rPr>
        <w:t xml:space="preserve">隔离演练使用脚本自行创建的临时 PostgreSQL 17/MongoDB 8 容器，证明非静止状态拒绝、包篡改拒绝、错误确认无副作用，以及破坏两个存储后的内容与 GridFS 恢复。该证据完成跨库一致恢复的软件语义；正式生产仍必须为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BAK-001</w:t>
      </w:r>
      <w:r>
        <w:rPr>
          <w:rFonts w:ascii="Arial Unicode MS" w:hAnsi="Arial Unicode MS" w:eastAsia="Arial Unicode MS"/>
        </w:rPr>
        <w:t xml:space="preserve"> 确定 RPO/RTO，并执行 PostgreSQL WAL/PITR、实时副本、周全量/日增量、异地加密介质、保留销毁和定时演练。</w:t>
      </w:r>
    </w:p>
    <w:p>
      <w:pPr>
        <w:pStyle w:val="Heading1"/>
      </w:pPr>
      <w:r>
        <w:rPr>
          <w:rFonts w:ascii="Arial Unicode MS" w:hAnsi="Arial Unicode MS" w:eastAsia="Arial Unicode MS"/>
        </w:rPr>
        <w:t>10 非功能设计与验收门禁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50"/>
        <w:gridCol w:w="3710"/>
        <w:gridCol w:w="1600"/>
      </w:tblGrid>
      <w:tr>
        <w:trPr>
          <w:tblHeader w:val="true"/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类别</w:t>
            </w:r>
          </w:p>
        </w:tc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源要求</w:t>
            </w:r>
          </w:p>
        </w:tc>
        <w:tc>
          <w:tcPr>
            <w:tcW w:type="dxa" w:w="37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当前设计/证据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验收状态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响应时间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普通≤2s、复杂≤5s、报表≤10s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已设计索引、分页、流式导出；未做正式 p95/p99</w:t>
            </w:r>
          </w:p>
        </w:tc>
        <w:tc>
          <w:tcPr>
            <w:tcW w:type="dxa" w:w="16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7A5A00"/>
              </w:rPr>
              <w:t>待验收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并发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100 在线用户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幂等、连接池、原子刷新和管理员并发保护已测</w:t>
            </w:r>
          </w:p>
        </w:tc>
        <w:tc>
          <w:tcPr>
            <w:tcW w:type="dxa" w:w="16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7A5A00"/>
              </w:rPr>
              <w:t>待压测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吞吐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每日 100 万条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批量导入、时序索引和流式导出已有基础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待容量测试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可用性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≥99.5%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健康检查和容器重启策略已提供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待试运行统计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安全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无高危、中危修复率≥90%、无越权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权限/数据域对抗测试通过；未做正式 SAST/DAST/渗透</w:t>
            </w:r>
          </w:p>
        </w:tc>
        <w:tc>
          <w:tcPr>
            <w:tcW w:type="dxa" w:w="16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7A5A00"/>
              </w:rPr>
              <w:t>待专项验收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兼容性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主流浏览器和 Linux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Vue 生产构建、桌面/移动响应式和容器构建通过</w:t>
            </w:r>
          </w:p>
        </w:tc>
        <w:tc>
          <w:tcPr>
            <w:tcW w:type="dxa" w:w="16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7A5A00"/>
              </w:rPr>
              <w:t>待版本矩阵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备份恢复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周全量、日增量、异地和快速恢复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跨 PG/Mongo/GridFS 的签名离线恢复点及隔离破坏演练通过；PITR/副本/异地与生产计时仍缺</w:t>
            </w:r>
          </w:p>
        </w:tc>
        <w:tc>
          <w:tcPr>
            <w:tcW w:type="dxa" w:w="16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  <w:color w:val="7A5A00"/>
              </w:rPr>
              <w:t>BAK-002 工程闭环；BAK-001 待验收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合规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ALCOA+、ISO 13485、Part 11、GDPR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技术控制已部分实现；适用性与验证签署缺失</w:t>
            </w:r>
          </w:p>
        </w:tc>
        <w:tc>
          <w:tcPr>
            <w:tcW w:type="dxa" w:w="1600"/>
            <w:shd w:fill="FDEB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9B1C1C"/>
              </w:rPr>
              <w:t>外部阻塞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Arial Unicode MS" w:hAnsi="Arial Unicode MS" w:eastAsia="Arial Unicode MS"/>
        </w:rPr>
        <w:t>11 测试与设计验证</w:t>
      </w:r>
    </w:p>
    <w:p>
      <w:pPr/>
      <w:r>
        <w:rPr>
          <w:rFonts w:ascii="Arial Unicode MS" w:hAnsi="Arial Unicode MS" w:eastAsia="Arial Unicode MS"/>
        </w:rPr>
        <w:t xml:space="preserve">当前 Testcontainers 综合测试从空库执行 Flyway V1—V33，真实启动 PostgreSQL 17、MongoDB 8 和 Redis 8.2。测试覆盖认证/RBAC/数据域、选择性共享、模板生命周期、动态记录、三格式导入导出、同键并发更正/删除、Outbox 最终租约、中文检索/高亮/建议、正反向追溯、设备接入安全、批量附件、生命周期归档恢复、二级密码/step-up、系统治理、历史签名验真和审计链；V28 覆盖分片续传/Range/跨格式脱敏/安全附件包；V29 覆盖同一“材料→工艺→产品→缺陷”链和节点证据裁剪；V30 覆盖可配置注册、一次性验证码/模拟通知、原子审核与委派边界；V31 覆盖持久异步接收、映射/配置快照、信任源与乱序游标、本地提交后交付、503 退避、同实体交付 gap、租约/死信/对账和 V9 遗留死信升级；V32 覆盖入/出站版本化 HMAC、弱密钥与跨系统重放拒绝、OAuth2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client_credentials</w:t>
      </w:r>
      <w:r>
        <w:rPr>
          <w:rFonts w:ascii="Arial Unicode MS" w:hAnsi="Arial Unicode MS" w:eastAsia="Arial Unicode MS"/>
        </w:rPr>
        <w:t xml:space="preserve">/RFC 7662 全声明、慢正文/超限/503、自省唯一身份、凭据轮换快照及终态擦除；V33 增加旧 V32 校验和兼容、遗留强/弱密钥解密验强、失败关闭隔离、轮换恢复和陈旧请求 fencing，并在独立 schema 验证 V9→V31→已发布 V32→V33。2026-08-12 最终运行结果为 </w:t>
      </w:r>
      <w:r>
        <w:rPr>
          <w:rFonts w:ascii="Arial Unicode MS" w:hAnsi="Arial Unicode MS" w:eastAsia="Arial Unicode MS"/>
          <w:color w:val="1F4D78"/>
          <w:sz w:val="19"/>
          <w:shd w:fill="EEF2F5"/>
        </w:rPr>
        <w:t>tests=4, failures=0, errors=0, skipped=0</w:t>
      </w:r>
      <w:r>
        <w:rPr>
          <w:rFonts w:ascii="Arial Unicode MS" w:hAnsi="Arial Unicode MS" w:eastAsia="Arial Unicode MS"/>
        </w:rPr>
        <w:t>；独立 BAK-002 脚本另以临时 PG17/Mongo8 完成签名备份、篡改负测和双库破坏恢复。详细时间与证据以需求对齐报告“最新验证证据”为准。</w:t>
      </w:r>
    </w:p>
    <w:p>
      <w:pPr/>
      <w:r>
        <w:rPr>
          <w:rFonts w:ascii="Arial Unicode MS" w:hAnsi="Arial Unicode MS" w:eastAsia="Arial Unicode MS"/>
        </w:rPr>
        <w:t>前端执行 TypeScript 检查和 Vite 生产构建，1696 个模块成功转换；存在大于 500KB 的拆包告警。Nginx 1.28 配置检查通过，导出连接具有单 IP/全局连接上限和慢读超时。当前尚未配置 lint、组件测试和 Playwright E2E，不能据此声称达到合同中的 98% 用例通过率。</w:t>
      </w:r>
    </w:p>
    <w:p>
      <w:pPr>
        <w:pStyle w:val="Heading1"/>
      </w:pPr>
      <w:r>
        <w:rPr>
          <w:rFonts w:ascii="Arial Unicode MS" w:hAnsi="Arial Unicode MS" w:eastAsia="Arial Unicode MS"/>
        </w:rPr>
        <w:t>12 实现状态、偏差与后续设计</w:t>
      </w:r>
    </w:p>
    <w:p>
      <w:pPr>
        <w:pStyle w:val="Heading2"/>
      </w:pPr>
      <w:r>
        <w:rPr>
          <w:rFonts w:ascii="Arial Unicode MS" w:hAnsi="Arial Unicode MS" w:eastAsia="Arial Unicode MS"/>
        </w:rPr>
        <w:t>12.1 已实现并验证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认证、首次改密、刷新单次消费、RBAC、多角色、数据域和管理员安全保护。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九类系统治理、数据域治理、用户全生命周期、权限委派边界、依赖保护和动态导航。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模板审核发布、动态数据集、幂等记录、受控更正/删除、脱敏导出与安全附件包。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记录审核发布状态机、职责分离、带失败锁定的二级密码再认证、受信代理来源和不可变电子签名。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正反向追溯、设备测量幂等、附件 GridFS、分片断点续传、Range 下载、跨库对账和不可变审计链。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集成配置、确定性映射/清洗、信任源裁决、异步作业/游标、退避死信、实际目标对账、版本化入/出站 HMAC、OAuth2 RFC 7662、精确 IP/主机白名单、逐调用安全摘要审计和最小化交付凭据快照。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PostgreSQL + MongoDB/GridFS 停写恢复点、签名 manifest、归档预检、破坏恢复和自动一致性复核。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Docker Compose、ARM64 镜像、Flyway、健康检查、架构/API/用户/运维文档。</w:t>
      </w:r>
    </w:p>
    <w:p>
      <w:pPr>
        <w:pStyle w:val="Heading2"/>
      </w:pPr>
      <w:r>
        <w:rPr>
          <w:rFonts w:ascii="Arial Unicode MS" w:hAnsi="Arial Unicode MS" w:eastAsia="Arial Unicode MS"/>
        </w:rPr>
        <w:t>12.2 设计偏差与残余风险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生产 profile 尚未做到命中开发默认密钥即拒绝启动；Secure Cookie 开发默认关闭。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Outbox 已具备租约、十次转人工复核和同键并发保护，但仍缺指数退避、告警指标和可审计的人工处置界面。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严重跨库漂移时普通列表可能出现短页或 total 与实际列表不完全一致。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电子签名已保存 keyId、IP 并支持当前/历史密钥验签，但仍复用服务端审计密钥；非对称个人签名、正式不可抵赖和 Part 11 验证需由法规方案决定。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审计验链当前同步读取全表，永久保存规模下应改为分段、检查点和后台验证。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文件病毒扫描器和真实设备协议适配尚未完成。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前端主包较大，缺少 lint、组件测试和浏览器 E2E。</w:t>
      </w:r>
    </w:p>
    <w:p>
      <w:pPr>
        <w:pStyle w:val="Heading2"/>
      </w:pPr>
      <w:r>
        <w:rPr>
          <w:rFonts w:ascii="Arial Unicode MS" w:hAnsi="Arial Unicode MS" w:eastAsia="Arial Unicode MS"/>
        </w:rPr>
        <w:t>12.3 外部待确认事项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MES/PLM/ERP 正式接口、账号、网络、字段映射、对账样本和回写确认。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3D 打印、氧化、三坐标、硬度、厚度/金相、疲劳设备的 SDK、协议点表和样例。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生产服务器/Linux/Ubuntu 版本、容量、离线安装和网络安全区划。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RPO/RTO、备份保留、审计期限、电子签名适用条款和法规验证方案。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源代码版权、知识产权归属、第三方许可证和 SBOM 交付口径。</w:t>
      </w:r>
    </w:p>
    <w:p>
      <w:pPr>
        <w:pStyle w:val="Heading1"/>
      </w:pPr>
      <w:r>
        <w:rPr>
          <w:rFonts w:ascii="Arial Unicode MS" w:hAnsi="Arial Unicode MS" w:eastAsia="Arial Unicode MS"/>
        </w:rPr>
        <w:t>附录 A 需求—设计映射摘要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160"/>
        <w:gridCol w:w="2100"/>
      </w:tblGrid>
      <w:tr>
        <w:trPr>
          <w:tblHeader w:val="true"/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需求组</w:t>
            </w:r>
          </w:p>
        </w:tc>
        <w:tc>
          <w:tcPr>
            <w:tcW w:type="dxa" w:w="5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设计章节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23B5D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AUTH、RBAC、ROLE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第3章、第4.1节</w:t>
            </w:r>
          </w:p>
        </w:tc>
        <w:tc>
          <w:tcPr>
            <w:tcW w:type="dxa" w:w="2100"/>
            <w:shd w:fill="E7F4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23633B"/>
              </w:rPr>
              <w:t>核心已实现并测试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ADMIN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第4.1节、第5.2节、第7.1节</w:t>
            </w:r>
          </w:p>
        </w:tc>
        <w:tc>
          <w:tcPr>
            <w:tcW w:type="dxa" w:w="2100"/>
            <w:shd w:fill="E7F4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  <w:color w:val="23633B"/>
              </w:rPr>
              <w:t>九类系统治理及数据域治理已实现并测试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TPL、DATA、IMPORT、EXPORT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第4.2—4.5节</w:t>
            </w:r>
          </w:p>
        </w:tc>
        <w:tc>
          <w:tcPr>
            <w:tcW w:type="dxa" w:w="2100"/>
            <w:shd w:fill="E7F4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  <w:color w:val="23633B"/>
              </w:rPr>
              <w:t>脱敏多格式导出、附件包和一次性下载票据已实现并测试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FILE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第3.3节、第4.8节、第6.3节</w:t>
            </w:r>
          </w:p>
        </w:tc>
        <w:tc>
          <w:tcPr>
            <w:tcW w:type="dxa" w:w="2100"/>
            <w:shd w:fill="E7F4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  <w:color w:val="23633B"/>
              </w:rPr>
              <w:t>分片断点续传、Range 下载与跨库存储对账已实现并测试；生产病毒扫描待接入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TRACE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第4.6节、第5章</w:t>
            </w:r>
          </w:p>
        </w:tc>
        <w:tc>
          <w:tcPr>
            <w:tcW w:type="dxa" w:w="21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7A5A00"/>
              </w:rPr>
              <w:t>核心已实现；稠密图性能待验收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DEVICE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第4.7节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通用模型已实现；厂商联调待定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INT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第4.9节、第7.2节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安全接入框架已实现；真实联调待定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AUDIT、SIGN、COMP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第3章、第4.5节、第4.10节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/>
              </w:rPr>
              <w:t>技术控制已实现；法规验证待定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NFR、BAK、ACC、LEGAL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</w:rPr>
              <w:t>第9—12章</w:t>
            </w:r>
          </w:p>
        </w:tc>
        <w:tc>
          <w:tcPr>
            <w:tcW w:type="dxa" w:w="2100"/>
            <w:shd w:fill="FDEB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  <w:color w:val="9B1C1C"/>
              </w:rPr>
              <w:t>BAK-002 软件恢复闭环；BAK-001/NFR/验收/法务仍属生产门禁或外部阻塞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Arial Unicode MS" w:hAnsi="Arial Unicode MS" w:eastAsia="Arial Unicode MS"/>
        </w:rPr>
        <w:t>附录 B 设计基线引用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《研发与生产大数据平台数据库建设软件开发需求文档-0408》；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《研发与生产大数据平台项目实施方案修改2》；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1F4D78"/>
          <w:sz w:val="19"/>
          <w:shd w:fill="EEF2F5"/>
        </w:rPr>
        <w:t>docs/requirements-baseline.md</w:t>
      </w:r>
      <w:r>
        <w:rPr>
          <w:rFonts w:ascii="Arial Unicode MS" w:hAnsi="Arial Unicode MS" w:eastAsia="Arial Unicode MS"/>
        </w:rPr>
        <w:t>；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1F4D78"/>
          <w:sz w:val="19"/>
          <w:shd w:fill="EEF2F5"/>
        </w:rPr>
        <w:t>docs/traceability-matrix.md</w:t>
      </w:r>
      <w:r>
        <w:rPr>
          <w:rFonts w:ascii="Arial Unicode MS" w:hAnsi="Arial Unicode MS" w:eastAsia="Arial Unicode MS"/>
        </w:rPr>
        <w:t>；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1F4D78"/>
          <w:sz w:val="19"/>
          <w:shd w:fill="EEF2F5"/>
        </w:rPr>
        <w:t>docs/review-test-report.md</w:t>
      </w:r>
      <w:r>
        <w:rPr>
          <w:rFonts w:ascii="Arial Unicode MS" w:hAnsi="Arial Unicode MS" w:eastAsia="Arial Unicode MS"/>
        </w:rPr>
        <w:t>；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/>
        </w:rPr>
        <w:t>后端 Flyway V1—V33、Spring Boot 源码及 Vue 3 前端源码。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embedRegular r:id="rId1" w:fontKey="{F0EDA5AC-6F8B-45DF-96AF-EE0E8DCF20C5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 Unicode MS" w:hAnsi="Arial Unicode MS" w:eastAsia="Arial Unicode MS"/>
        <w:color w:val="667684"/>
        <w:sz w:val="17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66768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/>
    <w:r>
      <w:rPr>
        <w:rFonts w:ascii="Arial Unicode MS" w:hAnsi="Arial Unicode MS" w:eastAsia="Arial Unicode MS"/>
        <w:color w:val="667684"/>
        <w:sz w:val="17"/>
      </w:rPr>
      <w:t>研发与生产大数据平台｜系统设计说明书</w:t>
    </w:r>
    <w:r>
      <w:rPr>
        <w:rFonts w:ascii="Arial Unicode MS" w:hAnsi="Arial Unicode MS" w:eastAsia="Arial Unicode MS"/>
        <w:color w:val="667684"/>
        <w:sz w:val="17"/>
      </w:rPr>
      <w:tab/>
      <w:t>V1.9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Unicode MS" w:hAnsi="Arial Unicode MS" w:eastAsia="Arial Unicode MS"/>
        <w:sz w:val="22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 Unicode MS" w:hAnsi="Arial Unicode MS" w:eastAsia="Arial Unicode MS"/>
        <w:sz w:val="22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 Unicode MS" w:hAnsi="Arial Unicode MS" w:eastAsia="Arial Unicode MS"/>
        <w:sz w:val="22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 Unicode MS" w:hAnsi="Arial Unicode MS" w:eastAsia="Arial Unicode MS"/>
        <w:sz w:val="22"/>
      </w:r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Title">
    <w:name w:val="Spec Title"/>
    <w:pPr>
      <w:spacing w:after="160" w:line="264" w:lineRule="auto"/>
      <w:jc w:val="left"/>
    </w:pPr>
    <w:rPr>
      <w:rFonts w:ascii="Arial Unicode MS" w:hAnsi="Arial Unicode MS" w:eastAsia="Arial Unicode MS"/>
      <w:color w:val="123B5D"/>
      <w:sz w:val="56"/>
    </w:rPr>
  </w:style>
  <w:style w:type="paragraph" w:customStyle="1" w:styleId="SpecSubtitle">
    <w:name w:val="Spec Subtitle"/>
    <w:pPr>
      <w:spacing w:after="80" w:line="264" w:lineRule="auto"/>
      <w:jc w:val="left"/>
    </w:pPr>
    <w:rPr>
      <w:rFonts w:ascii="Arial Unicode MS" w:hAnsi="Arial Unicode MS" w:eastAsia="Arial Unicode MS"/>
      <w:color w:val="667684"/>
      <w:sz w:val="28"/>
    </w:rPr>
  </w:style>
  <w:style w:type="paragraph" w:customStyle="1" w:styleId="TableText">
    <w:name w:val="Table Text"/>
    <w:pPr>
      <w:spacing w:after="80" w:line="264" w:lineRule="auto"/>
      <w:jc w:val="left"/>
    </w:pPr>
    <w:rPr>
      <w:rFonts w:ascii="Arial Unicode MS" w:hAnsi="Arial Unicode MS" w:eastAsia="Arial Unicode MS"/>
      <w:color w:val="172B3A"/>
      <w:sz w:val="18"/>
    </w:rPr>
  </w:style>
  <w:style w:type="paragraph" w:customStyle="1" w:styleId="FigureCaption">
    <w:name w:val="Figure Caption"/>
    <w:pPr>
      <w:spacing w:after="80" w:line="264" w:lineRule="auto"/>
      <w:jc w:val="center"/>
    </w:pPr>
    <w:rPr>
      <w:rFonts w:ascii="Arial Unicode MS" w:hAnsi="Arial Unicode MS" w:eastAsia="Arial Unicode MS"/>
      <w:color w:val="667684"/>
      <w:sz w:val="18"/>
    </w:rPr>
  </w:style>
  <w:style w:type="paragraph" w:customStyle="1" w:styleId="TOCEntry">
    <w:name w:val="TOC Entry"/>
    <w:pPr>
      <w:spacing w:after="80" w:line="264" w:lineRule="auto"/>
      <w:jc w:val="left"/>
    </w:pPr>
    <w:rPr>
      <w:rFonts w:ascii="Arial Unicode MS" w:hAnsi="Arial Unicode MS" w:eastAsia="Arial Unicode MS"/>
      <w:color w:val="172B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UnicodeM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研发与生产大数据平台系统设计说明书</dc:title>
  <dc:subject>架构设计、详细设计、数据库设计（实现对齐版）</dc:subject>
  <dc:creator>项目组</dc:creator>
  <cp:keywords>Spring Boot, Vue 3, PostgreSQL, MongoDB, Redis, 系统设计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