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nualKicker"/>
        <w:spacing w:before="1720" w:after="360"/>
      </w:pPr>
      <w:r>
        <w:rPr>
          <w:rFonts w:ascii="Arial Unicode MS" w:hAnsi="Arial Unicode MS" w:eastAsia="Arial Unicode MS" w:cs="Arial Unicode MS"/>
          <w:b/>
          <w:color w:val="2E74B5"/>
          <w:sz w:val="20"/>
        </w:rPr>
        <w:t>JUSTEAM DATA FABRIC  ·  PRODUCT HANDBOOK</w:t>
      </w:r>
    </w:p>
    <w:p>
      <w:pPr>
        <w:pStyle w:val="ManualCoverTitle"/>
        <w:spacing w:after="200"/>
      </w:pPr>
      <w:r>
        <w:rPr>
          <w:rFonts w:ascii="Arial Unicode MS" w:hAnsi="Arial Unicode MS" w:eastAsia="Arial Unicode MS" w:cs="Arial Unicode MS"/>
          <w:b/>
          <w:color w:val="173B57"/>
          <w:sz w:val="60"/>
        </w:rPr>
        <w:t>研发与生产大数据平台</w:t>
      </w:r>
    </w:p>
    <w:p>
      <w:pPr>
        <w:pStyle w:val="ManualCoverSubtitle"/>
        <w:spacing w:after="160"/>
      </w:pPr>
      <w:r>
        <w:rPr>
          <w:rFonts w:ascii="Arial Unicode MS" w:hAnsi="Arial Unicode MS" w:eastAsia="Arial Unicode MS" w:cs="Arial Unicode MS"/>
          <w:b/>
          <w:color w:val="1F4D78"/>
          <w:sz w:val="40"/>
        </w:rPr>
        <w:t>功能手册</w:t>
      </w:r>
    </w:p>
    <w:p>
      <w:pPr>
        <w:pStyle w:val="ManualCoverSubtitle"/>
        <w:spacing w:after="840"/>
      </w:pPr>
      <w:r>
        <w:rPr>
          <w:rFonts w:ascii="Arial Unicode MS" w:hAnsi="Arial Unicode MS" w:eastAsia="Arial Unicode MS" w:cs="Arial Unicode MS"/>
          <w:color w:val="657684"/>
          <w:sz w:val="25"/>
        </w:rPr>
        <w:t>账号安全 · 数据治理 · 数据集与证据链 · 生命周期 · 外部集成 · 系统运维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cantSplit/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ManualMeta"/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20"/>
              </w:rPr>
              <w:t>文档版本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ManualMeta"/>
              <w:spacing w:after="0"/>
            </w:pPr>
            <w:r>
              <w:rPr>
                <w:rFonts w:ascii="Arial Unicode MS" w:hAnsi="Arial Unicode MS" w:eastAsia="Arial Unicode MS" w:cs="Arial Unicode MS"/>
                <w:color w:val="20313E"/>
                <w:sz w:val="20"/>
              </w:rPr>
              <w:t>V1.0（当前代码 V33）</w:t>
            </w:r>
          </w:p>
        </w:tc>
      </w:tr>
      <w:tr>
        <w:trPr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ManualMeta"/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20"/>
              </w:rPr>
              <w:t>代码基线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ManualMeta"/>
              <w:spacing w:after="0"/>
            </w:pPr>
            <w:r>
              <w:rPr>
                <w:rFonts w:ascii="Arial Unicode MS" w:hAnsi="Arial Unicode MS" w:eastAsia="Arial Unicode MS" w:cs="Arial Unicode MS"/>
                <w:color w:val="20313E"/>
                <w:sz w:val="20"/>
              </w:rPr>
              <w:t>master / 537a0a4</w:t>
            </w:r>
          </w:p>
        </w:tc>
      </w:tr>
      <w:tr>
        <w:trPr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ManualMeta"/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20"/>
              </w:rPr>
              <w:t>适用对象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ManualMeta"/>
              <w:spacing w:after="0"/>
            </w:pPr>
            <w:r>
              <w:rPr>
                <w:rFonts w:ascii="Arial Unicode MS" w:hAnsi="Arial Unicode MS" w:eastAsia="Arial Unicode MS" w:cs="Arial Unicode MS"/>
                <w:color w:val="20313E"/>
                <w:sz w:val="20"/>
              </w:rPr>
              <w:t>业务用户、审核员、数据管理员、系统管理员与运维人员</w:t>
            </w:r>
          </w:p>
        </w:tc>
      </w:tr>
      <w:tr>
        <w:trPr>
          <w:cantSplit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ManualMeta"/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20"/>
              </w:rPr>
              <w:t>编制日期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ManualMeta"/>
              <w:spacing w:after="0"/>
            </w:pPr>
            <w:r>
              <w:rPr>
                <w:rFonts w:ascii="Arial Unicode MS" w:hAnsi="Arial Unicode MS" w:eastAsia="Arial Unicode MS" w:cs="Arial Unicode MS"/>
                <w:color w:val="20313E"/>
                <w:sz w:val="20"/>
              </w:rPr>
              <w:t>2026年8月16日</w:t>
            </w:r>
          </w:p>
        </w:tc>
      </w:tr>
    </w:tbl>
    <w:p>
      <w:pPr>
        <w:spacing w:before="840" w:after="0"/>
        <w:ind w:left="288" w:right="288"/>
        <w:shd w:fill="EEF5FA"/>
      </w:pPr>
      <w:r>
        <w:rPr>
          <w:rFonts w:ascii="Arial Unicode MS" w:hAnsi="Arial Unicode MS" w:eastAsia="Arial Unicode MS" w:cs="Arial Unicode MS"/>
          <w:b/>
          <w:color w:val="1F4D78"/>
          <w:sz w:val="21"/>
        </w:rPr>
        <w:t>本手册按“正式功能 / 混合展示 / 前端原型 / 外部边界”标识当前能力，避免把演示页面或待联调能力误认为已投产功能。</w:t>
      </w:r>
    </w:p>
    <w:p>
      <w:r>
        <w:br w:type="page"/>
      </w:r>
    </w:p>
    <w:p>
      <w:pPr>
        <w:pStyle w:val="Heading1"/>
        <w:spacing w:before="0"/>
      </w:pPr>
      <w:r>
        <w:rPr>
          <w:rFonts w:ascii="Arial Unicode MS" w:hAnsi="Arial Unicode MS" w:eastAsia="Arial Unicode MS" w:cs="Arial Unicode MS"/>
        </w:rPr>
        <w:t>内容导航</w:t>
      </w:r>
    </w:p>
    <w:p>
      <w:pPr>
        <w:pStyle w:val="SmallNote"/>
      </w:pPr>
      <w:r>
        <w:rPr>
          <w:rFonts w:ascii="Arial Unicode MS" w:hAnsi="Arial Unicode MS" w:eastAsia="Arial Unicode MS" w:cs="Arial Unicode MS"/>
        </w:rPr>
        <w:t>本导航按功能域排列；各章节内继续按业务流程、权限和边界展开。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313E"/>
                <w:sz w:val="21"/>
              </w:rPr>
              <w:t>1. 手册说明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313E"/>
                <w:sz w:val="21"/>
              </w:rPr>
              <w:t>12. 外部系统集成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313E"/>
                <w:sz w:val="21"/>
              </w:rPr>
              <w:t>2. 账号、安全与个人中心</w:t>
            </w:r>
          </w:p>
        </w:tc>
        <w:tc>
          <w:tcPr>
            <w:tcW w:type="dxa" w:w="468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313E"/>
                <w:sz w:val="21"/>
              </w:rPr>
              <w:t>13. 审计中心</w:t>
            </w:r>
          </w:p>
        </w:tc>
      </w:tr>
      <w:tr>
        <w:trPr>
          <w:cantSplit/>
        </w:trPr>
        <w:tc>
          <w:tcPr>
            <w:tcW w:type="dxa" w:w="468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20313E"/>
                <w:sz w:val="21"/>
              </w:rPr>
              <w:t>3. 导航、权限与数据访问模型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313E"/>
                <w:sz w:val="21"/>
              </w:rPr>
              <w:t>14. 数据治理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313E"/>
                <w:sz w:val="21"/>
              </w:rPr>
              <w:t>4. 数据驾驶舱与全局检索</w:t>
            </w:r>
          </w:p>
        </w:tc>
        <w:tc>
          <w:tcPr>
            <w:tcW w:type="dxa" w:w="468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313E"/>
                <w:sz w:val="21"/>
              </w:rPr>
              <w:t>15. 系统管理</w:t>
            </w:r>
          </w:p>
        </w:tc>
      </w:tr>
      <w:tr>
        <w:trPr>
          <w:cantSplit/>
        </w:trPr>
        <w:tc>
          <w:tcPr>
            <w:tcW w:type="dxa" w:w="468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313E"/>
                <w:sz w:val="21"/>
              </w:rPr>
              <w:t>5. 模板中心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313E"/>
                <w:sz w:val="21"/>
              </w:rPr>
              <w:t>16. 前端原型功能总览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313E"/>
                <w:sz w:val="21"/>
              </w:rPr>
              <w:t>6. 数据集与动态记录</w:t>
            </w:r>
          </w:p>
        </w:tc>
        <w:tc>
          <w:tcPr>
            <w:tcW w:type="dxa" w:w="468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313E"/>
                <w:sz w:val="21"/>
              </w:rPr>
              <w:t>17. 运维、健康与备份恢复</w:t>
            </w:r>
          </w:p>
        </w:tc>
      </w:tr>
      <w:tr>
        <w:trPr>
          <w:cantSplit/>
        </w:trPr>
        <w:tc>
          <w:tcPr>
            <w:tcW w:type="dxa" w:w="468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313E"/>
                <w:sz w:val="21"/>
              </w:rPr>
              <w:t>7. 记录审核、发布与电子签名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313E"/>
                <w:sz w:val="21"/>
              </w:rPr>
              <w:t>18. 常见问题与错误处理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313E"/>
                <w:sz w:val="21"/>
              </w:rPr>
              <w:t>8. 文件资料库与记录附件</w:t>
            </w:r>
          </w:p>
        </w:tc>
        <w:tc>
          <w:tcPr>
            <w:tcW w:type="dxa" w:w="468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313E"/>
                <w:sz w:val="21"/>
              </w:rPr>
              <w:t>19. 主要接口速查</w:t>
            </w:r>
          </w:p>
        </w:tc>
      </w:tr>
      <w:tr>
        <w:trPr>
          <w:cantSplit/>
        </w:trPr>
        <w:tc>
          <w:tcPr>
            <w:tcW w:type="dxa" w:w="468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313E"/>
                <w:sz w:val="21"/>
              </w:rPr>
              <w:t>9. 全链路追溯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313E"/>
                <w:sz w:val="21"/>
              </w:rPr>
              <w:t>20. 主要权限速查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313E"/>
                <w:sz w:val="21"/>
              </w:rPr>
              <w:t>10. 设备与采集</w:t>
            </w:r>
          </w:p>
        </w:tc>
        <w:tc>
          <w:tcPr>
            <w:tcW w:type="dxa" w:w="468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313E"/>
                <w:sz w:val="21"/>
              </w:rPr>
              <w:t>21. 上线与验收提醒</w:t>
            </w:r>
          </w:p>
        </w:tc>
      </w:tr>
      <w:tr>
        <w:trPr>
          <w:cantSplit/>
        </w:trPr>
        <w:tc>
          <w:tcPr>
            <w:tcW w:type="dxa" w:w="4680"/>
            <w:shd w:fill="F6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OCEntry"/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20313E"/>
                <w:sz w:val="21"/>
              </w:rPr>
              <w:t>11. 数据生命周期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1. 手册说明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1.1 文档目的</w:t>
      </w:r>
    </w:p>
    <w:p>
      <w:pPr/>
      <w:r>
        <w:rPr>
          <w:rFonts w:ascii="Arial Unicode MS" w:hAnsi="Arial Unicode MS" w:eastAsia="Arial Unicode MS" w:cs="Arial Unicode MS"/>
        </w:rPr>
        <w:t>本手册说明研发与生产大数据平台当前代码中的页面、操作、权限、数据边界和运维功能，帮助用户完成从登录、数据建模、数据录入、审核发布、文件管理、追溯检索，到治理、生命周期、外部集成和系统管理的完整操作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1.2 功能状态标识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160"/>
        <w:gridCol w:w="210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标识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含义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使用要求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正式功能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已连接后端接口，数据写入 PostgreSQL、MongoDB、GridFS 或 Redis，并受权限和审计控制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可按本手册执行；上线前仍需完成部署与业务验收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混合展示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页面同时展示真实平台数据和演示指标/入口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以页面中的“真实运行数据”“现有平台能力”区域为准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前端原型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用于展示未来业务信息架构和交互，不写入业务数据库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不可作为已投产业务能力或正式报表依据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外部边界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软件已提供通用框架，但依赖厂商、网络、介质或法规签署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必须完成专项接入、演练或书面确认后启用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1.3 系统技术组成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组件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Vue 3 + Element Plus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管理端页面、动态表单、追溯图、上传与导出交互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Spring Boot 3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认证、业务规则、权限、接口、任务调度和一致性补偿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PostgreSQL 17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用户、权限、元数据、工作流、电子签名、审计和权威状态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MongoDB 8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动态数据集记录与状态投影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GridFS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文件内容、分片上传和附件存储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Redis 8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验证码、登录/二级密码锁定、会话、一次性确认凭据和限流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1.4 使用前提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 xml:space="preserve">使用受支持的浏览器访问部署地址；本地开发默认地址为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http://127.0.0.1:5173</w:t>
      </w:r>
      <w:r>
        <w:rPr>
          <w:rFonts w:ascii="Arial Unicode MS" w:hAnsi="Arial Unicode MS" w:eastAsia="Arial Unicode MS" w:cs="Arial Unicode MS"/>
        </w:rPr>
        <w:t>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账号必须处于启用状态，并已分配至少一个角色。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页面是否出现由菜单/路由权限决定，数据是否可见还受数据域和选择性共享规则限制。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删除、导出、权限变更、共享等敏感操作需要二级密码签发的一次性确认凭据。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页面显示“原型”“DEMO”或“新增能力为前端演示”时，该页面不会写入数据库。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2. 账号、安全与个人中心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2.1 登录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打开登录页。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输入用户名和密码。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计算图形验证码并输入结果；点击验证码图片可刷新。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点击“进入平台”。</w:t>
      </w:r>
    </w:p>
    <w:p>
      <w:pPr>
        <w:numPr>
          <w:ilvl w:val="0"/>
          <w:numId w:val="1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首次登录或管理员重置密码后，系统会强制进入改密页。</w:t>
      </w:r>
    </w:p>
    <w:p>
      <w:pPr/>
      <w:r>
        <w:rPr>
          <w:rFonts w:ascii="Arial Unicode MS" w:hAnsi="Arial Unicode MS" w:eastAsia="Arial Unicode MS" w:cs="Arial Unicode MS"/>
        </w:rPr>
        <w:t>安全规则：用户名最长50字符，密码最长128字符；登录和验证码接口有请求体上限、单IP与全局限流；密码连续失败会触发账号锁定；刷新令牌放在 HttpOnly、SameSite=Strict Cookie 中并轮换消费。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2.2 首次强制改密</w:t>
      </w:r>
    </w:p>
    <w:p>
      <w:pPr/>
      <w:r>
        <w:rPr>
          <w:rFonts w:ascii="Arial Unicode MS" w:hAnsi="Arial Unicode MS" w:eastAsia="Arial Unicode MS" w:cs="Arial Unicode MS"/>
        </w:rPr>
        <w:t>首次登录时输入当前引导密码、新密码和确认密码。新密码要求8至20位，并同时包含大写字母、小写字母和数字。修改成功后当前会话被撤销，必须用新密码重新登录。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2.3 自助注册</w:t>
      </w:r>
    </w:p>
    <w:p>
      <w:pPr/>
      <w:r>
        <w:rPr>
          <w:rFonts w:ascii="Arial Unicode MS" w:hAnsi="Arial Unicode MS" w:eastAsia="Arial Unicode MS" w:cs="Arial Unicode MS"/>
        </w:rPr>
        <w:t>自助注册由部署参数控制，默认关闭。开启后：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在登录页点击“申请平台账号”。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选择邮箱或手机作为验证渠道；未选择渠道的联系方式不会写入账号。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填写用户名、真实姓名、密码和图形验证码。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获取6位验证码。验证码5分钟内有效、只能使用一次，并绑定渠道、目标和注册用途。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提交申请后账号保持停用，仅保留访客占位角色。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管理员在“系统管理 &gt; 用户与组织 &gt; 注册审核”中批准或驳回。</w:t>
      </w:r>
    </w:p>
    <w:p>
      <w:pPr>
        <w:numPr>
          <w:ilvl w:val="0"/>
          <w:numId w:val="12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批准时必须一次性分配正式角色、直接数据域和可选部门，账号才可登录。</w:t>
      </w:r>
    </w:p>
    <w:p>
      <w:pPr/>
      <w:r>
        <w:rPr>
          <w:rFonts w:ascii="Arial Unicode MS" w:hAnsi="Arial Unicode MS" w:eastAsia="Arial Unicode MS" w:cs="Arial Unicode MS"/>
        </w:rPr>
        <w:t xml:space="preserve">本地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SIMULATED</w:t>
      </w:r>
      <w:r>
        <w:rPr>
          <w:rFonts w:ascii="Arial Unicode MS" w:hAnsi="Arial Unicode MS" w:eastAsia="Arial Unicode MS" w:cs="Arial Unicode MS"/>
        </w:rPr>
        <w:t xml:space="preserve"> 通知模式只用于自动验收，不代表生产邮件或短信供应商已开通。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2.4 个人中心</w:t>
      </w:r>
    </w:p>
    <w:p>
      <w:pPr/>
      <w:r>
        <w:rPr>
          <w:rFonts w:ascii="Arial Unicode MS" w:hAnsi="Arial Unicode MS" w:eastAsia="Arial Unicode MS" w:cs="Arial Unicode MS"/>
        </w:rPr>
        <w:t>个人中心显示用户名、姓名、部门、角色、直接数据域、有效读取域、选择性共享和最近登录时间。用户可以：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修改姓名、邮箱和手机号；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修改登录密码，成功后退出所有会话；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首次设置或修改6位二级密码；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查看直接授权与通过用户/角色/部门获得的共享范围。</w:t>
      </w:r>
    </w:p>
    <w:p>
      <w:pPr/>
      <w:r>
        <w:rPr>
          <w:rFonts w:ascii="Arial Unicode MS" w:hAnsi="Arial Unicode MS" w:eastAsia="Arial Unicode MS" w:cs="Arial Unicode MS"/>
        </w:rPr>
        <w:t>首次设置二级密码必须复核当前登录密码。二级密码修改、审核、发布等路径共享失败计数；连续5次错误锁定30分钟，并记录独立安全审计。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2.5 安全退出与会话撤销</w:t>
      </w:r>
    </w:p>
    <w:p>
      <w:pPr/>
      <w:r>
        <w:rPr>
          <w:rFonts w:ascii="Arial Unicode MS" w:hAnsi="Arial Unicode MS" w:eastAsia="Arial Unicode MS" w:cs="Arial Unicode MS"/>
        </w:rPr>
        <w:t>点击右上角头像选择“安全退出”。管理员停用账号、变更角色/数据域、重置密码或批准注册时会撤销目标账号的既有会话。权限和数据域变化从下一次请求起生效。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3. 导航、权限与数据访问模型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3.1 十个导航域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400"/>
        <w:gridCol w:w="6060"/>
      </w:tblGrid>
      <w:tr>
        <w:trPr>
          <w:tblHeader w:val="true"/>
          <w:cantSplit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编号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导航域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当前内容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01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数据驾驶舱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角色驾驶舱、真实平台指标、决策报表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02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数据资产中心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资产/材料/工艺/产品/性能原型，设备、文件、数据集正式功能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03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全链路追溯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正反向追溯正式功能，追溯历史原型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04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研发数据中心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项目、实验、工艺实验、仿真原型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05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生产数据中心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生产总览/工单/工序/批次/实时原型，设备运行正式功能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06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质量数据中心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检验、CT/金相、硬度/厚度、疲劳、缺陷原型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07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数据分析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工艺、性能、批次、相关性、趋势分析原型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08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数据集成中心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集成配置/映射/作业/死信正式功能与配套展示入口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09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数据治理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分类、标签、字典、模板、生命周期正式功能；主数据等原型</w:t>
            </w:r>
          </w:p>
        </w:tc>
      </w:tr>
      <w:tr>
        <w:trPr>
          <w:cantSplit/>
        </w:trPr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10</w:t>
            </w:r>
          </w:p>
        </w:tc>
        <w:tc>
          <w:tcPr>
            <w:tcW w:type="dxa" w:w="2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系统管理</w:t>
            </w:r>
          </w:p>
        </w:tc>
        <w:tc>
          <w:tcPr>
            <w:tcW w:type="dxa" w:w="6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用户、角色、数据域、菜单、共享、审计、平台配置正式功能；系统日志原型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3.2 权限的三层判断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b/>
        </w:rPr>
        <w:t>模块权限</w:t>
      </w:r>
      <w:r>
        <w:rPr>
          <w:rFonts w:ascii="Arial Unicode MS" w:hAnsi="Arial Unicode MS" w:eastAsia="Arial Unicode MS" w:cs="Arial Unicode MS"/>
        </w:rPr>
        <w:t xml:space="preserve">：决定能否进入页面或调用接口，如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dataset:read</w:t>
      </w:r>
      <w:r>
        <w:rPr>
          <w:rFonts w:ascii="Arial Unicode MS" w:hAnsi="Arial Unicode MS" w:eastAsia="Arial Unicode MS" w:cs="Arial Unicode MS"/>
        </w:rPr>
        <w:t>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b/>
        </w:rPr>
        <w:t>操作权限</w:t>
      </w:r>
      <w:r>
        <w:rPr>
          <w:rFonts w:ascii="Arial Unicode MS" w:hAnsi="Arial Unicode MS" w:eastAsia="Arial Unicode MS" w:cs="Arial Unicode MS"/>
        </w:rPr>
        <w:t xml:space="preserve">：决定能否创建、更新、审核、导出、下载或删除，如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dataset:export</w:t>
      </w:r>
      <w:r>
        <w:rPr>
          <w:rFonts w:ascii="Arial Unicode MS" w:hAnsi="Arial Unicode MS" w:eastAsia="Arial Unicode MS" w:cs="Arial Unicode MS"/>
        </w:rPr>
        <w:t>。</w:t>
      </w:r>
    </w:p>
    <w:p>
      <w:pPr>
        <w:numPr>
          <w:ilvl w:val="0"/>
          <w:numId w:val="13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b/>
        </w:rPr>
        <w:t>资源范围</w:t>
      </w:r>
      <w:r>
        <w:rPr>
          <w:rFonts w:ascii="Arial Unicode MS" w:hAnsi="Arial Unicode MS" w:eastAsia="Arial Unicode MS" w:cs="Arial Unicode MS"/>
        </w:rPr>
        <w:t>：决定能操作哪些数据域、数据集或业务记录，来源包括直接数据域、部门/角色共享和用户共享。</w:t>
      </w:r>
    </w:p>
    <w:p>
      <w:pPr/>
      <w:r>
        <w:rPr>
          <w:rFonts w:ascii="Arial Unicode MS" w:hAnsi="Arial Unicode MS" w:eastAsia="Arial Unicode MS" w:cs="Arial Unicode MS"/>
        </w:rPr>
        <w:t>共享只扩大读取范围，不会授予接收者原本没有的模块权限，也不会授予写权限。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3.3 默认角色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角色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典型职责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系统管理员 ADMIN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全平台治理、用户权限、共享、集成、审计与运维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研发人员 RND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模板/数据集录入、导入导出、追溯与研发数据维护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生产操作人员 PRODUCTION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生产数据录入、设备管理与采集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质量控制人员 QUALITY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质量数据、独立审核、发布与审计查看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企业决策层 EXECUTIVE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驾驶舱、已发布数据、报表与追溯查看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审核员 AUDITOR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模板/记录独立审核、发布、审计和证据查看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数据管理员 DATA_ADMIN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模板、数据集、治理和生命周期管理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访客 GUEST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受权限与数据域限制的只读访问</w:t>
            </w:r>
          </w:p>
        </w:tc>
      </w:tr>
    </w:tbl>
    <w:p>
      <w:pPr>
        <w:spacing w:after="40"/>
      </w:pPr>
    </w:p>
    <w:p>
      <w:pPr/>
      <w:r>
        <w:rPr>
          <w:rFonts w:ascii="Arial Unicode MS" w:hAnsi="Arial Unicode MS" w:eastAsia="Arial Unicode MS" w:cs="Arial Unicode MS"/>
        </w:rPr>
        <w:t>实际权限以系统管理中的角色配置为准；一个用户可绑定多个角色，权限取并集。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3.4 数据域</w:t>
      </w:r>
    </w:p>
    <w:p>
      <w:pPr/>
      <w:r>
        <w:rPr>
          <w:rFonts w:ascii="Arial Unicode MS" w:hAnsi="Arial Unicode MS" w:eastAsia="Arial Unicode MS" w:cs="Arial Unicode MS"/>
        </w:rPr>
        <w:t>数据域可表示全局、部门、项目或产品线。数据集、模板、设备、追溯实体和附件等资源均绑定数据域。非管理员只可访问有效数据域；数据域停用后相关访问即时收口。直接数据域通常代表可写范围，共享范围通常只提供读、导出或下载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3.5 选择性共享</w:t>
      </w:r>
    </w:p>
    <w:p>
      <w:pPr/>
      <w:r>
        <w:rPr>
          <w:rFonts w:ascii="Arial Unicode MS" w:hAnsi="Arial Unicode MS" w:eastAsia="Arial Unicode MS" w:cs="Arial Unicode MS"/>
        </w:rPr>
        <w:t>管理员可把数据域或单个数据集共享给用户、角色或部门：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READ</w:t>
      </w:r>
      <w:r>
        <w:rPr>
          <w:rFonts w:ascii="Arial Unicode MS" w:hAnsi="Arial Unicode MS" w:eastAsia="Arial Unicode MS" w:cs="Arial Unicode MS"/>
        </w:rPr>
        <w:t>：查看、检索、看板和基础附件元数据；必选；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EXPORT</w:t>
      </w:r>
      <w:r>
        <w:rPr>
          <w:rFonts w:ascii="Arial Unicode MS" w:hAnsi="Arial Unicode MS" w:eastAsia="Arial Unicode MS" w:cs="Arial Unicode MS"/>
        </w:rPr>
        <w:t>：允许数据导出；需接收者同时具有导出模块权限；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DOWNLOAD</w:t>
      </w:r>
      <w:r>
        <w:rPr>
          <w:rFonts w:ascii="Arial Unicode MS" w:hAnsi="Arial Unicode MS" w:eastAsia="Arial Unicode MS" w:cs="Arial Unicode MS"/>
        </w:rPr>
        <w:t>：允许附件内容下载；需接收者同时具有文件读取权限。</w:t>
      </w:r>
    </w:p>
    <w:p>
      <w:pPr/>
      <w:r>
        <w:rPr>
          <w:rFonts w:ascii="Arial Unicode MS" w:hAnsi="Arial Unicode MS" w:eastAsia="Arial Unicode MS" w:cs="Arial Unicode MS"/>
        </w:rPr>
        <w:t>共享可设结束时间，过期自动失效；撤销需填写原因并进行二级确认。共享规则不会改变资源所有权、创建者或直接数据域。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3.6 二级确认</w:t>
      </w:r>
    </w:p>
    <w:p>
      <w:pPr/>
      <w:r>
        <w:rPr>
          <w:rFonts w:ascii="Arial Unicode MS" w:hAnsi="Arial Unicode MS" w:eastAsia="Arial Unicode MS" w:cs="Arial Unicode MS"/>
        </w:rPr>
        <w:t>用户在个人中心设置6位二级密码。敏感操作弹窗签发5分钟、一次性的 proof，并绑定当前用户、会话、用途、HTTP方法、目标、请求载荷和权限安全戳。proof 不能跨用户、跨会话、跨目标、换载荷或重放。</w:t>
      </w:r>
    </w:p>
    <w:p>
      <w:pPr/>
      <w:r>
        <w:rPr>
          <w:rFonts w:ascii="Arial Unicode MS" w:hAnsi="Arial Unicode MS" w:eastAsia="Arial Unicode MS" w:cs="Arial Unicode MS"/>
        </w:rPr>
        <w:t>适用场景包括：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数据集、记录、文件、模板和用户删除；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数据、附件包、驾驶舱和审计导出；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用户启停、授权、重置密码和批量导入；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注册审核、角色/数据域/部门变更；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共享创建与撤销；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集成死信人工重放。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4. 数据驾驶舱与全局检索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4.1 数据驾驶舱</w:t>
      </w:r>
    </w:p>
    <w:p>
      <w:pPr/>
      <w:r>
        <w:rPr>
          <w:rFonts w:ascii="Arial Unicode MS" w:hAnsi="Arial Unicode MS" w:eastAsia="Arial Unicode MS" w:cs="Arial Unicode MS"/>
        </w:rPr>
        <w:t>驾驶舱提供管理层、研发、生产和质量四个视角，可切换趋势、状态、异常、数据来源拓扑和平台指标组件。</w:t>
      </w:r>
    </w:p>
    <w:p>
      <w:pPr/>
      <w:r>
        <w:rPr>
          <w:rFonts w:ascii="Arial Unicode MS" w:hAnsi="Arial Unicode MS" w:eastAsia="Arial Unicode MS" w:cs="Arial Unicode MS"/>
        </w:rPr>
        <w:t xml:space="preserve">特别说明：角色卡片、近8周趋势、异常列表和部分来源拓扑属于演示视图；“现有平台真实运行数据”区域连接真实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/api/dashboard</w:t>
      </w:r>
      <w:r>
        <w:rPr>
          <w:rFonts w:ascii="Arial Unicode MS" w:hAnsi="Arial Unicode MS" w:eastAsia="Arial Unicode MS" w:cs="Arial Unicode MS"/>
        </w:rPr>
        <w:t xml:space="preserve"> 与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/api/dashboard/report</w:t>
      </w:r>
      <w:r>
        <w:rPr>
          <w:rFonts w:ascii="Arial Unicode MS" w:hAnsi="Arial Unicode MS" w:eastAsia="Arial Unicode MS" w:cs="Arial Unicode MS"/>
        </w:rPr>
        <w:t>，展示完整模板数、数据集数、已发布记录数、可见记录数、发布率和设备在线率。</w:t>
      </w:r>
    </w:p>
    <w:p>
      <w:pPr/>
      <w:r>
        <w:rPr>
          <w:rFonts w:ascii="Arial Unicode MS" w:hAnsi="Arial Unicode MS" w:eastAsia="Arial Unicode MS" w:cs="Arial Unicode MS"/>
        </w:rPr>
        <w:t xml:space="preserve">拥有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dataset:export</w:t>
      </w:r>
      <w:r>
        <w:rPr>
          <w:rFonts w:ascii="Arial Unicode MS" w:hAnsi="Arial Unicode MS" w:eastAsia="Arial Unicode MS" w:cs="Arial Unicode MS"/>
        </w:rPr>
        <w:t xml:space="preserve"> 权限的用户可点击“导出决策报表”，输入二级密码后下载当前授权范围的 CSV。组件显隐配置只保存在当前前端会话，不会写入全局配置。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4.2 顶部快捷搜索</w:t>
      </w:r>
    </w:p>
    <w:p>
      <w:pPr/>
      <w:r>
        <w:rPr>
          <w:rFonts w:ascii="Arial Unicode MS" w:hAnsi="Arial Unicode MS" w:eastAsia="Arial Unicode MS" w:cs="Arial Unicode MS"/>
        </w:rPr>
        <w:t>顶部搜索框输入至少2个字符，可查询当前用户有权查看的模板、数据集和追溯实体。点击结果会跳转到模板、数据集详情或追溯根节点。快捷搜索不替代高级检索。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4.3 高级检索</w:t>
      </w:r>
    </w:p>
    <w:p>
      <w:pPr/>
      <w:r>
        <w:rPr>
          <w:rFonts w:ascii="Arial Unicode MS" w:hAnsi="Arial Unicode MS" w:eastAsia="Arial Unicode MS" w:cs="Arial Unicode MS"/>
        </w:rPr>
        <w:t>高级检索支持：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资源类型：模板、数据集、数据记录、设备、追溯实体；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条件字段：关键词、材料、工艺、批次、设备、产品型号、分类、类型、状态；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操作符：模糊、精确等；多个条件按 AND 组合；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时间范围、分页、排序字段与升降序；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中文全文检索、高亮、个人历史和热门建议。</w:t>
      </w:r>
    </w:p>
    <w:p>
      <w:pPr/>
      <w:r>
        <w:rPr>
          <w:rFonts w:ascii="Arial Unicode MS" w:hAnsi="Arial Unicode MS" w:eastAsia="Arial Unicode MS" w:cs="Arial Unicode MS"/>
        </w:rPr>
        <w:t>结果会同时执行模块权限、数据域、共享有效期和记录发布状态判断。搜索历史和建议按用户隔离；可一键清空个人历史。高亮由服务端安全生成，不执行用户输入的 HTML。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5. 模板中心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5.1 模板类型与结构</w:t>
      </w:r>
    </w:p>
    <w:p>
      <w:pPr/>
      <w:r>
        <w:rPr>
          <w:rFonts w:ascii="Arial Unicode MS" w:hAnsi="Arial Unicode MS" w:eastAsia="Arial Unicode MS" w:cs="Arial Unicode MS"/>
        </w:rPr>
        <w:t>模板由基本信息、章节、字段和约束组成。字段 key 应以英文字母开头，可配置文本、数字、日期、布尔、枚举等类型，以及必填、长度、数值上下限、日期范围、正则表达式、单位和选项。</w:t>
      </w:r>
    </w:p>
    <w:p>
      <w:pPr/>
      <w:r>
        <w:rPr>
          <w:rFonts w:ascii="Arial Unicode MS" w:hAnsi="Arial Unicode MS" w:eastAsia="Arial Unicode MS" w:cs="Arial Unicode MS"/>
        </w:rPr>
        <w:t>模板分为完整模板和片段。只有已发布、启用的完整模板可用于创建数据集；模板片段可用于标准设计，但不能直接绑定数据集。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5.2 新建与编辑草稿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进入“数据治理 &gt; 模板中心”。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点击“新建模板”。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填写名称、类型、标签、说明、数据域和来源。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添加章节，再添加字段并配置约束。</w:t>
      </w:r>
    </w:p>
    <w:p>
      <w:pPr>
        <w:numPr>
          <w:ilvl w:val="0"/>
          <w:numId w:val="14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保存草稿。</w:t>
      </w:r>
    </w:p>
    <w:p>
      <w:pPr/>
      <w:r>
        <w:rPr>
          <w:rFonts w:ascii="Arial Unicode MS" w:hAnsi="Arial Unicode MS" w:eastAsia="Arial Unicode MS" w:cs="Arial Unicode MS"/>
        </w:rPr>
        <w:t>字段 key 在同一模板内必须唯一。待审核或已发布模板被冻结，不能原地修改。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5.3 提交、审核与发布</w:t>
      </w:r>
    </w:p>
    <w:p>
      <w:pPr/>
      <w:r>
        <w:rPr>
          <w:rFonts w:ascii="Arial Unicode MS" w:hAnsi="Arial Unicode MS" w:eastAsia="Arial Unicode MS" w:cs="Arial Unicode MS"/>
        </w:rPr>
        <w:t>模板流程为：草稿 → 待审核 → 审核通过并发布，或驳回。创建者不能审核自己的模板。审核员填写审核意见，批准后模板成为不可变发布版本；驳回后由有权限人员复制为新草稿继续修改。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5.4 版本历史与恢复</w:t>
      </w:r>
    </w:p>
    <w:p>
      <w:pPr/>
      <w:r>
        <w:rPr>
          <w:rFonts w:ascii="Arial Unicode MS" w:hAnsi="Arial Unicode MS" w:eastAsia="Arial Unicode MS" w:cs="Arial Unicode MS"/>
        </w:rPr>
        <w:t>模板详情显示完整版本历史。可查看指定版本、比较内容，并将历史版本“恢复为新草稿”。恢复不会改写历史版本，也不会把已发布版本变回可编辑状态。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5.5 启停、收藏和删除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审核人员可填写原因启用或停用模板；停用后不能被新数据集使用。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用户可收藏或取消收藏模板。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只有满足删除条件的模板可删除，删除需要二级确认；已被数据集或历史对象引用时会被拒绝。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6. 数据集与动态记录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6.1 创建数据集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进入“数据资产中心 &gt; 通用数据集”。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点击“创建数据集”。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选择已发布、启用的完整模板，或选择自定义结构。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填写名称、编码、分类、标签、说明、数据域和重要性。</w:t>
      </w:r>
    </w:p>
    <w:p>
      <w:pPr>
        <w:numPr>
          <w:ilvl w:val="0"/>
          <w:numId w:val="15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保存。</w:t>
      </w:r>
    </w:p>
    <w:p>
      <w:pPr/>
      <w:r>
        <w:rPr>
          <w:rFonts w:ascii="Arial Unicode MS" w:hAnsi="Arial Unicode MS" w:eastAsia="Arial Unicode MS" w:cs="Arial Unicode MS"/>
        </w:rPr>
        <w:t>模板模式会复制指定模板版本的章节、字段和全部校验约束，不会随模板后续版本自动漂移。自定义结构应明确标识并自行维护字段。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6.2 数据集编辑、收藏、共享和删除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可按关键字、分类查询，进入详情或收藏。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空数据集可编辑结构和数据域；已有记录时字段结构冻结；存在记录、历史归档或附件时，数据域、模板和删除操作会受到保护。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点击“共享”跳转或打开共享规则，由有权限人员选择数据域/数据集、接收者和操作范围。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删除数据集需要二级确认，且必须没有阻断性记录、附件或可恢复归档历史。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6.3 在线新增记录</w:t>
      </w:r>
    </w:p>
    <w:p>
      <w:pPr/>
      <w:r>
        <w:rPr>
          <w:rFonts w:ascii="Arial Unicode MS" w:hAnsi="Arial Unicode MS" w:eastAsia="Arial Unicode MS" w:cs="Arial Unicode MS"/>
        </w:rPr>
        <w:t xml:space="preserve">进入数据集后，页面按字段定义动态生成表单。填写完成后保存为草稿。每次创建使用唯一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X-Idempotency-Key</w:t>
      </w:r>
      <w:r>
        <w:rPr>
          <w:rFonts w:ascii="Arial Unicode MS" w:hAnsi="Arial Unicode MS" w:eastAsia="Arial Unicode MS" w:cs="Arial Unicode MS"/>
        </w:rPr>
        <w:t>，网络重试不会重复生成记录。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6.4 受控更正</w:t>
      </w:r>
    </w:p>
    <w:p>
      <w:pPr/>
      <w:r>
        <w:rPr>
          <w:rFonts w:ascii="Arial Unicode MS" w:hAnsi="Arial Unicode MS" w:eastAsia="Arial Unicode MS" w:cs="Arial Unicode MS"/>
        </w:rPr>
        <w:t>草稿或驳回记录可以更正。更正必须填写原因并提交当前版本号，系统通过版本和跨库存储预占防止旧页面覆盖新数据。更正会生成新版本并保留审计前后值。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6.5 记录删除</w:t>
      </w:r>
    </w:p>
    <w:p>
      <w:pPr/>
      <w:r>
        <w:rPr>
          <w:rFonts w:ascii="Arial Unicode MS" w:hAnsi="Arial Unicode MS" w:eastAsia="Arial Unicode MS" w:cs="Arial Unicode MS"/>
        </w:rPr>
        <w:t>仅允许处于可删除状态、没有受保护附件且没有生效保留例外的记录删除。删除时填写原因、携带当前版本和幂等键，并完成二级确认。已审核、已发布或生命周期转换中的记录不能直接删除。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6.6 批量导入</w:t>
      </w:r>
    </w:p>
    <w:p>
      <w:pPr/>
      <w:r>
        <w:rPr>
          <w:rFonts w:ascii="Arial Unicode MS" w:hAnsi="Arial Unicode MS" w:eastAsia="Arial Unicode MS" w:cs="Arial Unicode MS"/>
        </w:rPr>
        <w:t>支持 CSV、JSON、XLSX：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下载或参照数据集字段结构准备文件。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在记录页点击“批量导入”。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选择格式和文件并执行导入。</w:t>
      </w:r>
    </w:p>
    <w:p>
      <w:pPr>
        <w:numPr>
          <w:ilvl w:val="0"/>
          <w:numId w:val="16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在导入作业中查看总数、成功数、失败数和逐行错误。</w:t>
      </w:r>
    </w:p>
    <w:p>
      <w:pPr/>
      <w:r>
        <w:rPr>
          <w:rFonts w:ascii="Arial Unicode MS" w:hAnsi="Arial Unicode MS" w:eastAsia="Arial Unicode MS" w:cs="Arial Unicode MS"/>
        </w:rPr>
        <w:t>导入按行校验与落库；合法行可以成功，错误行保留行号、原始值摘要和原因。导入不会跳过字段约束、数据域或工作流规则。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6.7 数据导出</w:t>
      </w:r>
    </w:p>
    <w:p>
      <w:pPr/>
      <w:r>
        <w:rPr>
          <w:rFonts w:ascii="Arial Unicode MS" w:hAnsi="Arial Unicode MS" w:eastAsia="Arial Unicode MS" w:cs="Arial Unicode MS"/>
        </w:rPr>
        <w:t xml:space="preserve">支持 CSV、JSON、XLSX，可选择一个或多个字段。导出前需要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dataset:export</w:t>
      </w:r>
      <w:r>
        <w:rPr>
          <w:rFonts w:ascii="Arial Unicode MS" w:hAnsi="Arial Unicode MS" w:eastAsia="Arial Unicode MS" w:cs="Arial Unicode MS"/>
        </w:rPr>
        <w:t xml:space="preserve">、资源级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EXPORT</w:t>
      </w:r>
      <w:r>
        <w:rPr>
          <w:rFonts w:ascii="Arial Unicode MS" w:hAnsi="Arial Unicode MS" w:eastAsia="Arial Unicode MS" w:cs="Arial Unicode MS"/>
        </w:rPr>
        <w:t xml:space="preserve"> 权限和一次性二级确认。系统会：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过滤当前用户无权访问的记录；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对电子表格公式前缀做中和处理；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对配置的敏感字段做脱敏；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记录格式、字段、条数、大小、成功或失败审计；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使用不可缓存的一次性下载票据，避免超长URL和浏览器大Blob驻留。</w:t>
      </w:r>
    </w:p>
    <w:p>
      <w:pPr/>
      <w:r>
        <w:rPr>
          <w:rFonts w:ascii="Arial Unicode MS" w:hAnsi="Arial Unicode MS" w:eastAsia="Arial Unicode MS" w:cs="Arial Unicode MS"/>
        </w:rPr>
        <w:t xml:space="preserve">选择“含附件包”时会生成 ZIP，包含数据文件、附件清单和有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DOWNLOAD</w:t>
      </w:r>
      <w:r>
        <w:rPr>
          <w:rFonts w:ascii="Arial Unicode MS" w:hAnsi="Arial Unicode MS" w:eastAsia="Arial Unicode MS" w:cs="Arial Unicode MS"/>
        </w:rPr>
        <w:t xml:space="preserve"> 权限的附件。系统先在受控临时目录校验附件大小和 SHA-256，再开始响应；受附件数量、总大小和并发上限控制。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7. 记录审核、发布与电子签名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7.1 状态流程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160"/>
        <w:gridCol w:w="210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状态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含义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允许操作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DRAFT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草稿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编辑、删除、提交审核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PENDING_REVIEW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待审核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独立审核，不允许普通编辑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APPROVED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审核通过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由发布人员签名发布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REJECTED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驳回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受控更正后回到新版本草稿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PUBLISHED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已发布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普通读者可见，禁止原地修改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CORRECTING / DELETING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跨库存储转换态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系统占用，禁止并发工作流或附件写入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ARCHIVING / ARCHIVED / RESTORING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生命周期状态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按归档恢复规则操作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 Unicode MS" w:hAnsi="Arial Unicode MS" w:eastAsia="Arial Unicode MS" w:cs="Arial Unicode MS"/>
        </w:rPr>
        <w:t>7.2 提交审核</w:t>
      </w:r>
    </w:p>
    <w:p>
      <w:pPr/>
      <w:r>
        <w:rPr>
          <w:rFonts w:ascii="Arial Unicode MS" w:hAnsi="Arial Unicode MS" w:eastAsia="Arial Unicode MS" w:cs="Arial Unicode MS"/>
        </w:rPr>
        <w:t>记录所有者在草稿状态点击“提交审核”，填写提交原因。提交后记录被冻结，等待独立审核。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7.3 独立审核</w:t>
      </w:r>
    </w:p>
    <w:p>
      <w:pPr/>
      <w:r>
        <w:rPr>
          <w:rFonts w:ascii="Arial Unicode MS" w:hAnsi="Arial Unicode MS" w:eastAsia="Arial Unicode MS" w:cs="Arial Unicode MS"/>
        </w:rPr>
        <w:t xml:space="preserve">审核人必须具有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dataset:audit</w:t>
      </w:r>
      <w:r>
        <w:rPr>
          <w:rFonts w:ascii="Arial Unicode MS" w:hAnsi="Arial Unicode MS" w:eastAsia="Arial Unicode MS" w:cs="Arial Unicode MS"/>
        </w:rPr>
        <w:t>，且不能审核自己创建的记录。选择批准或驳回，填写原因并输入6位二级密码。系统保存审核含义、版本、签署人、时间、来源IP、记录摘要和附件清单摘要。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7.4 签名发布</w:t>
      </w:r>
    </w:p>
    <w:p>
      <w:pPr/>
      <w:r>
        <w:rPr>
          <w:rFonts w:ascii="Arial Unicode MS" w:hAnsi="Arial Unicode MS" w:eastAsia="Arial Unicode MS" w:cs="Arial Unicode MS"/>
        </w:rPr>
        <w:t xml:space="preserve">已批准记录由具有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dataset:publish</w:t>
      </w:r>
      <w:r>
        <w:rPr>
          <w:rFonts w:ascii="Arial Unicode MS" w:hAnsi="Arial Unicode MS" w:eastAsia="Arial Unicode MS" w:cs="Arial Unicode MS"/>
        </w:rPr>
        <w:t xml:space="preserve"> 的人员输入原因和二级密码发布。发布后普通读者可见。发布签名与审核签名均不可更新或删除。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7.5 签名证据与验真</w:t>
      </w:r>
    </w:p>
    <w:p>
      <w:pPr/>
      <w:r>
        <w:rPr>
          <w:rFonts w:ascii="Arial Unicode MS" w:hAnsi="Arial Unicode MS" w:eastAsia="Arial Unicode MS" w:cs="Arial Unicode MS"/>
        </w:rPr>
        <w:t>“签名证据”显示签署人、含义、原因、时间、来源IP、密钥版本、记录摘要、附件摘要和证据摘要。点击验真可按当前或历史审计密钥重算并校验列值、载荷和 HMAC。验真失败时应停止发布/交付并联系安全人员。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8. 文件资料库与记录附件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8.1 业务绑定</w:t>
      </w:r>
    </w:p>
    <w:p>
      <w:pPr/>
      <w:r>
        <w:rPr>
          <w:rFonts w:ascii="Arial Unicode MS" w:hAnsi="Arial Unicode MS" w:eastAsia="Arial Unicode MS" w:cs="Arial Unicode MS"/>
        </w:rPr>
        <w:t>文件必须绑定业务类型、业务引用和数据域。常见绑定包括数据集、数据集记录、追溯实体等。文件列表和下载会重新复核当前业务对象权限，不能仅凭文件ID绕过数据域。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8.2 批量上传</w:t>
      </w:r>
    </w:p>
    <w:p>
      <w:pPr/>
      <w:r>
        <w:rPr>
          <w:rFonts w:ascii="Arial Unicode MS" w:hAnsi="Arial Unicode MS" w:eastAsia="Arial Unicode MS" w:cs="Arial Unicode MS"/>
        </w:rPr>
        <w:t>普通批量上传单批最多20个文件。系统逐个计算 SHA-256、写入 GridFS 并保存 PostgreSQL 元数据；部分失败时返回每个文件的成功/失败结果。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8.3 大文件分片与断点续传</w:t>
      </w:r>
    </w:p>
    <w:p>
      <w:pPr/>
      <w:r>
        <w:rPr>
          <w:rFonts w:ascii="Arial Unicode MS" w:hAnsi="Arial Unicode MS" w:eastAsia="Arial Unicode MS" w:cs="Arial Unicode MS"/>
        </w:rPr>
        <w:t>文件资料库支持会话式上传：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浏览器按文件指纹创建或恢复上传会话。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 xml:space="preserve">按默认4MB分片上传，每片携带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Content-Range</w:t>
      </w:r>
      <w:r>
        <w:rPr>
          <w:rFonts w:ascii="Arial Unicode MS" w:hAnsi="Arial Unicode MS" w:eastAsia="Arial Unicode MS" w:cs="Arial Unicode MS"/>
        </w:rPr>
        <w:t xml:space="preserve"> 和 SHA-256。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可暂停，重新选择同一文件后继续缺失分片。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完成时校验分片连续性、整体大小和整体 SHA-256，再登记正式附件。</w:t>
      </w:r>
    </w:p>
    <w:p>
      <w:pPr>
        <w:numPr>
          <w:ilvl w:val="0"/>
          <w:numId w:val="17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可取消并清理会话。</w:t>
      </w:r>
    </w:p>
    <w:p>
      <w:pPr/>
      <w:r>
        <w:rPr>
          <w:rFonts w:ascii="Arial Unicode MS" w:hAnsi="Arial Unicode MS" w:eastAsia="Arial Unicode MS" w:cs="Arial Unicode MS"/>
        </w:rPr>
        <w:t>默认单文件上限20GB；每用户活动会话数、待完成总字节和会话有效期均可配置。过期或不可恢复失败后应取消旧会话并重新选择文件。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8.4 预览与下载</w:t>
      </w:r>
    </w:p>
    <w:p>
      <w:pPr/>
      <w:r>
        <w:rPr>
          <w:rFonts w:ascii="Arial Unicode MS" w:hAnsi="Arial Unicode MS" w:eastAsia="Arial Unicode MS" w:cs="Arial Unicode MS"/>
        </w:rPr>
        <w:t xml:space="preserve">可安全内联预览 PDF、纯文本、PNG、JPEG、GIF、WebP 和 BMP。HTML、SVG、3D工程文件等按附件下载处理。下载支持 HTTP Range、后缀范围和206响应，非法范围返回416。响应设置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no-store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nosniff</w:t>
      </w:r>
      <w:r>
        <w:rPr>
          <w:rFonts w:ascii="Arial Unicode MS" w:hAnsi="Arial Unicode MS" w:eastAsia="Arial Unicode MS" w:cs="Arial Unicode MS"/>
        </w:rPr>
        <w:t xml:space="preserve"> 和沙箱安全头。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8.5 删除与一致性巡检</w:t>
      </w:r>
    </w:p>
    <w:p>
      <w:pPr/>
      <w:r>
        <w:rPr>
          <w:rFonts w:ascii="Arial Unicode MS" w:hAnsi="Arial Unicode MS" w:eastAsia="Arial Unicode MS" w:cs="Arial Unicode MS"/>
        </w:rPr>
        <w:t xml:space="preserve">附件删除需要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file:delete</w:t>
      </w:r>
      <w:r>
        <w:rPr>
          <w:rFonts w:ascii="Arial Unicode MS" w:hAnsi="Arial Unicode MS" w:eastAsia="Arial Unicode MS" w:cs="Arial Unicode MS"/>
        </w:rPr>
        <w:t>、业务对象权限和二级确认。记录处于待审核、已批准、已发布、删除或生命周期转换状态时，附件增删会按证据冻结规则受限。后台巡检不会把 Mongo/GridFS 临时故障误判为文件丢失，并保护分片上传和恢复中的临时内容。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8.6 病毒扫描边界</w:t>
      </w:r>
    </w:p>
    <w:p>
      <w:pPr/>
      <w:r>
        <w:rPr>
          <w:rFonts w:ascii="Arial Unicode MS" w:hAnsi="Arial Unicode MS" w:eastAsia="Arial Unicode MS" w:cs="Arial Unicode MS"/>
        </w:rPr>
        <w:t>代码提供“病毒扫描必须启用”安全开关；当前未集成生产扫描器。若生产要求扫描，应接入扫描器并启用强制开关，否则不可宣称恶意文件处置闭环。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9. 全链路追溯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9.1 实体与关系</w:t>
      </w:r>
    </w:p>
    <w:p>
      <w:pPr/>
      <w:r>
        <w:rPr>
          <w:rFonts w:ascii="Arial Unicode MS" w:hAnsi="Arial Unicode MS" w:eastAsia="Arial Unicode MS" w:cs="Arial Unicode MS"/>
        </w:rPr>
        <w:t xml:space="preserve">正式追溯实体支持材料批次、工艺批次、产品、质量检测、性能测试和缺陷。具有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trace:write</w:t>
      </w:r>
      <w:r>
        <w:rPr>
          <w:rFonts w:ascii="Arial Unicode MS" w:hAnsi="Arial Unicode MS" w:eastAsia="Arial Unicode MS" w:cs="Arial Unicode MS"/>
        </w:rPr>
        <w:t xml:space="preserve"> 的人员可创建实体和有方向的关系；每个实体绑定数据域、来源系统、来源记录号、版本和结构化业务属性。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9.2 正向、反向和双向追溯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在“全链路追溯 &gt; 追溯搜索”选择起点。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选择正向、反向或双向。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设置深度1至10。</w:t>
      </w:r>
    </w:p>
    <w:p>
      <w:pPr>
        <w:numPr>
          <w:ilvl w:val="0"/>
          <w:numId w:val="18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点击“开始追溯”。</w:t>
      </w:r>
    </w:p>
    <w:p>
      <w:pPr/>
      <w:r>
        <w:rPr>
          <w:rFonts w:ascii="Arial Unicode MS" w:hAnsi="Arial Unicode MS" w:eastAsia="Arial Unicode MS" w:cs="Arial Unicode MS"/>
        </w:rPr>
        <w:t>SVG 图保留业务原始箭头方向，支持材料 → 工艺 → 产品 → 检测/缺陷，也支持从缺陷反查产品、工艺和材料。系统限制深度和节点规模，防止循环无限展开。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9.3 节点证据</w:t>
      </w:r>
    </w:p>
    <w:p>
      <w:pPr/>
      <w:r>
        <w:rPr>
          <w:rFonts w:ascii="Arial Unicode MS" w:hAnsi="Arial Unicode MS" w:eastAsia="Arial Unicode MS" w:cs="Arial Unicode MS"/>
        </w:rPr>
        <w:t>单击节点后可查看：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来源系统、来源记录号、记录版本、记录时间；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结构化业务参数；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关联附件名称、大小、上传人、时间和 SHA-256；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最新不可变审计事件、操作者、动作、详情摘要和记录摘要。</w:t>
      </w:r>
    </w:p>
    <w:p>
      <w:pPr/>
      <w:r>
        <w:rPr>
          <w:rFonts w:ascii="Arial Unicode MS" w:hAnsi="Arial Unicode MS" w:eastAsia="Arial Unicode MS" w:cs="Arial Unicode MS"/>
        </w:rPr>
        <w:t xml:space="preserve">节点、关系、附件和审计详情均逐项执行数据域过滤。没有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file:read</w:t>
      </w:r>
      <w:r>
        <w:rPr>
          <w:rFonts w:ascii="Arial Unicode MS" w:hAnsi="Arial Unicode MS" w:eastAsia="Arial Unicode MS" w:cs="Arial Unicode MS"/>
        </w:rPr>
        <w:t xml:space="preserve"> 时附件区域会显示无权限；只有READ共享而没有DOWNLOAD时可见元数据但不能取得附件内容。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9.4 追溯历史原型</w:t>
      </w:r>
    </w:p>
    <w:p>
      <w:pPr/>
      <w:r>
        <w:rPr>
          <w:rFonts w:ascii="Arial Unicode MS" w:hAnsi="Arial Unicode MS" w:eastAsia="Arial Unicode MS" w:cs="Arial Unicode MS"/>
        </w:rPr>
        <w:t>“追溯记录”当前是前端原型，用于展示最近查询、收藏链路和导出快照的未来信息架构；不写入正式追溯历史表，不应作为审计证据。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10. 设备与采集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10.1 设备登记</w:t>
      </w:r>
    </w:p>
    <w:p>
      <w:pPr/>
      <w:r>
        <w:rPr>
          <w:rFonts w:ascii="Arial Unicode MS" w:hAnsi="Arial Unicode MS" w:eastAsia="Arial Unicode MS" w:cs="Arial Unicode MS"/>
        </w:rPr>
        <w:t xml:space="preserve">具有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device:manage</w:t>
      </w:r>
      <w:r>
        <w:rPr>
          <w:rFonts w:ascii="Arial Unicode MS" w:hAnsi="Arial Unicode MS" w:eastAsia="Arial Unicode MS" w:cs="Arial Unicode MS"/>
        </w:rPr>
        <w:t xml:space="preserve"> 的人员可登记设备编码、名称、类型、型号、协议、连接配置和数据域。连接配置使用 AES-GCM 加密存储，不在页面回显明文。登记成功仅返回一次设备采集密钥，应立即保存在设备密钥管理系统。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10.2 设备密钥轮换</w:t>
      </w:r>
    </w:p>
    <w:p>
      <w:pPr/>
      <w:r>
        <w:rPr>
          <w:rFonts w:ascii="Arial Unicode MS" w:hAnsi="Arial Unicode MS" w:eastAsia="Arial Unicode MS" w:cs="Arial Unicode MS"/>
        </w:rPr>
        <w:t>点击“轮换设备密钥”后旧密钥立即失效，新密钥也只返回一次。更换设备端配置前应安排停机窗口，避免采集中断。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10.3 人员会话采集</w:t>
      </w:r>
    </w:p>
    <w:p>
      <w:pPr/>
      <w:r>
        <w:rPr>
          <w:rFonts w:ascii="Arial Unicode MS" w:hAnsi="Arial Unicode MS" w:eastAsia="Arial Unicode MS" w:cs="Arial Unicode MS"/>
        </w:rPr>
        <w:t>管理人员可通过设备接口写入测量，携带唯一幂等键。测量包含指标名、数值或文本值、单位、质量标记、测量时间和原始数据。原始测量不可变，并记录来源归属。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10.4 设备专用 HMAC 采集</w:t>
      </w:r>
    </w:p>
    <w:p>
      <w:pPr/>
      <w:r>
        <w:rPr>
          <w:rFonts w:ascii="Arial Unicode MS" w:hAnsi="Arial Unicode MS" w:eastAsia="Arial Unicode MS" w:cs="Arial Unicode MS"/>
        </w:rPr>
        <w:t xml:space="preserve">无人员会话的设备调用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/api/device-ingest/{deviceCode}/measurements</w:t>
      </w:r>
      <w:r>
        <w:rPr>
          <w:rFonts w:ascii="Arial Unicode MS" w:hAnsi="Arial Unicode MS" w:eastAsia="Arial Unicode MS" w:cs="Arial Unicode MS"/>
        </w:rPr>
        <w:t>，携带时间戳、幂等键和 HMAC-SHA256 签名。平台校验设备身份、时间窗口、频率和报文大小，并对身份失败和限流做安全审计。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10.5 自动采集与心跳</w:t>
      </w:r>
    </w:p>
    <w:p>
      <w:pPr/>
      <w:r>
        <w:rPr>
          <w:rFonts w:ascii="Arial Unicode MS" w:hAnsi="Arial Unicode MS" w:eastAsia="Arial Unicode MS" w:cs="Arial Unicode MS"/>
        </w:rPr>
        <w:t>当前页面支持启用“模拟自动采集”，配置轮询间隔和心跳超时。后台任务更新设备在线/离线状态并写入模拟测量。真实3D打印、Modbus TCP、OPC UA及检测设备适配仍属于外部厂商联调边界。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11. 数据生命周期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11.1 数据重要性与保留策略</w:t>
      </w:r>
    </w:p>
    <w:p>
      <w:pPr/>
      <w:r>
        <w:rPr>
          <w:rFonts w:ascii="Arial Unicode MS" w:hAnsi="Arial Unicode MS" w:eastAsia="Arial Unicode MS" w:cs="Arial Unicode MS"/>
        </w:rPr>
        <w:t>数据集重要性支持 LOW、NORMAL、HIGH、CRITICAL。策略可按数据域覆盖全局策略，配置在线天数、归档目标、是否自动归档和是否启用。默认策略的自动归档关闭，管理员明确启用后才会由调度任务处理。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11.2 到期预览</w:t>
      </w:r>
    </w:p>
    <w:p>
      <w:pPr/>
      <w:r>
        <w:rPr>
          <w:rFonts w:ascii="Arial Unicode MS" w:hAnsi="Arial Unicode MS" w:eastAsia="Arial Unicode MS" w:cs="Arial Unicode MS"/>
        </w:rPr>
        <w:t xml:space="preserve">“到期预览”列出符合策略的已发布记录。手工归档可使用有效策略，不要求该策略开启自动归档；自动任务只选择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autoArchive=true</w:t>
      </w:r>
      <w:r>
        <w:rPr>
          <w:rFonts w:ascii="Arial Unicode MS" w:hAnsi="Arial Unicode MS" w:eastAsia="Arial Unicode MS" w:cs="Arial Unicode MS"/>
        </w:rPr>
        <w:t xml:space="preserve"> 的最终命中策略。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11.3 保留例外</w:t>
      </w:r>
    </w:p>
    <w:p>
      <w:pPr/>
      <w:r>
        <w:rPr>
          <w:rFonts w:ascii="Arial Unicode MS" w:hAnsi="Arial Unicode MS" w:eastAsia="Arial Unicode MS" w:cs="Arial Unicode MS"/>
        </w:rPr>
        <w:t>对质量调查、诉讼、偏差处置等记录可创建保留例外，填写原因和可选到期时间。生效的保留例外会阻止自动/手工归档，以及记录或证据附件删除。解除保留例外需要版本号和原因。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11.4 归档</w:t>
      </w:r>
    </w:p>
    <w:p>
      <w:pPr/>
      <w:r>
        <w:rPr>
          <w:rFonts w:ascii="Arial Unicode MS" w:hAnsi="Arial Unicode MS" w:eastAsia="Arial Unicode MS" w:cs="Arial Unicode MS"/>
        </w:rPr>
        <w:t>归档仅适用于已发布数据记录：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锁定工作流并复核策略、数据域和保留例外。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读取 Mongo 记录和关联 GridFS 附件，计算逐项摘要。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生成包含清单、记录和附件的 ZIP，并校验总摘要。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在 PostgreSQL 原子切换归档状态、附件状态和计数。</w:t>
      </w:r>
    </w:p>
    <w:p>
      <w:pPr>
        <w:numPr>
          <w:ilvl w:val="0"/>
          <w:numId w:val="19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删除在线副本，保留搜索投影与权威归档清单。</w:t>
      </w:r>
    </w:p>
    <w:p>
      <w:pPr/>
      <w:r>
        <w:rPr>
          <w:rFonts w:ascii="Arial Unicode MS" w:hAnsi="Arial Unicode MS" w:eastAsia="Arial Unicode MS" w:cs="Arial Unicode MS"/>
        </w:rPr>
        <w:t>归档目录应挂载到独立备份服务器或NAS；容器本地目录不应作为唯一副本。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11.5 归档检索、恢复与重试</w:t>
      </w:r>
    </w:p>
    <w:p>
      <w:pPr/>
      <w:r>
        <w:rPr>
          <w:rFonts w:ascii="Arial Unicode MS" w:hAnsi="Arial Unicode MS" w:eastAsia="Arial Unicode MS" w:cs="Arial Unicode MS"/>
        </w:rPr>
        <w:t>归档清单支持状态、关键词和分页检索。恢复前复制不可变临时快照，校验ZIP总摘要、清单、记录摘要和每个附件的大小/SHA-256；校验通过后恢复 Mongo/GridFS 和 PostgreSQL 状态。失败项可按失败阶段重试；陈旧转换由代际租约和对账任务回收，管理员可手工执行 reconcile。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11.6 当前范围</w:t>
      </w:r>
    </w:p>
    <w:p>
      <w:pPr/>
      <w:r>
        <w:rPr>
          <w:rFonts w:ascii="Arial Unicode MS" w:hAnsi="Arial Unicode MS" w:eastAsia="Arial Unicode MS" w:cs="Arial Unicode MS"/>
        </w:rPr>
        <w:t>生命周期正式覆盖已发布的数据集记录。设备时序、追溯实体和其他业务资源尚未纳入统一策略；独立NAS和正式恢复演练也需部署侧完成。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12. 外部系统集成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12.1 集成配置</w:t>
      </w:r>
    </w:p>
    <w:p>
      <w:pPr/>
      <w:r>
        <w:rPr>
          <w:rFonts w:ascii="Arial Unicode MS" w:hAnsi="Arial Unicode MS" w:eastAsia="Arial Unicode MS" w:cs="Arial Unicode MS"/>
        </w:rPr>
        <w:t>集成管理支持 MES、PLM、ERP、IoT 等系统。配置包含：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稳定系统编码和名称；产生作业后系统编码不可修改；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系统类型、启用状态和精确来源IP白名单；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信任域、实体类型、业务键字段、游标字段、来源优先级和来源版本字段；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冲突策略、交付模式和目标地址；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HMAC或OAuth2认证参数；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乐观版本号，防止旧页面覆盖新配置。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12.2 字段映射与清洗</w:t>
      </w:r>
    </w:p>
    <w:p>
      <w:pPr/>
      <w:r>
        <w:rPr>
          <w:rFonts w:ascii="Arial Unicode MS" w:hAnsi="Arial Unicode MS" w:eastAsia="Arial Unicode MS" w:cs="Arial Unicode MS"/>
        </w:rPr>
        <w:t xml:space="preserve">字段映射支持源字段、目标字段、是否必填、默认值和转换。当前转换包括 TRIM、NUMBER、DATE、UPPERCASE 和单位转换。映射保存使用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expectedMappingVersion</w:t>
      </w:r>
      <w:r>
        <w:rPr>
          <w:rFonts w:ascii="Arial Unicode MS" w:hAnsi="Arial Unicode MS" w:eastAsia="Arial Unicode MS" w:cs="Arial Unicode MS"/>
        </w:rPr>
        <w:t xml:space="preserve"> CAS；接收作业保存映射与处理配置快照，后续修改不会改变已接收事件的解释依据。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12.3 HMAC接入</w:t>
      </w:r>
    </w:p>
    <w:p>
      <w:pPr/>
      <w:r>
        <w:rPr>
          <w:rFonts w:ascii="Arial Unicode MS" w:hAnsi="Arial Unicode MS" w:eastAsia="Arial Unicode MS" w:cs="Arial Unicode MS"/>
        </w:rPr>
        <w:t xml:space="preserve">每个系统使用不少于32个UTF-8字节的独立随机密钥。入站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RDP-HMAC-V1</w:t>
      </w:r>
      <w:r>
        <w:rPr>
          <w:rFonts w:ascii="Arial Unicode MS" w:hAnsi="Arial Unicode MS" w:eastAsia="Arial Unicode MS" w:cs="Arial Unicode MS"/>
        </w:rPr>
        <w:t xml:space="preserve"> canonical 绑定协议版本、POST方法、Webhook路径/系统编码、Unix时间戳、幂等键和原始请求体。签名不能跨系统或跨路径复用。</w:t>
      </w:r>
    </w:p>
    <w:p>
      <w:pPr/>
      <w:r>
        <w:rPr>
          <w:rFonts w:ascii="Arial Unicode MS" w:hAnsi="Arial Unicode MS" w:eastAsia="Arial Unicode MS" w:cs="Arial Unicode MS"/>
        </w:rPr>
        <w:t>密钥可在页面生成。V33 升级会先失败关闭旧HMAC配置并解密验强；弱密钥或损坏密文保持停用，待交付作业进入人工复核，管理员录入强密钥后 rebase。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12.4 OAuth2接入</w:t>
      </w:r>
    </w:p>
    <w:p>
      <w:pPr/>
      <w:r>
        <w:rPr>
          <w:rFonts w:ascii="Arial Unicode MS" w:hAnsi="Arial Unicode MS" w:eastAsia="Arial Unicode MS" w:cs="Arial Unicode MS"/>
        </w:rPr>
        <w:t>OAuth2使用RFC 7662自省，必须配置：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本平台访问自省端的 client ID/secret；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 xml:space="preserve">外部调用方独立 AppID，即令牌中的来源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client_id</w:t>
      </w:r>
      <w:r>
        <w:rPr>
          <w:rFonts w:ascii="Arial Unicode MS" w:hAnsi="Arial Unicode MS" w:eastAsia="Arial Unicode MS" w:cs="Arial Unicode MS"/>
        </w:rPr>
        <w:t>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issuer、audience、scope、自省URL和自省端主机白名单；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来源IP白名单和100至5000ms壁钟超时。</w:t>
      </w:r>
    </w:p>
    <w:p>
      <w:pPr/>
      <w:r>
        <w:rPr>
          <w:rFonts w:ascii="Arial Unicode MS" w:hAnsi="Arial Unicode MS" w:eastAsia="Arial Unicode MS" w:cs="Arial Unicode MS"/>
        </w:rPr>
        <w:t>平台校验 active、exp、nbf、issuer、audience、client_id和scope。同一issuer下的来源client_id只能绑定一个集成系统。生产还必须使用受信DNS和出口防火墙，应用白名单不能单独消除DNS rebinding风险。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12.5 异步接收、幂等与信任裁决</w:t>
      </w:r>
    </w:p>
    <w:p>
      <w:pPr/>
      <w:r>
        <w:rPr>
          <w:rFonts w:ascii="Arial Unicode MS" w:hAnsi="Arial Unicode MS" w:eastAsia="Arial Unicode MS" w:cs="Arial Unicode MS"/>
        </w:rPr>
        <w:t>认证成功后Webhook立即持久化并返回202和jobId，后台处理：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根据幂等键判断重复；同键同载荷复用作业，同键不同载荷返回冲突。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应用接收时的配置和映射快照。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在信任域/实体类型/业务键命名空间内执行来源优先级和版本裁决。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迟到但唯一的事件仍落地，游标只向前推进；更早未决游标会阻止越过。</w:t>
      </w:r>
    </w:p>
    <w:p>
      <w:pPr>
        <w:numPr>
          <w:ilvl w:val="0"/>
          <w:numId w:val="2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本地事务提交后，只有被接受事件才进入远端交付。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12.6 HTTP交付与凭据快照</w:t>
      </w:r>
    </w:p>
    <w:p>
      <w:pPr/>
      <w:r>
        <w:rPr>
          <w:rFonts w:ascii="Arial Unicode MS" w:hAnsi="Arial Unicode MS" w:eastAsia="Arial Unicode MS" w:cs="Arial Unicode MS"/>
        </w:rPr>
        <w:t xml:space="preserve">HTTP交付使用部署级目标主机白名单。出站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RDP-HMAC-V1</w:t>
      </w:r>
      <w:r>
        <w:rPr>
          <w:rFonts w:ascii="Arial Unicode MS" w:hAnsi="Arial Unicode MS" w:eastAsia="Arial Unicode MS" w:cs="Arial Unicode MS"/>
        </w:rPr>
        <w:t xml:space="preserve"> 绑定方法、目标raw path/query、来源系统、时间戳、幂等键和规范化JSON。远端必须校验签名并按幂等键保证单一业务效果。</w:t>
      </w:r>
    </w:p>
    <w:p>
      <w:pPr/>
      <w:r>
        <w:rPr>
          <w:rFonts w:ascii="Arial Unicode MS" w:hAnsi="Arial Unicode MS" w:eastAsia="Arial Unicode MS" w:cs="Arial Unicode MS"/>
        </w:rPr>
        <w:t>待交付作业保存加密凭据快照，因此管理员可以轮换当前密钥；旧作业仍用原版本重试，进入完成、跳过或明确终止后清除快照。后续同一信任键的新版本会等待前序交付完成。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12.7 重试、死信、人工重放和对账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 xml:space="preserve">408、425、429、5xx、超时和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Retry-After</w:t>
      </w:r>
      <w:r>
        <w:rPr>
          <w:rFonts w:ascii="Arial Unicode MS" w:hAnsi="Arial Unicode MS" w:eastAsia="Arial Unicode MS" w:cs="Arial Unicode MS"/>
        </w:rPr>
        <w:t xml:space="preserve"> 进入持久退避；默认阶段为60、300、1800秒。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重试耗尽后进入死信/人工复核。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 xml:space="preserve">人工重放要求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integration:retry</w:t>
      </w:r>
      <w:r>
        <w:rPr>
          <w:rFonts w:ascii="Arial Unicode MS" w:hAnsi="Arial Unicode MS" w:eastAsia="Arial Unicode MS" w:cs="Arial Unicode MS"/>
        </w:rPr>
        <w:t xml:space="preserve">、说明和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PRIVILEGE</w:t>
      </w:r>
      <w:r>
        <w:rPr>
          <w:rFonts w:ascii="Arial Unicode MS" w:hAnsi="Arial Unicode MS" w:eastAsia="Arial Unicode MS" w:cs="Arial Unicode MS"/>
        </w:rPr>
        <w:t xml:space="preserve"> 二级确认，可选择使用当前映射/交付配置进行rebase。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对账会重新读取实际已处理记录，比较目标JSON摘要，并单列交付待处理/失败状态。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陈旧PROCESSING/RETRYING租约由后台任务恢复，多实例领取采用数据库锁和token fencing。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12.8 接口审计与防护</w:t>
      </w:r>
    </w:p>
    <w:p>
      <w:pPr/>
      <w:r>
        <w:rPr>
          <w:rFonts w:ascii="Arial Unicode MS" w:hAnsi="Arial Unicode MS" w:eastAsia="Arial Unicode MS" w:cs="Arial Unicode MS"/>
        </w:rPr>
        <w:t>Webhook固定/分块请求体上限1MB，限流在MVC读取正文前执行。每次到达应用的调用生成请求ID，审计保存方法、路径、请求/响应摘要、字节数、耗时、状态码、认证类型和jobId，不保存Authorization、密钥或原始业务载荷。Nginx在应用前拒绝的运输层超限/连接限流写结构化安全日志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12.9 外部联调边界</w:t>
      </w:r>
    </w:p>
    <w:p>
      <w:pPr/>
      <w:r>
        <w:rPr>
          <w:rFonts w:ascii="Arial Unicode MS" w:hAnsi="Arial Unicode MS" w:eastAsia="Arial Unicode MS" w:cs="Arial Unicode MS"/>
        </w:rPr>
        <w:t>通用可靠性和API安全框架已实现；真实MES/PLM/ERP字段、账号、拉取/回写语义、厂商网络和生产OAuth/DNS策略仍需专项联调，不能仅凭本机模拟结果标记为厂商验收完成。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13. 审计中心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13.1 审计查询</w:t>
      </w:r>
    </w:p>
    <w:p>
      <w:pPr/>
      <w:r>
        <w:rPr>
          <w:rFonts w:ascii="Arial Unicode MS" w:hAnsi="Arial Unicode MS" w:eastAsia="Arial Unicode MS" w:cs="Arial Unicode MS"/>
        </w:rPr>
        <w:t xml:space="preserve">具有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audit:read</w:t>
      </w:r>
      <w:r>
        <w:rPr>
          <w:rFonts w:ascii="Arial Unicode MS" w:hAnsi="Arial Unicode MS" w:eastAsia="Arial Unicode MS" w:cs="Arial Unicode MS"/>
        </w:rPr>
        <w:t xml:space="preserve"> 的用户可按用户、模块、操作、时间范围等条件查询审计。审计记录包含操作者、模块、操作、目标、说明、详情摘要、时间、前序摘要、记录摘要和密钥版本。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13.2 审计导出</w:t>
      </w:r>
    </w:p>
    <w:p>
      <w:pPr/>
      <w:r>
        <w:rPr>
          <w:rFonts w:ascii="Arial Unicode MS" w:hAnsi="Arial Unicode MS" w:eastAsia="Arial Unicode MS" w:cs="Arial Unicode MS"/>
        </w:rPr>
        <w:t xml:space="preserve">具有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audit:export</w:t>
      </w:r>
      <w:r>
        <w:rPr>
          <w:rFonts w:ascii="Arial Unicode MS" w:hAnsi="Arial Unicode MS" w:eastAsia="Arial Unicode MS" w:cs="Arial Unicode MS"/>
        </w:rPr>
        <w:t xml:space="preserve"> 的用户可导出当前筛选结果。导出需要二级确认，响应禁止缓存，并记录导出成功或失败审计。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13.3 审计链验证</w:t>
      </w:r>
    </w:p>
    <w:p>
      <w:pPr/>
      <w:r>
        <w:rPr>
          <w:rFonts w:ascii="Arial Unicode MS" w:hAnsi="Arial Unicode MS" w:eastAsia="Arial Unicode MS" w:cs="Arial Unicode MS"/>
        </w:rPr>
        <w:t>管理员或授权审计人员可执行全链验证：系统按密钥版本重算每条记录摘要并核对前后链。审计表通过数据库触发器禁止更新和删除。发现断链、摘要不一致或未知密钥版本时，应立即停止相关业务、保存证据并执行安全事件流程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13.4 保存期边界</w:t>
      </w:r>
    </w:p>
    <w:p>
      <w:pPr/>
      <w:r>
        <w:rPr>
          <w:rFonts w:ascii="Arial Unicode MS" w:hAnsi="Arial Unicode MS" w:eastAsia="Arial Unicode MS" w:cs="Arial Unicode MS"/>
        </w:rPr>
        <w:t>代码实现了不可变与可检测篡改，但“永久保存”与“至少10年”的业务/法规口径仍需质量和法规人员确认，并配置独立长期归档、恢复读取与密钥保管流程。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14. 数据治理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14.1 科学分类与产业分类</w:t>
      </w:r>
    </w:p>
    <w:p>
      <w:pPr/>
      <w:r>
        <w:rPr>
          <w:rFonts w:ascii="Arial Unicode MS" w:hAnsi="Arial Unicode MS" w:eastAsia="Arial Unicode MS" w:cs="Arial Unicode MS"/>
        </w:rPr>
        <w:t>支持树形科学分类、产业分类、父子调整、排序、启停和科学分类到产业分类多对多映射。树操作使用事务锁避免并发成环；在用分类不能删除。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14.2 标签</w:t>
      </w:r>
    </w:p>
    <w:p>
      <w:pPr/>
      <w:r>
        <w:rPr>
          <w:rFonts w:ascii="Arial Unicode MS" w:hAnsi="Arial Unicode MS" w:eastAsia="Arial Unicode MS" w:cs="Arial Unicode MS"/>
        </w:rPr>
        <w:t>支持标签名称、颜色、分组和状态。标签名称统一规范为小写并避免大小写重复；停用标签不能新绑定。模板和数据集主表字符串与关联表保持同一规范；在用标签不能重命名或删除。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14.3 部门与负责人</w:t>
      </w:r>
    </w:p>
    <w:p>
      <w:pPr/>
      <w:r>
        <w:rPr>
          <w:rFonts w:ascii="Arial Unicode MS" w:hAnsi="Arial Unicode MS" w:eastAsia="Arial Unicode MS" w:cs="Arial Unicode MS"/>
        </w:rPr>
        <w:t>支持部门树、编码、上级部门、负责人、排序和状态。负责人必须为有效用户；停用或删除负责人前必须先移交。部门删除会检查子部门、用户和共享依赖。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14.4 角色与权限</w:t>
      </w:r>
    </w:p>
    <w:p>
      <w:pPr/>
      <w:r>
        <w:rPr>
          <w:rFonts w:ascii="Arial Unicode MS" w:hAnsi="Arial Unicode MS" w:eastAsia="Arial Unicode MS" w:cs="Arial Unicode MS"/>
        </w:rPr>
        <w:t>支持角色新增、编辑、启停和删除；权限以模块树多选。角色修改使用版本CAS。非管理员只能授予自己持有且权限不超出自身的角色；ADMIN角色必须保留全部启用权限，避免治理自锁。角色被用户或共享引用时不能删除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14.5 数据域</w:t>
      </w:r>
    </w:p>
    <w:p>
      <w:pPr/>
      <w:r>
        <w:rPr>
          <w:rFonts w:ascii="Arial Unicode MS" w:hAnsi="Arial Unicode MS" w:eastAsia="Arial Unicode MS" w:cs="Arial Unicode MS"/>
        </w:rPr>
        <w:t>支持部门、项目、产品线等数据域类型，维护编码、名称、说明、状态和版本。数据域被模板版本、数据集、设备、归档历史或共享引用时不能删除。非管理员不能授予GLOBAL或自身未直接拥有的数据域。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14.6 数据字典</w:t>
      </w:r>
    </w:p>
    <w:p>
      <w:pPr/>
      <w:r>
        <w:rPr>
          <w:rFonts w:ascii="Arial Unicode MS" w:hAnsi="Arial Unicode MS" w:eastAsia="Arial Unicode MS" w:cs="Arial Unicode MS"/>
        </w:rPr>
        <w:t>支持字典与字典项新增、编辑、启停、排序和删除。设备协议、数据重要性等业务字典会在使用时校验；被设备、数据集或生命周期策略引用的字典项不能删除。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14.7 菜单权限</w:t>
      </w:r>
    </w:p>
    <w:p>
      <w:pPr/>
      <w:r>
        <w:rPr>
          <w:rFonts w:ascii="Arial Unicode MS" w:hAnsi="Arial Unicode MS" w:eastAsia="Arial Unicode MS" w:cs="Arial Unicode MS"/>
        </w:rPr>
        <w:t>支持菜单树、名称、编码、路由、图标、权限码、排序和状态。父菜单停用后子菜单不会出现在动态导航。菜单只控制可见性，后端接口仍独立执行权限校验。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14.8 平台界面配置</w:t>
      </w:r>
    </w:p>
    <w:p>
      <w:pPr/>
      <w:r>
        <w:rPr>
          <w:rFonts w:ascii="Arial Unicode MS" w:hAnsi="Arial Unicode MS" w:eastAsia="Arial Unicode MS" w:cs="Arial Unicode MS"/>
        </w:rPr>
        <w:t>可设置主色、基础字号、圆角和内容间距，保存后全局生效。配置使用版本CAS和二级确认；登录后的主布局读取配置并写入CSS变量。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14.9 主数据、元数据、单位和数据质量原型</w:t>
      </w:r>
    </w:p>
    <w:p>
      <w:pPr/>
      <w:r>
        <w:rPr>
          <w:rFonts w:ascii="Arial Unicode MS" w:hAnsi="Arial Unicode MS" w:eastAsia="Arial Unicode MS" w:cs="Arial Unicode MS"/>
        </w:rPr>
        <w:t>“主数据”“元数据”“单位管理”“数据质量”目前为前端原型，展示目录、血缘、规则健康和标准对象的未来界面，不写入正式治理表。正式治理能力以分类、标签、部门、角色、数据域、字典、菜单和界面配置为准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15. 系统管理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15.1 注册审核</w:t>
      </w:r>
    </w:p>
    <w:p>
      <w:pPr/>
      <w:r>
        <w:rPr>
          <w:rFonts w:ascii="Arial Unicode MS" w:hAnsi="Arial Unicode MS" w:eastAsia="Arial Unicode MS" w:cs="Arial Unicode MS"/>
        </w:rPr>
        <w:t>管理员按用户名/姓名和状态筛选申请。列表仅显示脱敏的已验证目标。批准时选择角色、直接数据域、部门并填写审核意见；驳回时填写理由。审核使用版本、二级确认和事务互斥，批准/驳回并发只有一个成功。通用启用接口不能绕过待审状态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15.2 用户管理</w:t>
      </w:r>
    </w:p>
    <w:p>
      <w:pPr/>
      <w:r>
        <w:rPr>
          <w:rFonts w:ascii="Arial Unicode MS" w:hAnsi="Arial Unicode MS" w:eastAsia="Arial Unicode MS" w:cs="Arial Unicode MS"/>
        </w:rPr>
        <w:t>支持查询、新增、编辑基本资料、授权、启停、重置密码、逻辑删除和批量导入：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新增用户时分配初始角色、数据域、部门和状态；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编辑资料不允许夹带部门授权，部门变更只能走授权接口；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授权可多选角色和直接数据域，并设置部门和原因；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启停、授权和删除使用版本/锁和二级确认；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非管理员不能管理ADMIN或权限超出自身的目标；系统保证至少一名启用管理员；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重置密码返回一次性临时密码，旧会话和二级密码被撤销；关闭弹窗后不再显示；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用户被设为部门负责人时，停用/删除前必须先移交。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15.3 用户批量导入</w:t>
      </w:r>
    </w:p>
    <w:p>
      <w:pPr/>
      <w:r>
        <w:rPr>
          <w:rFonts w:ascii="Arial Unicode MS" w:hAnsi="Arial Unicode MS" w:eastAsia="Arial Unicode MS" w:cs="Arial Unicode MS"/>
        </w:rPr>
        <w:t>支持 CSV/XLSX，表头为：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username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realName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email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phone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departmentCode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roleCodes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scopeCodes</w:t>
      </w:r>
      <w:r>
        <w:rPr>
          <w:rFonts w:ascii="Arial Unicode MS" w:hAnsi="Arial Unicode MS" w:eastAsia="Arial Unicode MS" w:cs="Arial Unicode MS"/>
        </w:rPr>
        <w:t>、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status</w:t>
      </w:r>
      <w:r>
        <w:rPr>
          <w:rFonts w:ascii="Arial Unicode MS" w:hAnsi="Arial Unicode MS" w:eastAsia="Arial Unicode MS" w:cs="Arial Unicode MS"/>
        </w:rPr>
        <w:t xml:space="preserve">；多个角色或数据域用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|</w:t>
      </w:r>
      <w:r>
        <w:rPr>
          <w:rFonts w:ascii="Arial Unicode MS" w:hAnsi="Arial Unicode MS" w:eastAsia="Arial Unicode MS" w:cs="Arial Unicode MS"/>
        </w:rPr>
        <w:t xml:space="preserve"> 分隔。上传前二级确认绑定原因、文件大小和SHA-256，不能换文件复用proof。结果逐行显示成功、失败和一次性临时密码。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15.4 共享管理</w:t>
      </w:r>
    </w:p>
    <w:p>
      <w:pPr/>
      <w:r>
        <w:rPr>
          <w:rFonts w:ascii="Arial Unicode MS" w:hAnsi="Arial Unicode MS" w:eastAsia="Arial Unicode MS" w:cs="Arial Unicode MS"/>
        </w:rPr>
        <w:t>系统管理页可查询规则状态、资源、接收者、操作、有效期和原因。创建或撤销规则均需要二级确认和审计；撤销从接收者下一次请求起失效。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15.5 角色权限与数据域查看</w:t>
      </w:r>
    </w:p>
    <w:p>
      <w:pPr/>
      <w:r>
        <w:rPr>
          <w:rFonts w:ascii="Arial Unicode MS" w:hAnsi="Arial Unicode MS" w:eastAsia="Arial Unicode MS" w:cs="Arial Unicode MS"/>
        </w:rPr>
        <w:t>系统管理页提供角色和数据域摘要；完整CRUD在“数据治理/系统管理”的治理页面完成。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15.6 系统日志原型</w:t>
      </w:r>
    </w:p>
    <w:p>
      <w:pPr/>
      <w:r>
        <w:rPr>
          <w:rFonts w:ascii="Arial Unicode MS" w:hAnsi="Arial Unicode MS" w:eastAsia="Arial Unicode MS" w:cs="Arial Unicode MS"/>
        </w:rPr>
        <w:t>“系统日志”当前为前端原型，用于展示登录、接口、任务和异常日志的未来检索界面。正式证据以审计中心、Actuator/Prometheus和Nginx结构化日志为准。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16. 前端原型功能总览</w:t>
      </w:r>
    </w:p>
    <w:p>
      <w:pPr/>
      <w:r>
        <w:rPr>
          <w:rFonts w:ascii="Arial Unicode MS" w:hAnsi="Arial Unicode MS" w:eastAsia="Arial Unicode MS" w:cs="Arial Unicode MS"/>
        </w:rPr>
        <w:t>以下页面用于展示业务信息架构，不写入数据库。页面中的“新建演示”“批量导入”“运行分析”等按钮只触发演示弹窗。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导航域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原型页面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数据资产中心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资产总览（混合）、材料库、工艺库、产品库、性能数据库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全链路追溯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追溯记录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研发数据中心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研发项目、实验管理、工艺实验、仿真管理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生产数据中心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生产总览、工单、工序、生产批次、实时数据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质量数据中心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检验记录、CT/金相、硬度/厚度、疲劳试验、缺陷分析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数据分析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工艺对比、性能对比、批次对比、参数相关性、趋势分析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数据集成中心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集成总览（混合）、同步任务（混合）、同步日志（混合）、异常队列（混合）</w:t>
            </w:r>
          </w:p>
        </w:tc>
      </w:tr>
      <w:tr>
        <w:trPr>
          <w:cantSplit/>
        </w:trPr>
        <w:tc>
          <w:tcPr>
            <w:tcW w:type="dxa" w:w="2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数据治理</w:t>
            </w:r>
          </w:p>
        </w:tc>
        <w:tc>
          <w:tcPr>
            <w:tcW w:type="dxa" w:w="70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主数据、元数据、单位管理、数据质量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系统管理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系统日志</w:t>
            </w:r>
          </w:p>
        </w:tc>
      </w:tr>
    </w:tbl>
    <w:p>
      <w:pPr>
        <w:spacing w:after="40"/>
      </w:pPr>
    </w:p>
    <w:p>
      <w:pPr/>
      <w:r>
        <w:rPr>
          <w:rFonts w:ascii="Arial Unicode MS" w:hAnsi="Arial Unicode MS" w:eastAsia="Arial Unicode MS" w:cs="Arial Unicode MS"/>
        </w:rPr>
        <w:t>原型数据包含固定示例编码、对象、状态、来源、负责人、图表和洞察，适合演示导航和视觉方向，不可用于生产决策、统计、审计或导出验收。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17. 运维、健康与备份恢复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17.1 健康与监控</w:t>
      </w:r>
    </w:p>
    <w:p>
      <w:pPr/>
      <w:r>
        <w:rPr>
          <w:rFonts w:ascii="Arial Unicode MS" w:hAnsi="Arial Unicode MS" w:eastAsia="Arial Unicode MS" w:cs="Arial Unicode MS"/>
        </w:rPr>
        <w:t xml:space="preserve">顶部状态每30秒访问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/actuator/health</w:t>
      </w:r>
      <w:r>
        <w:rPr>
          <w:rFonts w:ascii="Arial Unicode MS" w:hAnsi="Arial Unicode MS" w:eastAsia="Arial Unicode MS" w:cs="Arial Unicode MS"/>
        </w:rPr>
        <w:t>，显示“服务正常/服务异常”。Actuator同时暴露 health、info、metrics和prometheus。生产应由监控系统采集指标和告警，不能只依赖浏览器指示灯。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17.2 容器化启动</w:t>
      </w:r>
    </w:p>
    <w:p>
      <w:pPr/>
      <w:r>
        <w:rPr>
          <w:rFonts w:ascii="Arial Unicode MS" w:hAnsi="Arial Unicode MS" w:eastAsia="Arial Unicode MS" w:cs="Arial Unicode MS"/>
        </w:rPr>
        <w:t xml:space="preserve">正式Compose由 PostgreSQL、MongoDB、Redis、后端和Nginx/Vue组成。复制 </w:t>
      </w:r>
      <w:r>
        <w:rPr>
          <w:rFonts w:ascii="Arial Unicode MS" w:hAnsi="Arial Unicode MS" w:eastAsia="Arial Unicode MS" w:cs="Arial Unicode MS"/>
          <w:color w:val="1F4D78"/>
          <w:sz w:val="19"/>
          <w:shd w:fill="EEF2F5"/>
        </w:rPr>
        <w:t>.env.example</w:t>
      </w:r>
      <w:r>
        <w:rPr>
          <w:rFonts w:ascii="Arial Unicode MS" w:hAnsi="Arial Unicode MS" w:eastAsia="Arial Unicode MS" w:cs="Arial Unicode MS"/>
        </w:rPr>
        <w:t xml:space="preserve"> 后替换所有示例密码和密钥，再使用 app profile 启动。生产必须启用TLS、安全Cookie、受信代理来源IP和持久归档卷。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17.3 跨库一致备份 BAK-002</w:t>
      </w:r>
    </w:p>
    <w:p>
      <w:pPr/>
      <w:r>
        <w:rPr>
          <w:rFonts w:ascii="Arial Unicode MS" w:hAnsi="Arial Unicode MS" w:eastAsia="Arial Unicode MS" w:cs="Arial Unicode MS"/>
        </w:rPr>
        <w:t>停写维护窗口下，工具生成同一逻辑恢复点：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PostgreSQL custom dump；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MongoDB/GridFS archive；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Flyway版本、关键表/集合计数；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PostgreSQL可用附件引用、GridFS文件/分块清单；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每个文件SHA-256和版本化HMAC manifest。</w:t>
      </w:r>
    </w:p>
    <w:p>
      <w:pPr/>
      <w:r>
        <w:rPr>
          <w:rFonts w:ascii="Arial Unicode MS" w:hAnsi="Arial Unicode MS" w:eastAsia="Arial Unicode MS" w:cs="Arial Unicode MS"/>
        </w:rPr>
        <w:t>创建和恢复前必须停止所有写入者；存在未收敛Outbox、生命周期转换、分片上传或集成租约时拒绝备份。Redis不进入耐久包，恢复后应清空短期状态并要求用户重新登录。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17.4 备份验证与恢复</w:t>
      </w:r>
    </w:p>
    <w:p>
      <w:pPr/>
      <w:r>
        <w:rPr>
          <w:rFonts w:ascii="Arial Unicode MS" w:hAnsi="Arial Unicode MS" w:eastAsia="Arial Unicode MS" w:cs="Arial Unicode MS"/>
        </w:rPr>
        <w:t>恢复前先离线验证归档和HMAC，使用精确backupId二次确认；恢复后自动核对Flyway、计数、附件引用和GridFS分块。备份包权限应为0600，并保存于加密介质。HMAC只提供完整性与来源证明，不提供加密保密。</w:t>
      </w:r>
    </w:p>
    <w:p>
      <w:pPr>
        <w:pStyle w:val="Heading2"/>
      </w:pPr>
      <w:r>
        <w:rPr>
          <w:rFonts w:ascii="Arial Unicode MS" w:hAnsi="Arial Unicode MS" w:eastAsia="Arial Unicode MS" w:cs="Arial Unicode MS"/>
        </w:rPr>
        <w:t>17.5 仍需部署侧完成的能力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PostgreSQL WAL/PITR和实时副本；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周全量、日增量和异地介质；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独立NAS/归档服务器与生产RPO/RTO演练；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真实邮件/短信、病毒扫描、厂商设备和MES/PLM/ERP联调；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浏览器E2E、性能、渗透、长期可用性和法规签署。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18. 常见问题与错误处理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800"/>
        <w:gridCol w:w="5160"/>
      </w:tblGrid>
      <w:tr>
        <w:trPr>
          <w:tblHeader w:val="true"/>
          <w:cantSplit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现象/状态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常见原因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处理建议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400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字段格式、版本、状态或业务约束不满足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阅读提示，刷新详情后按当前版本重试</w:t>
            </w:r>
          </w:p>
        </w:tc>
      </w:tr>
      <w:tr>
        <w:trPr>
          <w:cantSplit/>
        </w:trP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401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未登录、会话过期、设备/HMAC/OAuth认证失败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重新登录；设备/集成检查时间戳、密钥、canonical和令牌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403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缺模块权限、数据域或资源操作权限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联系管理员核对角色、直接数据域和共享操作</w:t>
            </w:r>
          </w:p>
        </w:tc>
      </w:tr>
      <w:tr>
        <w:trPr>
          <w:cantSplit/>
        </w:trP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404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资源不存在，或系统为防止枚举而隐藏无权资源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从有权列表进入，不要手工猜测ID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409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乐观版本冲突、重复幂等键变载荷、状态占用或依赖删除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刷新页面；不要重复旧表单；检查关联对象</w:t>
            </w:r>
          </w:p>
        </w:tc>
      </w:tr>
      <w:tr>
        <w:trPr>
          <w:cantSplit/>
        </w:trP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413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登录/注册、Webhook或文件超过上限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缩小请求；大文件使用分片上传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416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Range请求不合法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使用合法单范围或重新完整下载</w:t>
            </w:r>
          </w:p>
        </w:tc>
      </w:tr>
      <w:tr>
        <w:trPr>
          <w:cantSplit/>
        </w:trP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428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缺失、过期或绑定不一致的二级确认proof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重新打开二级确认弹窗，对当前操作重新签发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429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登录、验证码、设备或Webhook限流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等待窗口恢复，不要持续重试</w:t>
            </w:r>
          </w:p>
        </w:tc>
      </w:tr>
      <w:tr>
        <w:trPr>
          <w:cantSplit/>
        </w:trPr>
        <w:tc>
          <w:tcPr>
            <w:tcW w:type="dxa" w:w="14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503</w:t>
            </w:r>
          </w:p>
        </w:tc>
        <w:tc>
          <w:tcPr>
            <w:tcW w:type="dxa" w:w="2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Redis失败关闭、外部OAuth/交付超时、归档/存储暂不可用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查看审计和健康状态，恢复依赖后按状态机重试</w:t>
            </w:r>
          </w:p>
        </w:tc>
      </w:tr>
    </w:tbl>
    <w:p>
      <w:pPr>
        <w:spacing w:after="40"/>
      </w:pPr>
    </w:p>
    <w:p>
      <w:pPr/>
      <w:r>
        <w:rPr>
          <w:rFonts w:ascii="Arial Unicode MS" w:hAnsi="Arial Unicode MS" w:eastAsia="Arial Unicode MS" w:cs="Arial Unicode MS"/>
        </w:rPr>
        <w:t>操作原则：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出现版本冲突时先刷新，不要反复提交旧页面。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导出、附件包或大文件操作失败时不要忽略审计提示。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审计链、电子签名或归档摘要校验失败时禁止继续发布/恢复。</w:t>
      </w:r>
    </w:p>
    <w:p>
      <w:pPr>
        <w:numPr>
          <w:ilvl w:val="0"/>
          <w:numId w:val="10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人工修改 PostgreSQL、MongoDB或GridFS可能破坏跨库一致性，只能按批准的运维流程执行。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19. 主要接口速查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160"/>
        <w:gridCol w:w="2100"/>
      </w:tblGrid>
      <w:tr>
        <w:trPr>
          <w:tblHeader w:val="true"/>
          <w:cantSplit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模块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主要接口前缀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功能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认证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/api/auth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验证码、登录、刷新、注册配置、发码、注册、退出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个人中心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/api/user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资料、登录密码、二级密码、step-up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驾驶舱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/api/dashboard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平台指标、决策报表、快捷搜索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模板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/api/templates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CRUD、版本、恢复、发布、审核、启停、收藏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数据集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/api/datasets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CRUD、记录、导入、导出、附件包、下载票据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记录工作流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/api/datasets/{id}/records/{recordId}/workflow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提交、审核、发布、签名列表与验真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搜索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/api/search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组合检索、历史、建议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追溯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/api/trace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实体、关系、图谱、节点证据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设备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/api/devices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/api/device-ingest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登记、密钥、轮询、测量和设备HMAC采集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文件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/api/files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列表、批量上传、分片续传、预览、Range下载、删除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生命周期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/api/lifecycle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策略、重要性、预览、归档、恢复、保留例外、对账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集成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/api/integrations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配置、映射、作业、死信、重放、对账、Webhook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审计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/api/audits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查询、导出和全链验证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共享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/api/shares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规则、我的共享、选项、创建与撤销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系统管理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/api/admin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用户、授权、注册审核、导入、重置、启停、删除</w:t>
            </w:r>
          </w:p>
        </w:tc>
      </w:tr>
      <w:tr>
        <w:trPr>
          <w:cantSplit/>
        </w:trPr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治理</w:t>
            </w:r>
          </w:p>
        </w:tc>
        <w:tc>
          <w:tcPr>
            <w:tcW w:type="dxa" w:w="5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/api/governance</w:t>
            </w:r>
          </w:p>
        </w:tc>
        <w:tc>
          <w:tcPr>
            <w:tcW w:type="dxa" w:w="2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分类、标签、部门、角色、数据域、字典、菜单、界面配置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 w:cs="Arial Unicode MS"/>
        </w:rPr>
        <w:t>20. 主要权限速查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2700"/>
        <w:gridCol w:w="28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功能域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读取/进入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创建/修改</w:t>
            </w:r>
          </w:p>
        </w:tc>
        <w:tc>
          <w:tcPr>
            <w:tcW w:type="dxa" w:w="2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173B57"/>
                <w:sz w:val="18"/>
              </w:rPr>
              <w:t>审核/发布/专项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模板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template:read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template:create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template:update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template:delete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template:publish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template:audit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数据集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dataset:read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dataset:create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dataset:update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dataset:delete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dataset:import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dataset:audit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dataset:publish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dataset:export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文件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file:read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file:upload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file:delete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资源级DOWNLOAD共享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追溯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trace:read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trace:write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节点证据另受文件权限控制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设备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device:read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device:manage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设备专用HMAC不使用人员会话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生命周期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lifecycle:read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lifecycle:manage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lifecycle:archive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restore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hold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集成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integration:read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integration:manage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integration:retry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审计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audit:read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—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audit:export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驾驶舱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dashboard:read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—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 xml:space="preserve">报表导出还需 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dataset:export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共享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share:read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share:manage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share:revoke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用户/角色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user:read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user:manage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role:manage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permission:assign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治理</w:t>
            </w:r>
          </w:p>
        </w:tc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governance:read</w:t>
            </w:r>
          </w:p>
        </w:tc>
        <w:tc>
          <w:tcPr>
            <w:tcW w:type="dxa" w:w="2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classification:manage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tag:manage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dictionary:manage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menu:manage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ui:manage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organization:manage</w:t>
            </w:r>
            <w:r>
              <w:rPr>
                <w:rFonts w:ascii="Arial Unicode MS" w:hAnsi="Arial Unicode MS" w:eastAsia="Arial Unicode MS" w:cs="Arial Unicode MS"/>
              </w:rPr>
              <w:t>、</w:t>
            </w:r>
            <w:r>
              <w:rPr>
                <w:rFonts w:ascii="Arial Unicode MS" w:hAnsi="Arial Unicode MS" w:eastAsia="Arial Unicode MS" w:cs="Arial Unicode MS"/>
                <w:color w:val="1F4D78"/>
                <w:sz w:val="19"/>
                <w:shd w:fill="EEF2F5"/>
              </w:rPr>
              <w:t>data-scope:manage</w:t>
            </w:r>
          </w:p>
        </w:tc>
        <w:tc>
          <w:tcPr>
            <w:tcW w:type="dxa" w:w="28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  <w:spacing w:after="0"/>
            </w:pPr>
            <w:r>
              <w:rPr>
                <w:rFonts w:ascii="Arial Unicode MS" w:hAnsi="Arial Unicode MS" w:eastAsia="Arial Unicode MS" w:cs="Arial Unicode MS"/>
              </w:rPr>
              <w:t>权限变更需二级确认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 Unicode MS" w:hAnsi="Arial Unicode MS" w:eastAsia="Arial Unicode MS" w:cs="Arial Unicode MS"/>
        </w:rPr>
        <w:t>21. 上线与验收提醒</w:t>
      </w:r>
    </w:p>
    <w:p>
      <w:pPr/>
      <w:r>
        <w:rPr>
          <w:rFonts w:ascii="Arial Unicode MS" w:hAnsi="Arial Unicode MS" w:eastAsia="Arial Unicode MS" w:cs="Arial Unicode MS"/>
        </w:rPr>
        <w:t>本手册覆盖当前代码中的全部正式页面、正式后台能力、混合展示和前端原型。它说明“软件能做什么、用户如何操作”，不等同于合同或法规验收。上线前至少还应完成：</w:t>
      </w:r>
    </w:p>
    <w:p>
      <w:pPr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初始组织、角色、权限矩阵、数据域、字典和菜单的业务签字。</w:t>
      </w:r>
    </w:p>
    <w:p>
      <w:pPr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真实邮件/短信、病毒扫描、设备与MES/PLM/ERP联调。</w:t>
      </w:r>
    </w:p>
    <w:p>
      <w:pPr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TLS、可信代理、受信DNS、出口防火墙、密钥管理和独立归档/NAS配置。</w:t>
      </w:r>
    </w:p>
    <w:p>
      <w:pPr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性能、容量、浏览器兼容、渗透、长期可用性和备份RPO/RTO演练。</w:t>
      </w:r>
    </w:p>
    <w:p>
      <w:pPr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ISO 13485、21 CFR Part 11、GDPR等适用性评估、SOP和质量/法规签署。</w:t>
      </w:r>
    </w:p>
    <w:p>
      <w:pPr>
        <w:numPr>
          <w:ilvl w:val="0"/>
          <w:numId w:val="21"/>
        </w:numPr>
        <w:spacing w:after="80" w:line="300" w:lineRule="auto"/>
        <w:ind w:left="540" w:hanging="271"/>
      </w:pPr>
      <w:r>
        <w:rPr>
          <w:rFonts w:ascii="Arial Unicode MS" w:hAnsi="Arial Unicode MS" w:eastAsia="Arial Unicode MS" w:cs="Arial Unicode MS"/>
        </w:rPr>
        <w:t>浏览器E2E、专项故障/并发测试和正式用户验收记录。</w:t>
      </w:r>
    </w:p>
    <w:p>
      <w:pPr/>
      <w:r>
        <w:rPr>
          <w:rFonts w:ascii="Arial Unicode MS" w:hAnsi="Arial Unicode MS" w:eastAsia="Arial Unicode MS" w:cs="Arial Unicode MS"/>
        </w:rPr>
        <w:t>当页面原型与正式能力并存时，以本手册的状态标识、后端接口和审计记录为准。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embedRegular r:id="rId1" w:fontKey="{9DCF512F-9F41-4FC2-BE3A-9B5206AB147D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Arial Unicode MS" w:hAnsi="Arial Unicode MS" w:eastAsia="Arial Unicode MS" w:cs="Arial Unicode MS"/>
        <w:color w:val="657684"/>
        <w:sz w:val="17"/>
      </w:rPr>
      <w:t xml:space="preserve">代码基线 537a0a4  · 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 w:cs="Arial Unicode MS"/>
        <w:color w:val="657684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/>
    <w:r>
      <w:rPr>
        <w:rFonts w:ascii="Arial Unicode MS" w:hAnsi="Arial Unicode MS" w:eastAsia="Arial Unicode MS" w:cs="Arial Unicode MS"/>
        <w:color w:val="657684"/>
        <w:sz w:val="17"/>
      </w:rPr>
      <w:t>研发与生产大数据平台｜功能手册</w:t>
    </w:r>
    <w:r>
      <w:rPr>
        <w:rFonts w:ascii="Arial Unicode MS" w:hAnsi="Arial Unicode MS" w:eastAsia="Arial Unicode MS" w:cs="Arial Unicode MS"/>
        <w:color w:val="657684"/>
        <w:sz w:val="17"/>
      </w:rPr>
      <w:tab/>
      <w:t>V1.0 · V33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ind w:left="540" w:hanging="270"/>
      </w:pPr>
    </w:lvl>
  </w:abstract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 w:cs="Arial Unicode MS"/>
      <w:color w:val="20313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CoverTitle">
    <w:name w:val="Manual Cover Title"/>
    <w:pPr>
      <w:spacing w:before="0" w:after="100" w:line="276" w:lineRule="auto"/>
      <w:jc w:val="center"/>
    </w:pPr>
    <w:rPr>
      <w:rFonts w:ascii="Arial Unicode MS" w:hAnsi="Arial Unicode MS" w:eastAsia="Arial Unicode MS" w:cs="Arial Unicode MS"/>
      <w:b/>
      <w:color w:val="173B57"/>
      <w:sz w:val="60"/>
    </w:rPr>
  </w:style>
  <w:style w:type="paragraph" w:customStyle="1" w:styleId="ManualCoverSubtitle">
    <w:name w:val="Manual Cover Subtitle"/>
    <w:pPr>
      <w:spacing w:before="0" w:after="100" w:line="276" w:lineRule="auto"/>
      <w:jc w:val="center"/>
    </w:pPr>
    <w:rPr>
      <w:rFonts w:ascii="Arial Unicode MS" w:hAnsi="Arial Unicode MS" w:eastAsia="Arial Unicode MS" w:cs="Arial Unicode MS"/>
      <w:b w:val="0"/>
      <w:color w:val="1F4D78"/>
      <w:sz w:val="28"/>
    </w:rPr>
  </w:style>
  <w:style w:type="paragraph" w:customStyle="1" w:styleId="ManualKicker">
    <w:name w:val="Manual Kicker"/>
    <w:pPr>
      <w:spacing w:before="0" w:after="100" w:line="276" w:lineRule="auto"/>
      <w:jc w:val="center"/>
    </w:pPr>
    <w:rPr>
      <w:rFonts w:ascii="Arial Unicode MS" w:hAnsi="Arial Unicode MS" w:eastAsia="Arial Unicode MS" w:cs="Arial Unicode MS"/>
      <w:b/>
      <w:color w:val="2E74B5"/>
      <w:sz w:val="20"/>
    </w:rPr>
  </w:style>
  <w:style w:type="paragraph" w:customStyle="1" w:styleId="ManualMeta">
    <w:name w:val="Manual Meta"/>
    <w:pPr>
      <w:spacing w:before="0" w:after="100" w:line="276" w:lineRule="auto"/>
      <w:jc w:val="left"/>
    </w:pPr>
    <w:rPr>
      <w:rFonts w:ascii="Arial Unicode MS" w:hAnsi="Arial Unicode MS" w:eastAsia="Arial Unicode MS" w:cs="Arial Unicode MS"/>
      <w:b w:val="0"/>
      <w:color w:val="20313E"/>
      <w:sz w:val="20"/>
    </w:rPr>
  </w:style>
  <w:style w:type="paragraph" w:customStyle="1" w:styleId="TableText">
    <w:name w:val="Table Text"/>
    <w:pPr>
      <w:spacing w:before="0" w:after="100" w:line="276" w:lineRule="auto"/>
      <w:jc w:val="left"/>
    </w:pPr>
    <w:rPr>
      <w:rFonts w:ascii="Arial Unicode MS" w:hAnsi="Arial Unicode MS" w:eastAsia="Arial Unicode MS" w:cs="Arial Unicode MS"/>
      <w:b w:val="0"/>
      <w:color w:val="20313E"/>
      <w:sz w:val="18"/>
    </w:rPr>
  </w:style>
  <w:style w:type="paragraph" w:customStyle="1" w:styleId="TOCEntry">
    <w:name w:val="TOC Entry"/>
    <w:pPr>
      <w:spacing w:before="0" w:after="100" w:line="276" w:lineRule="auto"/>
      <w:jc w:val="left"/>
    </w:pPr>
    <w:rPr>
      <w:rFonts w:ascii="Arial Unicode MS" w:hAnsi="Arial Unicode MS" w:eastAsia="Arial Unicode MS" w:cs="Arial Unicode MS"/>
      <w:b w:val="0"/>
      <w:color w:val="20313E"/>
      <w:sz w:val="21"/>
    </w:rPr>
  </w:style>
  <w:style w:type="paragraph" w:customStyle="1" w:styleId="SmallNote">
    <w:name w:val="Small Note"/>
    <w:pPr>
      <w:spacing w:before="0" w:after="100" w:line="276" w:lineRule="auto"/>
      <w:jc w:val="left"/>
    </w:pPr>
    <w:rPr>
      <w:rFonts w:ascii="Arial Unicode MS" w:hAnsi="Arial Unicode MS" w:eastAsia="Arial Unicode MS" w:cs="Arial Unicode MS"/>
      <w:b w:val="0"/>
      <w:color w:val="65768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rialUnicodeM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研发与生产大数据平台功能手册</dc:title>
  <dc:subject>当前代码全部功能、权限、流程与运维边界</dc:subject>
  <dc:creator>项目组</dc:creator>
  <cp:keywords>研发数据,生产数据,数据治理,追溯,审计,生命周期,系统集成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