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Индивидуальное задание 9</w:t>
        <w:br/>
        <w:t>Прогноз медицинских расходов</w:t>
      </w:r>
    </w:p>
    <w:p>
      <w:r>
        <w:rPr>
          <w:b w:val="0"/>
        </w:rPr>
        <w:t>Дисциплина: Машинное обучение</w:t>
      </w:r>
    </w:p>
    <w:p>
      <w:r>
        <w:rPr>
          <w:b w:val="0"/>
        </w:rPr>
        <w:t>Цель работы — по сведениям о клиенте предсказать его медицинские расходы (charges) в долларах и проверить, насколько точен такой прогноз на ранее не использованных данных.</w:t>
      </w:r>
    </w:p>
    <w:p>
      <w:pPr>
        <w:pStyle w:val="Heading1"/>
      </w:pPr>
      <w:r>
        <w:t>1. Данные и подготовка</w:t>
      </w:r>
    </w:p>
    <w:p>
      <w:r>
        <w:rPr>
          <w:b w:val="0"/>
        </w:rPr>
        <w:t>Исходный файл insurance.csv содержит 1338 наблюдений и семь столбцов: возраст, пол, индекс массы тела (ИМТ), число детей, курение, регион и расходы. Пропусков нет. Обнаружена одна полностью повторяющаяся запись; после её удаления осталось 1337 наблюдений. Невозможных значений возраста, ИМТ, числа детей или расходов не найдено.</w:t>
      </w:r>
    </w:p>
    <w:p>
      <w:r>
        <w:rPr>
          <w:b w:val="0"/>
        </w:rPr>
        <w:t>По правилу межквартильного размаха расходы выше $34 524,78 выделяются как возможные выбросы: таких наблюдений 139, среди них 136 курящих. Это статистический сигнал, а не доказательство ошибки записи. Поэтому высокие расходы сохранены: удаление почти всех дорогих случаев исказило бы задачу прогнозирования.</w:t>
      </w:r>
    </w:p>
    <w:p>
      <w:r>
        <w:rPr>
          <w:b w:val="0"/>
        </w:rPr>
        <w:t>Пол, курение и регион преобразованы в числовые индикаторы 0/1. Для региона создано несколько отдельных столбцов, поскольку номера регионов ошибочно задавали бы порядок между ними. Данные разделены на обучающую часть из 935 строк и тестовую из 402 строк с фиксированным random_state=42.</w:t>
      </w:r>
    </w:p>
    <w:p>
      <w:pPr>
        <w:pStyle w:val="Heading1"/>
      </w:pPr>
      <w:r>
        <w:t>2. Изучение признаков</w:t>
      </w:r>
    </w:p>
    <w:p>
      <w:r>
        <w:rPr>
          <w:b w:val="0"/>
        </w:rPr>
        <w:t>Графики распределения и связей построены по обучающей части. Расходы распределены неравномерно: большинство значений невысокие, но встречаются существенно более дорогие случаи.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264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harges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6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Рисунок 1. Распределение медицинских расходов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70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eatures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Рисунок 2. Расходы в зависимости от возраста, ИМТ, числа детей и курения</w:t>
      </w:r>
    </w:p>
    <w:p>
      <w:r>
        <w:rPr>
          <w:b w:val="0"/>
        </w:rPr>
        <w:t>Корреляции Пирсона на обучающей части: курение 0,776; возраст 0,287; ИМТ 0,160; число детей 0,096. Показатели пола и отдельных регионов по модулю меньше 0,06. Для простой модели выбраны три признака с наибольшей абсолютной корреляцией: курение, возраст и ИМТ. Корреляция показывает связь в этих данных, но сама по себе не доказывает причинное влияние.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064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l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6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Рисунок 3. Корреляция признаков с расходами</w:t>
      </w:r>
    </w:p>
    <w:p>
      <w:pPr>
        <w:pStyle w:val="Heading1"/>
      </w:pPr>
      <w:r>
        <w:t>3. Обучение и оценка</w:t>
      </w:r>
    </w:p>
    <w:p>
      <w:r>
        <w:rPr>
          <w:b w:val="0"/>
        </w:rPr>
        <w:t>Обучена линейная регрессия. Перед итоговой проверкой выполнена пятикратная кросс-валидация только на обучающей части. В каждом разбиении три признака выбирались заново по тренировочному фолду; проверочный фолд и отложенный тест на выбор признаков не влияли.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b/>
                <w:sz w:val="20"/>
              </w:rPr>
              <w:t>MAE, $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b/>
                <w:sz w:val="20"/>
              </w:rPr>
              <w:t>R²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b w:val="0"/>
                <w:sz w:val="20"/>
              </w:rPr>
              <w:t>Кросс-валидация, среднее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b w:val="0"/>
                <w:sz w:val="20"/>
              </w:rPr>
              <w:t>4,220.44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b w:val="0"/>
                <w:sz w:val="20"/>
              </w:rPr>
              <w:t>0.722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b w:val="0"/>
                <w:sz w:val="20"/>
              </w:rPr>
              <w:t>Отложенный тест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b w:val="0"/>
                <w:sz w:val="20"/>
              </w:rPr>
              <w:t>4,216.00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b w:val="0"/>
                <w:sz w:val="20"/>
              </w:rPr>
              <w:t>0.770</w:t>
            </w:r>
          </w:p>
        </w:tc>
      </w:tr>
    </w:tbl>
    <w:p>
      <w:r>
        <w:rPr>
          <w:b w:val="0"/>
        </w:rPr>
        <w:t>MAE — среднее абсолютное отклонение прогноза от фактической суммы. На тесте это около $4216 на клиента. R² = 0,770 означает, что модель объясняет около 77% разброса расходов на тестовой части. Это оценка качества на данном наборе данных, а не гарантия точности для каждого нового человека.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6977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edi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9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Рисунок 4. Фактические и предсказанные расходы на тестовой части</w:t>
      </w:r>
    </w:p>
    <w:p>
      <w:pPr>
        <w:pStyle w:val="Heading1"/>
      </w:pPr>
      <w:r>
        <w:t>4. Пример и вывод</w:t>
      </w:r>
    </w:p>
    <w:p>
      <w:r>
        <w:rPr>
          <w:b w:val="0"/>
        </w:rPr>
        <w:t>Для одного клиента из тестовой части фактические расходы составили $8,688.86, а прогноз — $8,310.82. Ошибка для этого клиента — $378.04. У другого клиента она может быть гораздо больше; MAE усредняет ошибки по всем 402 тестовым наблюдениям.</w:t>
      </w:r>
    </w:p>
    <w:p>
      <w:r>
        <w:rPr>
          <w:b w:val="0"/>
        </w:rPr>
        <w:t>Коэффициенты модели: курение +$22 905 при одинаковых возрасте и ИМТ, возраст +$256 за год, ИМТ +$312 за единицу. Это связи в данных, а не доказанные причинные эффекты. Для практического применения модель нужно дополнительно проверять: иногда линейная регрессия способна дать отрицательный прогноз.</w:t>
      </w:r>
    </w:p>
    <w:p>
      <w:r>
        <w:rPr>
          <w:b w:val="0"/>
        </w:rPr>
        <w:t>Вывод: прогноз полезен, но приблизителен. Сильнее всего с расходами связано курение. Высокие расходы сохранены, поэтому оценка включает и дорогие случаи.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