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Лабораторная работа 2. Мониторинг приложения через Prometheus</w:t>
      </w:r>
    </w:p>
    <w:p>
      <w:r>
        <w:t>Цель работы: настроить сбор метрик приложения, провести нагрузочные тесты и сравнить данные k6 с показателями Prometheus.</w:t>
      </w:r>
    </w:p>
    <w:p>
      <w:pPr>
        <w:pStyle w:val="Heading1"/>
      </w:pPr>
      <w:r>
        <w:t>1. Объект и настройка мониторинга</w:t>
      </w:r>
    </w:p>
    <w:p>
      <w:r>
        <w:t>Я тестировал страницу auth-service из проекта прошлого семестра. Приложение работает в локальном Kubernetes (K3s). Для этой работы я сделал отдельную копию Helm chart в папке ЛР2. Исходный проект: https://github.com/Wladisl4W/Y3-S2-Kubernetes.</w:t>
      </w:r>
    </w:p>
    <w:p>
      <w:r>
        <w:t>В auth-service добавлены счётчик HTTP-запросов, гистограмма времени обработки и маршрут /metrics. Prometheus установлен в namespace monitoring через Helm chart kube-prometheus-stack. ServiceMonitor находит сервис auth-service и опрашивает /metrics каждые 5 секунд.</w:t>
      </w:r>
    </w:p>
    <w:p>
      <w:pPr>
        <w:spacing w:line="240" w:lineRule="auto" w:after="60"/>
        <w:ind w:firstLine="0"/>
      </w:pPr>
      <w:r>
        <w:rPr>
          <w:rFonts w:ascii="Liberation Mono" w:hAnsi="Liberation Mono"/>
          <w:sz w:val="18"/>
        </w:rPr>
        <w:t>helm upgrade --install prometheus ./vendor/kube-prometheus-stack-89.2.0.tgz -n monitoring --create-namespace -f prometheus-values.yaml</w:t>
      </w:r>
    </w:p>
    <w:p>
      <w:pPr>
        <w:spacing w:line="240" w:lineRule="auto" w:after="60"/>
        <w:ind w:firstLine="0"/>
      </w:pPr>
      <w:r>
        <w:rPr>
          <w:rFonts w:ascii="Liberation Mono" w:hAnsi="Liberation Mono"/>
          <w:sz w:val="18"/>
        </w:rPr>
        <w:t>KUBECONFIG=$HOME/.kube/config k3s kubectl apply -f service-monitor.yaml</w:t>
      </w:r>
    </w:p>
    <w:p>
      <w:pPr>
        <w:spacing w:line="240" w:lineRule="auto" w:after="60"/>
        <w:ind w:firstLine="0"/>
      </w:pPr>
      <w:r>
        <w:rPr>
          <w:rFonts w:ascii="Liberation Mono" w:hAnsi="Liberation Mono"/>
          <w:sz w:val="18"/>
        </w:rPr>
        <w:t>KUBECONFIG=$HOME/.kube/config k3s kubectl -n monitoring get pods</w:t>
      </w:r>
    </w:p>
    <w:p>
      <w:pPr>
        <w:spacing w:after="0"/>
        <w:ind w:firstLine="0"/>
        <w:jc w:val="center"/>
      </w:pPr>
      <w:r>
        <w:drawing>
          <wp:inline xmlns:a="http://schemas.openxmlformats.org/drawingml/2006/main" xmlns:pic="http://schemas.openxmlformats.org/drawingml/2006/picture">
            <wp:extent cx="5580000" cy="1068047"/>
            <wp:docPr id="1" name="Picture 1"/>
            <wp:cNvGraphicFramePr>
              <a:graphicFrameLocks noChangeAspect="1"/>
            </wp:cNvGraphicFramePr>
            <a:graphic>
              <a:graphicData uri="http://schemas.openxmlformats.org/drawingml/2006/picture">
                <pic:pic>
                  <pic:nvPicPr>
                    <pic:cNvPr id="0" name="monitoring-pods.png"/>
                    <pic:cNvPicPr/>
                  </pic:nvPicPr>
                  <pic:blipFill>
                    <a:blip r:embed="rId9"/>
                    <a:stretch>
                      <a:fillRect/>
                    </a:stretch>
                  </pic:blipFill>
                  <pic:spPr>
                    <a:xfrm>
                      <a:off x="0" y="0"/>
                      <a:ext cx="5580000" cy="1068047"/>
                    </a:xfrm>
                    <a:prstGeom prst="rect"/>
                  </pic:spPr>
                </pic:pic>
              </a:graphicData>
            </a:graphic>
          </wp:inline>
        </w:drawing>
      </w:r>
    </w:p>
    <w:p>
      <w:pPr>
        <w:spacing w:line="240" w:lineRule="auto" w:before="40" w:after="160"/>
        <w:ind w:firstLine="0"/>
        <w:jc w:val="center"/>
      </w:pPr>
      <w:r>
        <w:rPr>
          <w:rFonts w:ascii="Times New Roman" w:hAnsi="Times New Roman"/>
          <w:sz w:val="24"/>
        </w:rPr>
        <w:t>Рисунок 1. Просмотр сохранённого списка подов мониторинга</w:t>
      </w:r>
    </w:p>
    <w:p>
      <w:pPr>
        <w:spacing w:after="0"/>
        <w:ind w:firstLine="0"/>
        <w:jc w:val="center"/>
      </w:pPr>
      <w:r>
        <w:drawing>
          <wp:inline xmlns:a="http://schemas.openxmlformats.org/drawingml/2006/main" xmlns:pic="http://schemas.openxmlformats.org/drawingml/2006/picture">
            <wp:extent cx="5580000" cy="3923438"/>
            <wp:docPr id="2" name="Picture 2"/>
            <wp:cNvGraphicFramePr>
              <a:graphicFrameLocks noChangeAspect="1"/>
            </wp:cNvGraphicFramePr>
            <a:graphic>
              <a:graphicData uri="http://schemas.openxmlformats.org/drawingml/2006/picture">
                <pic:pic>
                  <pic:nvPicPr>
                    <pic:cNvPr id="0" name="prometheus-targets.png"/>
                    <pic:cNvPicPr/>
                  </pic:nvPicPr>
                  <pic:blipFill>
                    <a:blip r:embed="rId10"/>
                    <a:stretch>
                      <a:fillRect/>
                    </a:stretch>
                  </pic:blipFill>
                  <pic:spPr>
                    <a:xfrm>
                      <a:off x="0" y="0"/>
                      <a:ext cx="5580000" cy="3923438"/>
                    </a:xfrm>
                    <a:prstGeom prst="rect"/>
                  </pic:spPr>
                </pic:pic>
              </a:graphicData>
            </a:graphic>
          </wp:inline>
        </w:drawing>
      </w:r>
    </w:p>
    <w:p>
      <w:pPr>
        <w:spacing w:line="240" w:lineRule="auto" w:before="40" w:after="160"/>
        <w:ind w:firstLine="0"/>
        <w:jc w:val="center"/>
      </w:pPr>
      <w:r>
        <w:rPr>
          <w:rFonts w:ascii="Times New Roman" w:hAnsi="Times New Roman"/>
          <w:sz w:val="24"/>
        </w:rPr>
        <w:t>Рисунок 2. Target auth-service имеет состояние UP</w:t>
      </w:r>
    </w:p>
    <w:p>
      <w:r>
        <w:t>В веб-интерфейсе запрос up{namespace="vp-lr2",service="auth-service"} вернул 1. Это значит, что Prometheus смог получить метрики сервиса во время последней проверки.</w:t>
      </w:r>
    </w:p>
    <w:p>
      <w:pPr>
        <w:spacing w:after="0"/>
        <w:ind w:firstLine="0"/>
        <w:jc w:val="center"/>
      </w:pPr>
      <w:r>
        <w:drawing>
          <wp:inline xmlns:a="http://schemas.openxmlformats.org/drawingml/2006/main" xmlns:pic="http://schemas.openxmlformats.org/drawingml/2006/picture">
            <wp:extent cx="5580000" cy="2179688"/>
            <wp:docPr id="3" name="Picture 3"/>
            <wp:cNvGraphicFramePr>
              <a:graphicFrameLocks noChangeAspect="1"/>
            </wp:cNvGraphicFramePr>
            <a:graphic>
              <a:graphicData uri="http://schemas.openxmlformats.org/drawingml/2006/picture">
                <pic:pic>
                  <pic:nvPicPr>
                    <pic:cNvPr id="0" name="prometheus-up.png"/>
                    <pic:cNvPicPr/>
                  </pic:nvPicPr>
                  <pic:blipFill>
                    <a:blip r:embed="rId11"/>
                    <a:stretch>
                      <a:fillRect/>
                    </a:stretch>
                  </pic:blipFill>
                  <pic:spPr>
                    <a:xfrm>
                      <a:off x="0" y="0"/>
                      <a:ext cx="5580000" cy="2179688"/>
                    </a:xfrm>
                    <a:prstGeom prst="rect"/>
                  </pic:spPr>
                </pic:pic>
              </a:graphicData>
            </a:graphic>
          </wp:inline>
        </w:drawing>
      </w:r>
    </w:p>
    <w:p>
      <w:pPr>
        <w:spacing w:line="240" w:lineRule="auto" w:before="40" w:after="160"/>
        <w:ind w:firstLine="0"/>
        <w:jc w:val="center"/>
      </w:pPr>
      <w:r>
        <w:rPr>
          <w:rFonts w:ascii="Times New Roman" w:hAnsi="Times New Roman"/>
          <w:sz w:val="24"/>
        </w:rPr>
        <w:t>Рисунок 3. Результат запроса up для auth-service</w:t>
      </w:r>
    </w:p>
    <w:p>
      <w:pPr>
        <w:pStyle w:val="Heading1"/>
      </w:pPr>
      <w:r>
        <w:t>2. Найденные метрики</w:t>
      </w:r>
    </w:p>
    <w:p>
      <w:r>
        <w:t>В Prometheus я проверил метрики приложения, контейнера и подов. У всех строк в таблице есть реальные значения в сохранённом снимке metrics_snapshot.json. Ошибки 4xx и 5xx равны нулю, но оба счётчика созданы и доступны.</w:t>
      </w:r>
    </w:p>
    <w:p>
      <w:pPr>
        <w:spacing w:line="240" w:lineRule="auto" w:before="120" w:after="40"/>
        <w:ind w:firstLine="0"/>
        <w:jc w:val="center"/>
      </w:pPr>
      <w:r>
        <w:rPr>
          <w:rFonts w:ascii="Times New Roman" w:hAnsi="Times New Roman"/>
          <w:sz w:val="24"/>
        </w:rPr>
        <w:t>Таблица 1. Метрики, доступные в Prometheus</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2948"/>
            <w:vAlign w:val="center"/>
          </w:tcPr>
          <w:p>
            <w:pPr>
              <w:spacing w:line="240" w:lineRule="auto" w:after="20"/>
              <w:ind w:firstLine="0"/>
              <w:jc w:val="left"/>
            </w:pPr>
            <w:r>
              <w:rPr>
                <w:rFonts w:ascii="Times New Roman" w:hAnsi="Times New Roman"/>
                <w:sz w:val="20"/>
              </w:rPr>
              <w:t>Метрика</w:t>
            </w:r>
          </w:p>
        </w:tc>
        <w:tc>
          <w:tcPr>
            <w:tcW w:type="dxa" w:w="3458"/>
            <w:vAlign w:val="center"/>
          </w:tcPr>
          <w:p>
            <w:pPr>
              <w:spacing w:line="240" w:lineRule="auto" w:after="20"/>
              <w:ind w:firstLine="0"/>
              <w:jc w:val="center"/>
            </w:pPr>
            <w:r>
              <w:rPr>
                <w:rFonts w:ascii="Times New Roman" w:hAnsi="Times New Roman"/>
                <w:sz w:val="20"/>
              </w:rPr>
              <w:t>Что измеряет</w:t>
            </w:r>
          </w:p>
        </w:tc>
        <w:tc>
          <w:tcPr>
            <w:tcW w:type="dxa" w:w="1134"/>
            <w:vAlign w:val="center"/>
          </w:tcPr>
          <w:p>
            <w:pPr>
              <w:spacing w:line="240" w:lineRule="auto" w:after="20"/>
              <w:ind w:firstLine="0"/>
              <w:jc w:val="center"/>
            </w:pPr>
            <w:r>
              <w:rPr>
                <w:rFonts w:ascii="Times New Roman" w:hAnsi="Times New Roman"/>
                <w:sz w:val="20"/>
              </w:rPr>
              <w:t>Тип</w:t>
            </w:r>
          </w:p>
        </w:tc>
        <w:tc>
          <w:tcPr>
            <w:tcW w:type="dxa" w:w="964"/>
            <w:vAlign w:val="center"/>
          </w:tcPr>
          <w:p>
            <w:pPr>
              <w:spacing w:line="240" w:lineRule="auto" w:after="20"/>
              <w:ind w:firstLine="0"/>
              <w:jc w:val="center"/>
            </w:pPr>
            <w:r>
              <w:rPr>
                <w:rFonts w:ascii="Times New Roman" w:hAnsi="Times New Roman"/>
                <w:sz w:val="20"/>
              </w:rPr>
              <w:t>Единица</w:t>
            </w:r>
          </w:p>
        </w:tc>
      </w:tr>
      <w:tr>
        <w:tc>
          <w:tcPr>
            <w:tcW w:type="dxa" w:w="2948"/>
            <w:vAlign w:val="center"/>
          </w:tcPr>
          <w:p>
            <w:pPr>
              <w:spacing w:line="240" w:lineRule="auto" w:after="20"/>
              <w:ind w:firstLine="0"/>
              <w:jc w:val="left"/>
            </w:pPr>
            <w:r>
              <w:rPr>
                <w:rFonts w:ascii="Times New Roman" w:hAnsi="Times New Roman"/>
                <w:sz w:val="20"/>
              </w:rPr>
              <w:t>container_cpu_usage_seconds_total</w:t>
            </w:r>
          </w:p>
        </w:tc>
        <w:tc>
          <w:tcPr>
            <w:tcW w:type="dxa" w:w="3458"/>
            <w:vAlign w:val="center"/>
          </w:tcPr>
          <w:p>
            <w:pPr>
              <w:spacing w:line="240" w:lineRule="auto" w:after="20"/>
              <w:ind w:firstLine="0"/>
              <w:jc w:val="center"/>
            </w:pPr>
            <w:r>
              <w:rPr>
                <w:rFonts w:ascii="Times New Roman" w:hAnsi="Times New Roman"/>
                <w:sz w:val="20"/>
              </w:rPr>
              <w:t>Использованное контейнером процессорное время</w:t>
            </w:r>
          </w:p>
        </w:tc>
        <w:tc>
          <w:tcPr>
            <w:tcW w:type="dxa" w:w="1134"/>
            <w:vAlign w:val="center"/>
          </w:tcPr>
          <w:p>
            <w:pPr>
              <w:spacing w:line="240" w:lineRule="auto" w:after="20"/>
              <w:ind w:firstLine="0"/>
              <w:jc w:val="center"/>
            </w:pPr>
            <w:r>
              <w:rPr>
                <w:rFonts w:ascii="Times New Roman" w:hAnsi="Times New Roman"/>
                <w:sz w:val="20"/>
              </w:rPr>
              <w:t>Counter</w:t>
            </w:r>
          </w:p>
        </w:tc>
        <w:tc>
          <w:tcPr>
            <w:tcW w:type="dxa" w:w="964"/>
            <w:vAlign w:val="center"/>
          </w:tcPr>
          <w:p>
            <w:pPr>
              <w:spacing w:line="240" w:lineRule="auto" w:after="20"/>
              <w:ind w:firstLine="0"/>
              <w:jc w:val="center"/>
            </w:pPr>
            <w:r>
              <w:rPr>
                <w:rFonts w:ascii="Times New Roman" w:hAnsi="Times New Roman"/>
                <w:sz w:val="20"/>
              </w:rPr>
              <w:t>сек</w:t>
            </w:r>
          </w:p>
        </w:tc>
      </w:tr>
      <w:tr>
        <w:tc>
          <w:tcPr>
            <w:tcW w:type="dxa" w:w="2948"/>
            <w:vAlign w:val="center"/>
          </w:tcPr>
          <w:p>
            <w:pPr>
              <w:spacing w:line="240" w:lineRule="auto" w:after="20"/>
              <w:ind w:firstLine="0"/>
              <w:jc w:val="left"/>
            </w:pPr>
            <w:r>
              <w:rPr>
                <w:rFonts w:ascii="Times New Roman" w:hAnsi="Times New Roman"/>
                <w:sz w:val="20"/>
              </w:rPr>
              <w:t>process_cpu_seconds_total</w:t>
            </w:r>
          </w:p>
        </w:tc>
        <w:tc>
          <w:tcPr>
            <w:tcW w:type="dxa" w:w="3458"/>
            <w:vAlign w:val="center"/>
          </w:tcPr>
          <w:p>
            <w:pPr>
              <w:spacing w:line="240" w:lineRule="auto" w:after="20"/>
              <w:ind w:firstLine="0"/>
              <w:jc w:val="center"/>
            </w:pPr>
            <w:r>
              <w:rPr>
                <w:rFonts w:ascii="Times New Roman" w:hAnsi="Times New Roman"/>
                <w:sz w:val="20"/>
              </w:rPr>
              <w:t>Процессорное время процесса</w:t>
            </w:r>
          </w:p>
        </w:tc>
        <w:tc>
          <w:tcPr>
            <w:tcW w:type="dxa" w:w="1134"/>
            <w:vAlign w:val="center"/>
          </w:tcPr>
          <w:p>
            <w:pPr>
              <w:spacing w:line="240" w:lineRule="auto" w:after="20"/>
              <w:ind w:firstLine="0"/>
              <w:jc w:val="center"/>
            </w:pPr>
            <w:r>
              <w:rPr>
                <w:rFonts w:ascii="Times New Roman" w:hAnsi="Times New Roman"/>
                <w:sz w:val="20"/>
              </w:rPr>
              <w:t>Counter</w:t>
            </w:r>
          </w:p>
        </w:tc>
        <w:tc>
          <w:tcPr>
            <w:tcW w:type="dxa" w:w="964"/>
            <w:vAlign w:val="center"/>
          </w:tcPr>
          <w:p>
            <w:pPr>
              <w:spacing w:line="240" w:lineRule="auto" w:after="20"/>
              <w:ind w:firstLine="0"/>
              <w:jc w:val="center"/>
            </w:pPr>
            <w:r>
              <w:rPr>
                <w:rFonts w:ascii="Times New Roman" w:hAnsi="Times New Roman"/>
                <w:sz w:val="20"/>
              </w:rPr>
              <w:t>сек</w:t>
            </w:r>
          </w:p>
        </w:tc>
      </w:tr>
      <w:tr>
        <w:tc>
          <w:tcPr>
            <w:tcW w:type="dxa" w:w="2948"/>
            <w:vAlign w:val="center"/>
          </w:tcPr>
          <w:p>
            <w:pPr>
              <w:spacing w:line="240" w:lineRule="auto" w:after="20"/>
              <w:ind w:firstLine="0"/>
              <w:jc w:val="left"/>
            </w:pPr>
            <w:r>
              <w:rPr>
                <w:rFonts w:ascii="Times New Roman" w:hAnsi="Times New Roman"/>
                <w:sz w:val="20"/>
              </w:rPr>
              <w:t>container_memory_working_set_bytes</w:t>
            </w:r>
          </w:p>
        </w:tc>
        <w:tc>
          <w:tcPr>
            <w:tcW w:type="dxa" w:w="3458"/>
            <w:vAlign w:val="center"/>
          </w:tcPr>
          <w:p>
            <w:pPr>
              <w:spacing w:line="240" w:lineRule="auto" w:after="20"/>
              <w:ind w:firstLine="0"/>
              <w:jc w:val="center"/>
            </w:pPr>
            <w:r>
              <w:rPr>
                <w:rFonts w:ascii="Times New Roman" w:hAnsi="Times New Roman"/>
                <w:sz w:val="20"/>
              </w:rPr>
              <w:t>Рабочая память контейнера</w:t>
            </w:r>
          </w:p>
        </w:tc>
        <w:tc>
          <w:tcPr>
            <w:tcW w:type="dxa" w:w="1134"/>
            <w:vAlign w:val="center"/>
          </w:tcPr>
          <w:p>
            <w:pPr>
              <w:spacing w:line="240" w:lineRule="auto" w:after="20"/>
              <w:ind w:firstLine="0"/>
              <w:jc w:val="center"/>
            </w:pPr>
            <w:r>
              <w:rPr>
                <w:rFonts w:ascii="Times New Roman" w:hAnsi="Times New Roman"/>
                <w:sz w:val="20"/>
              </w:rPr>
              <w:t>Gauge</w:t>
            </w:r>
          </w:p>
        </w:tc>
        <w:tc>
          <w:tcPr>
            <w:tcW w:type="dxa" w:w="964"/>
            <w:vAlign w:val="center"/>
          </w:tcPr>
          <w:p>
            <w:pPr>
              <w:spacing w:line="240" w:lineRule="auto" w:after="20"/>
              <w:ind w:firstLine="0"/>
              <w:jc w:val="center"/>
            </w:pPr>
            <w:r>
              <w:rPr>
                <w:rFonts w:ascii="Times New Roman" w:hAnsi="Times New Roman"/>
                <w:sz w:val="20"/>
              </w:rPr>
              <w:t>байт</w:t>
            </w:r>
          </w:p>
        </w:tc>
      </w:tr>
      <w:tr>
        <w:tc>
          <w:tcPr>
            <w:tcW w:type="dxa" w:w="2948"/>
            <w:vAlign w:val="center"/>
          </w:tcPr>
          <w:p>
            <w:pPr>
              <w:spacing w:line="240" w:lineRule="auto" w:after="20"/>
              <w:ind w:firstLine="0"/>
              <w:jc w:val="left"/>
            </w:pPr>
            <w:r>
              <w:rPr>
                <w:rFonts w:ascii="Times New Roman" w:hAnsi="Times New Roman"/>
                <w:sz w:val="20"/>
              </w:rPr>
              <w:t>process_resident_memory_bytes</w:t>
            </w:r>
          </w:p>
        </w:tc>
        <w:tc>
          <w:tcPr>
            <w:tcW w:type="dxa" w:w="3458"/>
            <w:vAlign w:val="center"/>
          </w:tcPr>
          <w:p>
            <w:pPr>
              <w:spacing w:line="240" w:lineRule="auto" w:after="20"/>
              <w:ind w:firstLine="0"/>
              <w:jc w:val="center"/>
            </w:pPr>
            <w:r>
              <w:rPr>
                <w:rFonts w:ascii="Times New Roman" w:hAnsi="Times New Roman"/>
                <w:sz w:val="20"/>
              </w:rPr>
              <w:t>Физическая память процесса</w:t>
            </w:r>
          </w:p>
        </w:tc>
        <w:tc>
          <w:tcPr>
            <w:tcW w:type="dxa" w:w="1134"/>
            <w:vAlign w:val="center"/>
          </w:tcPr>
          <w:p>
            <w:pPr>
              <w:spacing w:line="240" w:lineRule="auto" w:after="20"/>
              <w:ind w:firstLine="0"/>
              <w:jc w:val="center"/>
            </w:pPr>
            <w:r>
              <w:rPr>
                <w:rFonts w:ascii="Times New Roman" w:hAnsi="Times New Roman"/>
                <w:sz w:val="20"/>
              </w:rPr>
              <w:t>Gauge</w:t>
            </w:r>
          </w:p>
        </w:tc>
        <w:tc>
          <w:tcPr>
            <w:tcW w:type="dxa" w:w="964"/>
            <w:vAlign w:val="center"/>
          </w:tcPr>
          <w:p>
            <w:pPr>
              <w:spacing w:line="240" w:lineRule="auto" w:after="20"/>
              <w:ind w:firstLine="0"/>
              <w:jc w:val="center"/>
            </w:pPr>
            <w:r>
              <w:rPr>
                <w:rFonts w:ascii="Times New Roman" w:hAnsi="Times New Roman"/>
                <w:sz w:val="20"/>
              </w:rPr>
              <w:t>байт</w:t>
            </w:r>
          </w:p>
        </w:tc>
      </w:tr>
      <w:tr>
        <w:tc>
          <w:tcPr>
            <w:tcW w:type="dxa" w:w="2948"/>
            <w:vAlign w:val="center"/>
          </w:tcPr>
          <w:p>
            <w:pPr>
              <w:spacing w:line="240" w:lineRule="auto" w:after="20"/>
              <w:ind w:firstLine="0"/>
              <w:jc w:val="left"/>
            </w:pPr>
            <w:r>
              <w:rPr>
                <w:rFonts w:ascii="Times New Roman" w:hAnsi="Times New Roman"/>
                <w:sz w:val="20"/>
              </w:rPr>
              <w:t>http_requests_total</w:t>
            </w:r>
          </w:p>
        </w:tc>
        <w:tc>
          <w:tcPr>
            <w:tcW w:type="dxa" w:w="3458"/>
            <w:vAlign w:val="center"/>
          </w:tcPr>
          <w:p>
            <w:pPr>
              <w:spacing w:line="240" w:lineRule="auto" w:after="20"/>
              <w:ind w:firstLine="0"/>
              <w:jc w:val="center"/>
            </w:pPr>
            <w:r>
              <w:rPr>
                <w:rFonts w:ascii="Times New Roman" w:hAnsi="Times New Roman"/>
                <w:sz w:val="20"/>
              </w:rPr>
              <w:t>Количество HTTP-запросов</w:t>
            </w:r>
          </w:p>
        </w:tc>
        <w:tc>
          <w:tcPr>
            <w:tcW w:type="dxa" w:w="1134"/>
            <w:vAlign w:val="center"/>
          </w:tcPr>
          <w:p>
            <w:pPr>
              <w:spacing w:line="240" w:lineRule="auto" w:after="20"/>
              <w:ind w:firstLine="0"/>
              <w:jc w:val="center"/>
            </w:pPr>
            <w:r>
              <w:rPr>
                <w:rFonts w:ascii="Times New Roman" w:hAnsi="Times New Roman"/>
                <w:sz w:val="20"/>
              </w:rPr>
              <w:t>Counter</w:t>
            </w:r>
          </w:p>
        </w:tc>
        <w:tc>
          <w:tcPr>
            <w:tcW w:type="dxa" w:w="964"/>
            <w:vAlign w:val="center"/>
          </w:tcPr>
          <w:p>
            <w:pPr>
              <w:spacing w:line="240" w:lineRule="auto" w:after="20"/>
              <w:ind w:firstLine="0"/>
              <w:jc w:val="center"/>
            </w:pPr>
            <w:r>
              <w:rPr>
                <w:rFonts w:ascii="Times New Roman" w:hAnsi="Times New Roman"/>
                <w:sz w:val="20"/>
              </w:rPr>
              <w:t>запрос</w:t>
            </w:r>
          </w:p>
        </w:tc>
      </w:tr>
      <w:tr>
        <w:tc>
          <w:tcPr>
            <w:tcW w:type="dxa" w:w="2948"/>
            <w:vAlign w:val="center"/>
          </w:tcPr>
          <w:p>
            <w:pPr>
              <w:spacing w:line="240" w:lineRule="auto" w:after="20"/>
              <w:ind w:firstLine="0"/>
              <w:jc w:val="left"/>
            </w:pPr>
            <w:r>
              <w:rPr>
                <w:rFonts w:ascii="Times New Roman" w:hAnsi="Times New Roman"/>
                <w:sz w:val="20"/>
              </w:rPr>
              <w:t>http_request_duration_seconds_bucket</w:t>
            </w:r>
          </w:p>
        </w:tc>
        <w:tc>
          <w:tcPr>
            <w:tcW w:type="dxa" w:w="3458"/>
            <w:vAlign w:val="center"/>
          </w:tcPr>
          <w:p>
            <w:pPr>
              <w:spacing w:line="240" w:lineRule="auto" w:after="20"/>
              <w:ind w:firstLine="0"/>
              <w:jc w:val="center"/>
            </w:pPr>
            <w:r>
              <w:rPr>
                <w:rFonts w:ascii="Times New Roman" w:hAnsi="Times New Roman"/>
                <w:sz w:val="20"/>
              </w:rPr>
              <w:t>Распределение времени обработки</w:t>
            </w:r>
          </w:p>
        </w:tc>
        <w:tc>
          <w:tcPr>
            <w:tcW w:type="dxa" w:w="1134"/>
            <w:vAlign w:val="center"/>
          </w:tcPr>
          <w:p>
            <w:pPr>
              <w:spacing w:line="240" w:lineRule="auto" w:after="20"/>
              <w:ind w:firstLine="0"/>
              <w:jc w:val="center"/>
            </w:pPr>
            <w:r>
              <w:rPr>
                <w:rFonts w:ascii="Times New Roman" w:hAnsi="Times New Roman"/>
                <w:sz w:val="20"/>
              </w:rPr>
              <w:t>Histogram</w:t>
            </w:r>
          </w:p>
        </w:tc>
        <w:tc>
          <w:tcPr>
            <w:tcW w:type="dxa" w:w="964"/>
            <w:vAlign w:val="center"/>
          </w:tcPr>
          <w:p>
            <w:pPr>
              <w:spacing w:line="240" w:lineRule="auto" w:after="20"/>
              <w:ind w:firstLine="0"/>
              <w:jc w:val="center"/>
            </w:pPr>
            <w:r>
              <w:rPr>
                <w:rFonts w:ascii="Times New Roman" w:hAnsi="Times New Roman"/>
                <w:sz w:val="20"/>
              </w:rPr>
              <w:t>запрос</w:t>
            </w:r>
          </w:p>
        </w:tc>
      </w:tr>
      <w:tr>
        <w:tc>
          <w:tcPr>
            <w:tcW w:type="dxa" w:w="2948"/>
            <w:vAlign w:val="center"/>
          </w:tcPr>
          <w:p>
            <w:pPr>
              <w:spacing w:line="240" w:lineRule="auto" w:after="20"/>
              <w:ind w:firstLine="0"/>
              <w:jc w:val="left"/>
            </w:pPr>
            <w:r>
              <w:rPr>
                <w:rFonts w:ascii="Times New Roman" w:hAnsi="Times New Roman"/>
                <w:sz w:val="20"/>
              </w:rPr>
              <w:t>http_errors_total</w:t>
            </w:r>
          </w:p>
        </w:tc>
        <w:tc>
          <w:tcPr>
            <w:tcW w:type="dxa" w:w="3458"/>
            <w:vAlign w:val="center"/>
          </w:tcPr>
          <w:p>
            <w:pPr>
              <w:spacing w:line="240" w:lineRule="auto" w:after="20"/>
              <w:ind w:firstLine="0"/>
              <w:jc w:val="center"/>
            </w:pPr>
            <w:r>
              <w:rPr>
                <w:rFonts w:ascii="Times New Roman" w:hAnsi="Times New Roman"/>
                <w:sz w:val="20"/>
              </w:rPr>
              <w:t>Ошибки по группам 4xx и 5xx</w:t>
            </w:r>
          </w:p>
        </w:tc>
        <w:tc>
          <w:tcPr>
            <w:tcW w:type="dxa" w:w="1134"/>
            <w:vAlign w:val="center"/>
          </w:tcPr>
          <w:p>
            <w:pPr>
              <w:spacing w:line="240" w:lineRule="auto" w:after="20"/>
              <w:ind w:firstLine="0"/>
              <w:jc w:val="center"/>
            </w:pPr>
            <w:r>
              <w:rPr>
                <w:rFonts w:ascii="Times New Roman" w:hAnsi="Times New Roman"/>
                <w:sz w:val="20"/>
              </w:rPr>
              <w:t>Counter</w:t>
            </w:r>
          </w:p>
        </w:tc>
        <w:tc>
          <w:tcPr>
            <w:tcW w:type="dxa" w:w="964"/>
            <w:vAlign w:val="center"/>
          </w:tcPr>
          <w:p>
            <w:pPr>
              <w:spacing w:line="240" w:lineRule="auto" w:after="20"/>
              <w:ind w:firstLine="0"/>
              <w:jc w:val="center"/>
            </w:pPr>
            <w:r>
              <w:rPr>
                <w:rFonts w:ascii="Times New Roman" w:hAnsi="Times New Roman"/>
                <w:sz w:val="20"/>
              </w:rPr>
              <w:t>ошибка</w:t>
            </w:r>
          </w:p>
        </w:tc>
      </w:tr>
      <w:tr>
        <w:tc>
          <w:tcPr>
            <w:tcW w:type="dxa" w:w="2948"/>
            <w:vAlign w:val="center"/>
          </w:tcPr>
          <w:p>
            <w:pPr>
              <w:spacing w:line="240" w:lineRule="auto" w:after="20"/>
              <w:ind w:firstLine="0"/>
              <w:jc w:val="left"/>
            </w:pPr>
            <w:r>
              <w:rPr>
                <w:rFonts w:ascii="Times New Roman" w:hAnsi="Times New Roman"/>
                <w:sz w:val="20"/>
              </w:rPr>
              <w:t>kube_pod_status_phase</w:t>
            </w:r>
          </w:p>
        </w:tc>
        <w:tc>
          <w:tcPr>
            <w:tcW w:type="dxa" w:w="3458"/>
            <w:vAlign w:val="center"/>
          </w:tcPr>
          <w:p>
            <w:pPr>
              <w:spacing w:line="240" w:lineRule="auto" w:after="20"/>
              <w:ind w:firstLine="0"/>
              <w:jc w:val="center"/>
            </w:pPr>
            <w:r>
              <w:rPr>
                <w:rFonts w:ascii="Times New Roman" w:hAnsi="Times New Roman"/>
                <w:sz w:val="20"/>
              </w:rPr>
              <w:t>Фаза Pod: 0 или 1</w:t>
            </w:r>
          </w:p>
        </w:tc>
        <w:tc>
          <w:tcPr>
            <w:tcW w:type="dxa" w:w="1134"/>
            <w:vAlign w:val="center"/>
          </w:tcPr>
          <w:p>
            <w:pPr>
              <w:spacing w:line="240" w:lineRule="auto" w:after="20"/>
              <w:ind w:firstLine="0"/>
              <w:jc w:val="center"/>
            </w:pPr>
            <w:r>
              <w:rPr>
                <w:rFonts w:ascii="Times New Roman" w:hAnsi="Times New Roman"/>
                <w:sz w:val="20"/>
              </w:rPr>
              <w:t>Gauge</w:t>
            </w:r>
          </w:p>
        </w:tc>
        <w:tc>
          <w:tcPr>
            <w:tcW w:type="dxa" w:w="964"/>
            <w:vAlign w:val="center"/>
          </w:tcPr>
          <w:p>
            <w:pPr>
              <w:spacing w:line="240" w:lineRule="auto" w:after="20"/>
              <w:ind w:firstLine="0"/>
              <w:jc w:val="center"/>
            </w:pPr>
            <w:r>
              <w:rPr>
                <w:rFonts w:ascii="Times New Roman" w:hAnsi="Times New Roman"/>
                <w:sz w:val="20"/>
              </w:rPr>
              <w:t>без единицы</w:t>
            </w:r>
          </w:p>
        </w:tc>
      </w:tr>
      <w:tr>
        <w:tc>
          <w:tcPr>
            <w:tcW w:type="dxa" w:w="2948"/>
            <w:vAlign w:val="center"/>
          </w:tcPr>
          <w:p>
            <w:pPr>
              <w:spacing w:line="240" w:lineRule="auto" w:after="20"/>
              <w:ind w:firstLine="0"/>
              <w:jc w:val="left"/>
            </w:pPr>
            <w:r>
              <w:rPr>
                <w:rFonts w:ascii="Times New Roman" w:hAnsi="Times New Roman"/>
                <w:sz w:val="20"/>
              </w:rPr>
              <w:t>kube_pod_container_status_restarts_total</w:t>
            </w:r>
          </w:p>
        </w:tc>
        <w:tc>
          <w:tcPr>
            <w:tcW w:type="dxa" w:w="3458"/>
            <w:vAlign w:val="center"/>
          </w:tcPr>
          <w:p>
            <w:pPr>
              <w:spacing w:line="240" w:lineRule="auto" w:after="20"/>
              <w:ind w:firstLine="0"/>
              <w:jc w:val="center"/>
            </w:pPr>
            <w:r>
              <w:rPr>
                <w:rFonts w:ascii="Times New Roman" w:hAnsi="Times New Roman"/>
                <w:sz w:val="20"/>
              </w:rPr>
              <w:t>Число перезапусков контейнера</w:t>
            </w:r>
          </w:p>
        </w:tc>
        <w:tc>
          <w:tcPr>
            <w:tcW w:type="dxa" w:w="1134"/>
            <w:vAlign w:val="center"/>
          </w:tcPr>
          <w:p>
            <w:pPr>
              <w:spacing w:line="240" w:lineRule="auto" w:after="20"/>
              <w:ind w:firstLine="0"/>
              <w:jc w:val="center"/>
            </w:pPr>
            <w:r>
              <w:rPr>
                <w:rFonts w:ascii="Times New Roman" w:hAnsi="Times New Roman"/>
                <w:sz w:val="20"/>
              </w:rPr>
              <w:t>Counter</w:t>
            </w:r>
          </w:p>
        </w:tc>
        <w:tc>
          <w:tcPr>
            <w:tcW w:type="dxa" w:w="964"/>
            <w:vAlign w:val="center"/>
          </w:tcPr>
          <w:p>
            <w:pPr>
              <w:spacing w:line="240" w:lineRule="auto" w:after="20"/>
              <w:ind w:firstLine="0"/>
              <w:jc w:val="center"/>
            </w:pPr>
            <w:r>
              <w:rPr>
                <w:rFonts w:ascii="Times New Roman" w:hAnsi="Times New Roman"/>
                <w:sz w:val="20"/>
              </w:rPr>
              <w:t>перезапуск</w:t>
            </w:r>
          </w:p>
        </w:tc>
      </w:tr>
    </w:tbl>
    <w:p>
      <w:pPr>
        <w:pStyle w:val="Heading1"/>
      </w:pPr>
      <w:r>
        <w:t>3. Нагрузочные тесты</w:t>
      </w:r>
    </w:p>
    <w:p>
      <w:r>
        <w:t>Я повторил сценарий ЛР1: GET-запрос к главной странице с проверкой статуса 200. Было три прогона по 30 секунд: 10, 50 и 200 виртуальных пользователей (VU). Между прогонами была пауза 40 секунд. Новые выводы k6 и ответы Prometheus сохранены в папке results.</w:t>
      </w:r>
    </w:p>
    <w:p>
      <w:pPr>
        <w:spacing w:line="240" w:lineRule="auto" w:before="120" w:after="40"/>
        <w:ind w:firstLine="0"/>
        <w:jc w:val="center"/>
      </w:pPr>
      <w:r>
        <w:rPr>
          <w:rFonts w:ascii="Times New Roman" w:hAnsi="Times New Roman"/>
          <w:sz w:val="24"/>
        </w:rPr>
        <w:t>Таблица 2. Результаты трёх новых прогонов</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c>
          <w:tcPr>
            <w:tcW w:type="dxa" w:w="680"/>
            <w:vAlign w:val="center"/>
          </w:tcPr>
          <w:p>
            <w:pPr>
              <w:spacing w:line="240" w:lineRule="auto" w:after="20"/>
              <w:ind w:firstLine="0"/>
              <w:jc w:val="left"/>
            </w:pPr>
            <w:r>
              <w:rPr>
                <w:rFonts w:ascii="Times New Roman" w:hAnsi="Times New Roman"/>
                <w:sz w:val="20"/>
              </w:rPr>
              <w:t>VU</w:t>
            </w:r>
          </w:p>
        </w:tc>
        <w:tc>
          <w:tcPr>
            <w:tcW w:type="dxa" w:w="1134"/>
            <w:vAlign w:val="center"/>
          </w:tcPr>
          <w:p>
            <w:pPr>
              <w:spacing w:line="240" w:lineRule="auto" w:after="20"/>
              <w:ind w:firstLine="0"/>
              <w:jc w:val="center"/>
            </w:pPr>
            <w:r>
              <w:rPr>
                <w:rFonts w:ascii="Times New Roman" w:hAnsi="Times New Roman"/>
                <w:sz w:val="20"/>
              </w:rPr>
              <w:t>RPS</w:t>
            </w:r>
          </w:p>
        </w:tc>
        <w:tc>
          <w:tcPr>
            <w:tcW w:type="dxa" w:w="1247"/>
            <w:vAlign w:val="center"/>
          </w:tcPr>
          <w:p>
            <w:pPr>
              <w:spacing w:line="240" w:lineRule="auto" w:after="20"/>
              <w:ind w:firstLine="0"/>
              <w:jc w:val="center"/>
            </w:pPr>
            <w:r>
              <w:rPr>
                <w:rFonts w:ascii="Times New Roman" w:hAnsi="Times New Roman"/>
                <w:sz w:val="20"/>
              </w:rPr>
              <w:t>p95, мс</w:t>
            </w:r>
          </w:p>
        </w:tc>
        <w:tc>
          <w:tcPr>
            <w:tcW w:type="dxa" w:w="1247"/>
            <w:vAlign w:val="center"/>
          </w:tcPr>
          <w:p>
            <w:pPr>
              <w:spacing w:line="240" w:lineRule="auto" w:after="20"/>
              <w:ind w:firstLine="0"/>
              <w:jc w:val="center"/>
            </w:pPr>
            <w:r>
              <w:rPr>
                <w:rFonts w:ascii="Times New Roman" w:hAnsi="Times New Roman"/>
                <w:sz w:val="20"/>
              </w:rPr>
              <w:t>p99, мс</w:t>
            </w:r>
          </w:p>
        </w:tc>
        <w:tc>
          <w:tcPr>
            <w:tcW w:type="dxa" w:w="1247"/>
            <w:vAlign w:val="center"/>
          </w:tcPr>
          <w:p>
            <w:pPr>
              <w:spacing w:line="240" w:lineRule="auto" w:after="20"/>
              <w:ind w:firstLine="0"/>
              <w:jc w:val="center"/>
            </w:pPr>
            <w:r>
              <w:rPr>
                <w:rFonts w:ascii="Times New Roman" w:hAnsi="Times New Roman"/>
                <w:sz w:val="20"/>
              </w:rPr>
              <w:t>Ошибки, %</w:t>
            </w:r>
          </w:p>
        </w:tc>
        <w:tc>
          <w:tcPr>
            <w:tcW w:type="dxa" w:w="1134"/>
            <w:vAlign w:val="center"/>
          </w:tcPr>
          <w:p>
            <w:pPr>
              <w:spacing w:line="240" w:lineRule="auto" w:after="20"/>
              <w:ind w:firstLine="0"/>
              <w:jc w:val="center"/>
            </w:pPr>
            <w:r>
              <w:rPr>
                <w:rFonts w:ascii="Times New Roman" w:hAnsi="Times New Roman"/>
                <w:sz w:val="20"/>
              </w:rPr>
              <w:t>CPU, %</w:t>
            </w:r>
          </w:p>
        </w:tc>
        <w:tc>
          <w:tcPr>
            <w:tcW w:type="dxa" w:w="1814"/>
            <w:vAlign w:val="center"/>
          </w:tcPr>
          <w:p>
            <w:pPr>
              <w:spacing w:line="240" w:lineRule="auto" w:after="20"/>
              <w:ind w:firstLine="0"/>
              <w:jc w:val="center"/>
            </w:pPr>
            <w:r>
              <w:rPr>
                <w:rFonts w:ascii="Times New Roman" w:hAnsi="Times New Roman"/>
                <w:sz w:val="20"/>
              </w:rPr>
              <w:t>Память, МиБ</w:t>
            </w:r>
          </w:p>
        </w:tc>
      </w:tr>
      <w:tr>
        <w:tc>
          <w:tcPr>
            <w:tcW w:type="dxa" w:w="680"/>
            <w:vAlign w:val="center"/>
          </w:tcPr>
          <w:p>
            <w:pPr>
              <w:spacing w:line="240" w:lineRule="auto" w:after="20"/>
              <w:ind w:firstLine="0"/>
              <w:jc w:val="left"/>
            </w:pPr>
            <w:r>
              <w:rPr>
                <w:rFonts w:ascii="Times New Roman" w:hAnsi="Times New Roman"/>
                <w:sz w:val="20"/>
              </w:rPr>
              <w:t>10</w:t>
            </w:r>
          </w:p>
        </w:tc>
        <w:tc>
          <w:tcPr>
            <w:tcW w:type="dxa" w:w="1134"/>
            <w:vAlign w:val="center"/>
          </w:tcPr>
          <w:p>
            <w:pPr>
              <w:spacing w:line="240" w:lineRule="auto" w:after="20"/>
              <w:ind w:firstLine="0"/>
              <w:jc w:val="center"/>
            </w:pPr>
            <w:r>
              <w:rPr>
                <w:rFonts w:ascii="Times New Roman" w:hAnsi="Times New Roman"/>
                <w:sz w:val="20"/>
              </w:rPr>
              <w:t>9.83</w:t>
            </w:r>
          </w:p>
        </w:tc>
        <w:tc>
          <w:tcPr>
            <w:tcW w:type="dxa" w:w="1247"/>
            <w:vAlign w:val="center"/>
          </w:tcPr>
          <w:p>
            <w:pPr>
              <w:spacing w:line="240" w:lineRule="auto" w:after="20"/>
              <w:ind w:firstLine="0"/>
              <w:jc w:val="center"/>
            </w:pPr>
            <w:r>
              <w:rPr>
                <w:rFonts w:ascii="Times New Roman" w:hAnsi="Times New Roman"/>
                <w:sz w:val="20"/>
              </w:rPr>
              <w:t>25.07</w:t>
            </w:r>
          </w:p>
        </w:tc>
        <w:tc>
          <w:tcPr>
            <w:tcW w:type="dxa" w:w="1247"/>
            <w:vAlign w:val="center"/>
          </w:tcPr>
          <w:p>
            <w:pPr>
              <w:spacing w:line="240" w:lineRule="auto" w:after="20"/>
              <w:ind w:firstLine="0"/>
              <w:jc w:val="center"/>
            </w:pPr>
            <w:r>
              <w:rPr>
                <w:rFonts w:ascii="Times New Roman" w:hAnsi="Times New Roman"/>
                <w:sz w:val="20"/>
              </w:rPr>
              <w:t>75.88</w:t>
            </w:r>
          </w:p>
        </w:tc>
        <w:tc>
          <w:tcPr>
            <w:tcW w:type="dxa" w:w="1247"/>
            <w:vAlign w:val="center"/>
          </w:tcPr>
          <w:p>
            <w:pPr>
              <w:spacing w:line="240" w:lineRule="auto" w:after="20"/>
              <w:ind w:firstLine="0"/>
              <w:jc w:val="center"/>
            </w:pPr>
            <w:r>
              <w:rPr>
                <w:rFonts w:ascii="Times New Roman" w:hAnsi="Times New Roman"/>
                <w:sz w:val="20"/>
              </w:rPr>
              <w:t>0</w:t>
            </w:r>
          </w:p>
        </w:tc>
        <w:tc>
          <w:tcPr>
            <w:tcW w:type="dxa" w:w="1134"/>
            <w:vAlign w:val="center"/>
          </w:tcPr>
          <w:p>
            <w:pPr>
              <w:spacing w:line="240" w:lineRule="auto" w:after="20"/>
              <w:ind w:firstLine="0"/>
              <w:jc w:val="center"/>
            </w:pPr>
            <w:r>
              <w:rPr>
                <w:rFonts w:ascii="Times New Roman" w:hAnsi="Times New Roman"/>
                <w:sz w:val="20"/>
              </w:rPr>
              <w:t>7.1</w:t>
            </w:r>
          </w:p>
        </w:tc>
        <w:tc>
          <w:tcPr>
            <w:tcW w:type="dxa" w:w="1814"/>
            <w:vAlign w:val="center"/>
          </w:tcPr>
          <w:p>
            <w:pPr>
              <w:spacing w:line="240" w:lineRule="auto" w:after="20"/>
              <w:ind w:firstLine="0"/>
              <w:jc w:val="center"/>
            </w:pPr>
            <w:r>
              <w:rPr>
                <w:rFonts w:ascii="Times New Roman" w:hAnsi="Times New Roman"/>
                <w:sz w:val="20"/>
              </w:rPr>
              <w:t>30.4</w:t>
            </w:r>
          </w:p>
        </w:tc>
      </w:tr>
      <w:tr>
        <w:tc>
          <w:tcPr>
            <w:tcW w:type="dxa" w:w="680"/>
            <w:vAlign w:val="center"/>
          </w:tcPr>
          <w:p>
            <w:pPr>
              <w:spacing w:line="240" w:lineRule="auto" w:after="20"/>
              <w:ind w:firstLine="0"/>
              <w:jc w:val="left"/>
            </w:pPr>
            <w:r>
              <w:rPr>
                <w:rFonts w:ascii="Times New Roman" w:hAnsi="Times New Roman"/>
                <w:sz w:val="20"/>
              </w:rPr>
              <w:t>50</w:t>
            </w:r>
          </w:p>
        </w:tc>
        <w:tc>
          <w:tcPr>
            <w:tcW w:type="dxa" w:w="1134"/>
            <w:vAlign w:val="center"/>
          </w:tcPr>
          <w:p>
            <w:pPr>
              <w:spacing w:line="240" w:lineRule="auto" w:after="20"/>
              <w:ind w:firstLine="0"/>
              <w:jc w:val="center"/>
            </w:pPr>
            <w:r>
              <w:rPr>
                <w:rFonts w:ascii="Times New Roman" w:hAnsi="Times New Roman"/>
                <w:sz w:val="20"/>
              </w:rPr>
              <w:t>48.56</w:t>
            </w:r>
          </w:p>
        </w:tc>
        <w:tc>
          <w:tcPr>
            <w:tcW w:type="dxa" w:w="1247"/>
            <w:vAlign w:val="center"/>
          </w:tcPr>
          <w:p>
            <w:pPr>
              <w:spacing w:line="240" w:lineRule="auto" w:after="20"/>
              <w:ind w:firstLine="0"/>
              <w:jc w:val="center"/>
            </w:pPr>
            <w:r>
              <w:rPr>
                <w:rFonts w:ascii="Times New Roman" w:hAnsi="Times New Roman"/>
                <w:sz w:val="20"/>
              </w:rPr>
              <w:t>49.96</w:t>
            </w:r>
          </w:p>
        </w:tc>
        <w:tc>
          <w:tcPr>
            <w:tcW w:type="dxa" w:w="1247"/>
            <w:vAlign w:val="center"/>
          </w:tcPr>
          <w:p>
            <w:pPr>
              <w:spacing w:line="240" w:lineRule="auto" w:after="20"/>
              <w:ind w:firstLine="0"/>
              <w:jc w:val="center"/>
            </w:pPr>
            <w:r>
              <w:rPr>
                <w:rFonts w:ascii="Times New Roman" w:hAnsi="Times New Roman"/>
                <w:sz w:val="20"/>
              </w:rPr>
              <w:t>286.20</w:t>
            </w:r>
          </w:p>
        </w:tc>
        <w:tc>
          <w:tcPr>
            <w:tcW w:type="dxa" w:w="1247"/>
            <w:vAlign w:val="center"/>
          </w:tcPr>
          <w:p>
            <w:pPr>
              <w:spacing w:line="240" w:lineRule="auto" w:after="20"/>
              <w:ind w:firstLine="0"/>
              <w:jc w:val="center"/>
            </w:pPr>
            <w:r>
              <w:rPr>
                <w:rFonts w:ascii="Times New Roman" w:hAnsi="Times New Roman"/>
                <w:sz w:val="20"/>
              </w:rPr>
              <w:t>0</w:t>
            </w:r>
          </w:p>
        </w:tc>
        <w:tc>
          <w:tcPr>
            <w:tcW w:type="dxa" w:w="1134"/>
            <w:vAlign w:val="center"/>
          </w:tcPr>
          <w:p>
            <w:pPr>
              <w:spacing w:line="240" w:lineRule="auto" w:after="20"/>
              <w:ind w:firstLine="0"/>
              <w:jc w:val="center"/>
            </w:pPr>
            <w:r>
              <w:rPr>
                <w:rFonts w:ascii="Times New Roman" w:hAnsi="Times New Roman"/>
                <w:sz w:val="20"/>
              </w:rPr>
              <w:t>33.3</w:t>
            </w:r>
          </w:p>
        </w:tc>
        <w:tc>
          <w:tcPr>
            <w:tcW w:type="dxa" w:w="1814"/>
            <w:vAlign w:val="center"/>
          </w:tcPr>
          <w:p>
            <w:pPr>
              <w:spacing w:line="240" w:lineRule="auto" w:after="20"/>
              <w:ind w:firstLine="0"/>
              <w:jc w:val="center"/>
            </w:pPr>
            <w:r>
              <w:rPr>
                <w:rFonts w:ascii="Times New Roman" w:hAnsi="Times New Roman"/>
                <w:sz w:val="20"/>
              </w:rPr>
              <w:t>31.4</w:t>
            </w:r>
          </w:p>
        </w:tc>
      </w:tr>
      <w:tr>
        <w:tc>
          <w:tcPr>
            <w:tcW w:type="dxa" w:w="680"/>
            <w:vAlign w:val="center"/>
          </w:tcPr>
          <w:p>
            <w:pPr>
              <w:spacing w:line="240" w:lineRule="auto" w:after="20"/>
              <w:ind w:firstLine="0"/>
              <w:jc w:val="left"/>
            </w:pPr>
            <w:r>
              <w:rPr>
                <w:rFonts w:ascii="Times New Roman" w:hAnsi="Times New Roman"/>
                <w:sz w:val="20"/>
              </w:rPr>
              <w:t>200</w:t>
            </w:r>
          </w:p>
        </w:tc>
        <w:tc>
          <w:tcPr>
            <w:tcW w:type="dxa" w:w="1134"/>
            <w:vAlign w:val="center"/>
          </w:tcPr>
          <w:p>
            <w:pPr>
              <w:spacing w:line="240" w:lineRule="auto" w:after="20"/>
              <w:ind w:firstLine="0"/>
              <w:jc w:val="center"/>
            </w:pPr>
            <w:r>
              <w:rPr>
                <w:rFonts w:ascii="Times New Roman" w:hAnsi="Times New Roman"/>
                <w:sz w:val="20"/>
              </w:rPr>
              <w:t>176.09</w:t>
            </w:r>
          </w:p>
        </w:tc>
        <w:tc>
          <w:tcPr>
            <w:tcW w:type="dxa" w:w="1247"/>
            <w:vAlign w:val="center"/>
          </w:tcPr>
          <w:p>
            <w:pPr>
              <w:spacing w:line="240" w:lineRule="auto" w:after="20"/>
              <w:ind w:firstLine="0"/>
              <w:jc w:val="center"/>
            </w:pPr>
            <w:r>
              <w:rPr>
                <w:rFonts w:ascii="Times New Roman" w:hAnsi="Times New Roman"/>
                <w:sz w:val="20"/>
              </w:rPr>
              <w:t>228.16</w:t>
            </w:r>
          </w:p>
        </w:tc>
        <w:tc>
          <w:tcPr>
            <w:tcW w:type="dxa" w:w="1247"/>
            <w:vAlign w:val="center"/>
          </w:tcPr>
          <w:p>
            <w:pPr>
              <w:spacing w:line="240" w:lineRule="auto" w:after="20"/>
              <w:ind w:firstLine="0"/>
              <w:jc w:val="center"/>
            </w:pPr>
            <w:r>
              <w:rPr>
                <w:rFonts w:ascii="Times New Roman" w:hAnsi="Times New Roman"/>
                <w:sz w:val="20"/>
              </w:rPr>
              <w:t>602.04</w:t>
            </w:r>
          </w:p>
        </w:tc>
        <w:tc>
          <w:tcPr>
            <w:tcW w:type="dxa" w:w="1247"/>
            <w:vAlign w:val="center"/>
          </w:tcPr>
          <w:p>
            <w:pPr>
              <w:spacing w:line="240" w:lineRule="auto" w:after="20"/>
              <w:ind w:firstLine="0"/>
              <w:jc w:val="center"/>
            </w:pPr>
            <w:r>
              <w:rPr>
                <w:rFonts w:ascii="Times New Roman" w:hAnsi="Times New Roman"/>
                <w:sz w:val="20"/>
              </w:rPr>
              <w:t>0</w:t>
            </w:r>
          </w:p>
        </w:tc>
        <w:tc>
          <w:tcPr>
            <w:tcW w:type="dxa" w:w="1134"/>
            <w:vAlign w:val="center"/>
          </w:tcPr>
          <w:p>
            <w:pPr>
              <w:spacing w:line="240" w:lineRule="auto" w:after="20"/>
              <w:ind w:firstLine="0"/>
              <w:jc w:val="center"/>
            </w:pPr>
            <w:r>
              <w:rPr>
                <w:rFonts w:ascii="Times New Roman" w:hAnsi="Times New Roman"/>
                <w:sz w:val="20"/>
              </w:rPr>
              <w:t>115.4</w:t>
            </w:r>
          </w:p>
        </w:tc>
        <w:tc>
          <w:tcPr>
            <w:tcW w:type="dxa" w:w="1814"/>
            <w:vAlign w:val="center"/>
          </w:tcPr>
          <w:p>
            <w:pPr>
              <w:spacing w:line="240" w:lineRule="auto" w:after="20"/>
              <w:ind w:firstLine="0"/>
              <w:jc w:val="center"/>
            </w:pPr>
            <w:r>
              <w:rPr>
                <w:rFonts w:ascii="Times New Roman" w:hAnsi="Times New Roman"/>
                <w:sz w:val="20"/>
              </w:rPr>
              <w:t>33.5</w:t>
            </w:r>
          </w:p>
        </w:tc>
      </w:tr>
    </w:tbl>
    <w:p>
      <w:r>
        <w:t>RPS, p95, p99 и доля ошибок взяты из k6. CPU и память взяты из Prometheus, усреднены по точкам после первых 15 секунд каждого прогона. CPU указан в процентах от одного логического ядра. Поэтому 115,4 % означает примерно 1,15 ядра, а не невозможное значение.</w:t>
      </w:r>
    </w:p>
    <w:p>
      <w:r>
        <w:t>Основные запросы PromQL, которые я использовал:</w:t>
      </w:r>
    </w:p>
    <w:p>
      <w:pPr>
        <w:spacing w:line="240" w:lineRule="auto" w:after="60"/>
        <w:ind w:firstLine="0"/>
      </w:pPr>
      <w:r>
        <w:rPr>
          <w:rFonts w:ascii="Liberation Mono" w:hAnsi="Liberation Mono"/>
          <w:sz w:val="18"/>
        </w:rPr>
        <w:t>100 * sum(rate(container_cpu_usage_seconds_total{namespace="vp-lr2",container="auth-service"}[20s]))</w:t>
      </w:r>
    </w:p>
    <w:p>
      <w:pPr>
        <w:spacing w:line="240" w:lineRule="auto" w:after="60"/>
        <w:ind w:firstLine="0"/>
      </w:pPr>
      <w:r>
        <w:rPr>
          <w:rFonts w:ascii="Liberation Mono" w:hAnsi="Liberation Mono"/>
          <w:sz w:val="18"/>
        </w:rPr>
        <w:t>sum(container_memory_working_set_bytes{namespace="vp-lr2",container="auth-service"}) / 1024 / 1024</w:t>
      </w:r>
    </w:p>
    <w:p>
      <w:pPr>
        <w:spacing w:line="240" w:lineRule="auto" w:after="60"/>
        <w:ind w:firstLine="0"/>
      </w:pPr>
      <w:r>
        <w:rPr>
          <w:rFonts w:ascii="Liberation Mono" w:hAnsi="Liberation Mono"/>
          <w:sz w:val="18"/>
        </w:rPr>
        <w:t>sum(rate(http_requests_total{namespace="vp-lr2",route="index"}[15s]))</w:t>
      </w:r>
    </w:p>
    <w:p>
      <w:pPr>
        <w:spacing w:line="240" w:lineRule="auto" w:after="60"/>
        <w:ind w:firstLine="0"/>
      </w:pPr>
      <w:r>
        <w:rPr>
          <w:rFonts w:ascii="Liberation Mono" w:hAnsi="Liberation Mono"/>
          <w:sz w:val="18"/>
        </w:rPr>
        <w:t>sum(rate(http_errors_total{namespace="vp-lr2",group="5xx"}[15s])) or vector(0)</w:t>
      </w:r>
    </w:p>
    <w:p>
      <w:pPr>
        <w:spacing w:line="240" w:lineRule="auto" w:after="60"/>
        <w:ind w:firstLine="0"/>
      </w:pPr>
      <w:r>
        <w:rPr>
          <w:rFonts w:ascii="Liberation Mono" w:hAnsi="Liberation Mono"/>
          <w:sz w:val="18"/>
        </w:rPr>
        <w:t>1000 * histogram_quantile(0.95, sum by (le) (increase(http_request_duration_seconds_bucket{namespace="vp-lr2",route="index"}[40s])))</w:t>
      </w:r>
    </w:p>
    <w:p>
      <w:r>
        <w:t>На снимках терминала показаны каталог запуска, команда чтения сохранённого вывода k6 и результаты трёх прогонов. Снимки сделаны после завершения тестов.</w:t>
      </w:r>
    </w:p>
    <w:p>
      <w:pPr>
        <w:spacing w:after="0"/>
        <w:ind w:firstLine="0"/>
        <w:jc w:val="center"/>
      </w:pPr>
      <w:r>
        <w:drawing>
          <wp:inline xmlns:a="http://schemas.openxmlformats.org/drawingml/2006/main" xmlns:pic="http://schemas.openxmlformats.org/drawingml/2006/picture">
            <wp:extent cx="5580000" cy="1068047"/>
            <wp:docPr id="4" name="Picture 4"/>
            <wp:cNvGraphicFramePr>
              <a:graphicFrameLocks noChangeAspect="1"/>
            </wp:cNvGraphicFramePr>
            <a:graphic>
              <a:graphicData uri="http://schemas.openxmlformats.org/drawingml/2006/picture">
                <pic:pic>
                  <pic:nvPicPr>
                    <pic:cNvPr id="0" name="vu10.png"/>
                    <pic:cNvPicPr/>
                  </pic:nvPicPr>
                  <pic:blipFill>
                    <a:blip r:embed="rId12"/>
                    <a:stretch>
                      <a:fillRect/>
                    </a:stretch>
                  </pic:blipFill>
                  <pic:spPr>
                    <a:xfrm>
                      <a:off x="0" y="0"/>
                      <a:ext cx="5580000" cy="1068047"/>
                    </a:xfrm>
                    <a:prstGeom prst="rect"/>
                  </pic:spPr>
                </pic:pic>
              </a:graphicData>
            </a:graphic>
          </wp:inline>
        </w:drawing>
      </w:r>
    </w:p>
    <w:p>
      <w:pPr>
        <w:spacing w:line="240" w:lineRule="auto" w:before="40" w:after="160"/>
        <w:ind w:firstLine="0"/>
        <w:jc w:val="center"/>
      </w:pPr>
      <w:r>
        <w:rPr>
          <w:rFonts w:ascii="Times New Roman" w:hAnsi="Times New Roman"/>
          <w:sz w:val="24"/>
        </w:rPr>
        <w:t>Рисунок 4. Просмотр сохранённого вывода k6 для 10 VU</w:t>
      </w:r>
    </w:p>
    <w:p>
      <w:pPr>
        <w:spacing w:after="0"/>
        <w:ind w:firstLine="0"/>
        <w:jc w:val="center"/>
      </w:pPr>
      <w:r>
        <w:drawing>
          <wp:inline xmlns:a="http://schemas.openxmlformats.org/drawingml/2006/main" xmlns:pic="http://schemas.openxmlformats.org/drawingml/2006/picture">
            <wp:extent cx="5580000" cy="1068047"/>
            <wp:docPr id="5" name="Picture 5"/>
            <wp:cNvGraphicFramePr>
              <a:graphicFrameLocks noChangeAspect="1"/>
            </wp:cNvGraphicFramePr>
            <a:graphic>
              <a:graphicData uri="http://schemas.openxmlformats.org/drawingml/2006/picture">
                <pic:pic>
                  <pic:nvPicPr>
                    <pic:cNvPr id="0" name="vu50.png"/>
                    <pic:cNvPicPr/>
                  </pic:nvPicPr>
                  <pic:blipFill>
                    <a:blip r:embed="rId13"/>
                    <a:stretch>
                      <a:fillRect/>
                    </a:stretch>
                  </pic:blipFill>
                  <pic:spPr>
                    <a:xfrm>
                      <a:off x="0" y="0"/>
                      <a:ext cx="5580000" cy="1068047"/>
                    </a:xfrm>
                    <a:prstGeom prst="rect"/>
                  </pic:spPr>
                </pic:pic>
              </a:graphicData>
            </a:graphic>
          </wp:inline>
        </w:drawing>
      </w:r>
    </w:p>
    <w:p>
      <w:pPr>
        <w:spacing w:line="240" w:lineRule="auto" w:before="40" w:after="160"/>
        <w:ind w:firstLine="0"/>
        <w:jc w:val="center"/>
      </w:pPr>
      <w:r>
        <w:rPr>
          <w:rFonts w:ascii="Times New Roman" w:hAnsi="Times New Roman"/>
          <w:sz w:val="24"/>
        </w:rPr>
        <w:t>Рисунок 5. Просмотр сохранённого вывода k6 для 50 VU</w:t>
      </w:r>
    </w:p>
    <w:p>
      <w:pPr>
        <w:spacing w:after="0"/>
        <w:ind w:firstLine="0"/>
        <w:jc w:val="center"/>
      </w:pPr>
      <w:r>
        <w:drawing>
          <wp:inline xmlns:a="http://schemas.openxmlformats.org/drawingml/2006/main" xmlns:pic="http://schemas.openxmlformats.org/drawingml/2006/picture">
            <wp:extent cx="5580000" cy="1068047"/>
            <wp:docPr id="6" name="Picture 6"/>
            <wp:cNvGraphicFramePr>
              <a:graphicFrameLocks noChangeAspect="1"/>
            </wp:cNvGraphicFramePr>
            <a:graphic>
              <a:graphicData uri="http://schemas.openxmlformats.org/drawingml/2006/picture">
                <pic:pic>
                  <pic:nvPicPr>
                    <pic:cNvPr id="0" name="vu200.png"/>
                    <pic:cNvPicPr/>
                  </pic:nvPicPr>
                  <pic:blipFill>
                    <a:blip r:embed="rId14"/>
                    <a:stretch>
                      <a:fillRect/>
                    </a:stretch>
                  </pic:blipFill>
                  <pic:spPr>
                    <a:xfrm>
                      <a:off x="0" y="0"/>
                      <a:ext cx="5580000" cy="1068047"/>
                    </a:xfrm>
                    <a:prstGeom prst="rect"/>
                  </pic:spPr>
                </pic:pic>
              </a:graphicData>
            </a:graphic>
          </wp:inline>
        </w:drawing>
      </w:r>
    </w:p>
    <w:p>
      <w:pPr>
        <w:spacing w:line="240" w:lineRule="auto" w:before="40" w:after="160"/>
        <w:ind w:firstLine="0"/>
        <w:jc w:val="center"/>
      </w:pPr>
      <w:r>
        <w:rPr>
          <w:rFonts w:ascii="Times New Roman" w:hAnsi="Times New Roman"/>
          <w:sz w:val="24"/>
        </w:rPr>
        <w:t>Рисунок 6. Просмотр сохранённого вывода k6 для 200 VU</w:t>
      </w:r>
    </w:p>
    <w:p>
      <w:r>
        <w:t>Сохранённые ответы Prometheus на запрос sum(rate(http_requests_total{namespace="vp-lr2",route="index"}[15s])) содержат точки временного ряда во время каждого прогона. По ним построен график ниже. Это график по ответам Prometheus, а не снимок его веб-интерфейса: локальный кластер сейчас остановлен.</w:t>
      </w:r>
    </w:p>
    <w:p>
      <w:pPr>
        <w:spacing w:after="0"/>
        <w:ind w:firstLine="0"/>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prometheus-rps-time.png"/>
                    <pic:cNvPicPr/>
                  </pic:nvPicPr>
                  <pic:blipFill>
                    <a:blip r:embed="rId15"/>
                    <a:stretch>
                      <a:fillRect/>
                    </a:stretch>
                  </pic:blipFill>
                  <pic:spPr>
                    <a:xfrm>
                      <a:off x="0" y="0"/>
                      <a:ext cx="5580000" cy="3138750"/>
                    </a:xfrm>
                    <a:prstGeom prst="rect"/>
                  </pic:spPr>
                </pic:pic>
              </a:graphicData>
            </a:graphic>
          </wp:inline>
        </w:drawing>
      </w:r>
    </w:p>
    <w:p>
      <w:pPr>
        <w:spacing w:line="240" w:lineRule="auto" w:before="40" w:after="160"/>
        <w:ind w:firstLine="0"/>
        <w:jc w:val="center"/>
      </w:pPr>
      <w:r>
        <w:rPr>
          <w:rFonts w:ascii="Times New Roman" w:hAnsi="Times New Roman"/>
          <w:sz w:val="24"/>
        </w:rPr>
        <w:t>Рисунок 7. Изменение RPS во времени по сохранённым ответам Prometheus</w:t>
      </w:r>
    </w:p>
    <w:p>
      <w:pPr>
        <w:pStyle w:val="Heading1"/>
      </w:pPr>
      <w:r>
        <w:t>4. Сравнение и анализ</w:t>
      </w:r>
    </w:p>
    <w:p>
      <w:r>
        <w:t>Для 200 VU k6 показал p95 = 228.16 мс, а Prometheus = 8.42 мс. Разница равна 219.73 мс, или 96.31 % от значения k6. k6 измеряет полный ответ клиенту. Метрика приложения измеряет только обработку внутри Flask. Кроме того, Prometheus оценивает квантиль по бакетам за окно 40 секунд, а k6 считает по ответам во время 30-секундного теста. Поэтому значения напрямую не совпадают.</w:t>
      </w:r>
    </w:p>
    <w:p>
      <w:pPr>
        <w:spacing w:after="0"/>
        <w:ind w:firstLine="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p95.png"/>
                    <pic:cNvPicPr/>
                  </pic:nvPicPr>
                  <pic:blipFill>
                    <a:blip r:embed="rId16"/>
                    <a:stretch>
                      <a:fillRect/>
                    </a:stretch>
                  </pic:blipFill>
                  <pic:spPr>
                    <a:xfrm>
                      <a:off x="0" y="0"/>
                      <a:ext cx="5580000" cy="3138750"/>
                    </a:xfrm>
                    <a:prstGeom prst="rect"/>
                  </pic:spPr>
                </pic:pic>
              </a:graphicData>
            </a:graphic>
          </wp:inline>
        </w:drawing>
      </w:r>
    </w:p>
    <w:p>
      <w:pPr>
        <w:spacing w:line="240" w:lineRule="auto" w:before="40" w:after="160"/>
        <w:ind w:firstLine="0"/>
        <w:jc w:val="center"/>
      </w:pPr>
      <w:r>
        <w:rPr>
          <w:rFonts w:ascii="Times New Roman" w:hAnsi="Times New Roman"/>
          <w:sz w:val="24"/>
        </w:rPr>
        <w:t>Рисунок 8. Изменение p95 при росте нагрузки</w:t>
      </w:r>
    </w:p>
    <w:p>
      <w:pPr>
        <w:spacing w:after="0"/>
        <w:ind w:firstLine="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resources.png"/>
                    <pic:cNvPicPr/>
                  </pic:nvPicPr>
                  <pic:blipFill>
                    <a:blip r:embed="rId17"/>
                    <a:stretch>
                      <a:fillRect/>
                    </a:stretch>
                  </pic:blipFill>
                  <pic:spPr>
                    <a:xfrm>
                      <a:off x="0" y="0"/>
                      <a:ext cx="5580000" cy="3138750"/>
                    </a:xfrm>
                    <a:prstGeom prst="rect"/>
                  </pic:spPr>
                </pic:pic>
              </a:graphicData>
            </a:graphic>
          </wp:inline>
        </w:drawing>
      </w:r>
    </w:p>
    <w:p>
      <w:pPr>
        <w:spacing w:line="240" w:lineRule="auto" w:before="40" w:after="160"/>
        <w:ind w:firstLine="0"/>
        <w:jc w:val="center"/>
      </w:pPr>
      <w:r>
        <w:rPr>
          <w:rFonts w:ascii="Times New Roman" w:hAnsi="Times New Roman"/>
          <w:sz w:val="24"/>
        </w:rPr>
        <w:t>Рисунок 9. Средние CPU и память auth-service</w:t>
      </w:r>
    </w:p>
    <w:p>
      <w:pPr>
        <w:spacing w:after="0"/>
        <w:ind w:firstLine="0"/>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rps.png"/>
                    <pic:cNvPicPr/>
                  </pic:nvPicPr>
                  <pic:blipFill>
                    <a:blip r:embed="rId18"/>
                    <a:stretch>
                      <a:fillRect/>
                    </a:stretch>
                  </pic:blipFill>
                  <pic:spPr>
                    <a:xfrm>
                      <a:off x="0" y="0"/>
                      <a:ext cx="5580000" cy="3138750"/>
                    </a:xfrm>
                    <a:prstGeom prst="rect"/>
                  </pic:spPr>
                </pic:pic>
              </a:graphicData>
            </a:graphic>
          </wp:inline>
        </w:drawing>
      </w:r>
    </w:p>
    <w:p>
      <w:pPr>
        <w:spacing w:line="240" w:lineRule="auto" w:before="40" w:after="160"/>
        <w:ind w:firstLine="0"/>
        <w:jc w:val="center"/>
      </w:pPr>
      <w:r>
        <w:rPr>
          <w:rFonts w:ascii="Times New Roman" w:hAnsi="Times New Roman"/>
          <w:sz w:val="24"/>
        </w:rPr>
        <w:t>Рисунок 10. Пропускная способность по данным k6</w:t>
      </w:r>
    </w:p>
    <w:p>
      <w:r>
        <w:t>Ухудшение заметно на 200 VU: p95 k6 вырос с 49,96 до 228,16 мс, а RPS вырос с 48,56 до 176,09, то есть не пропорционально числу VU. CPU вырос с 33,3 до 115,4 % одного ядра. Память изменилась мало: с 31,4 до 33,5 МиБ. Ошибок не было. Ранее, уже на 50 VU, p95 вырос с 25,07 до 49,96 мс, но более резкий рост виден между 50 и 200 VU.</w:t>
      </w:r>
    </w:p>
    <w:p>
      <w:r>
        <w:t>Моя гипотеза: при высокой нагрузке запросы дольше ждут до начала обработки во Flask или в сетевом стеке. На это указывает большая разница между p95 k6 и p95 приложения. Рост CPU тоже может участвовать, но по этим данным нельзя доказать, что процессор исчерпан: контейнер не ограничен одним ядром. Для проверки гипотезы нужны дополнительные измерения очереди, профилирование и повторные прогоны.</w:t>
      </w:r>
    </w:p>
    <w:p>
      <w:pPr>
        <w:pStyle w:val="Heading1"/>
      </w:pPr>
      <w:r>
        <w:t>5. Ответы на контрольные вопросы</w:t>
      </w:r>
    </w:p>
    <w:p>
      <w:r>
        <w:t>1. Что такое мониторинг и чем он отличается от нагрузочного тестирования? Мониторинг постоянно собирает состояние работающей системы. Нагрузочное тестирование специально создаёт запросы и показывает, как система ведёт себя при заданной нагрузке.</w:t>
      </w:r>
    </w:p>
    <w:p>
      <w:r>
        <w:t>2. Что дают k6 и Prometheus и почему RPS и p95 могут различаться? k6 видит систему как клиент: запросы, ошибки и полное время ответа. Prometheus собирает внутренние метрики. Различия возникают из-за места измерения, интервалов и способа вычисления квантилей.</w:t>
      </w:r>
    </w:p>
    <w:p>
      <w:r>
        <w:t>3. Что такое Prometheus и Pull-модель? Prometheus хранит временные ряды и сам регулярно забирает метрики с HTTP-адреса /metrics. Это и есть Pull-модель.</w:t>
      </w:r>
    </w:p>
    <w:p>
      <w:r>
        <w:t>4. Что такое метрика, временной ряд и labels? Метрика описывает измеряемую величину. Временной ряд состоит из её значений с отметками времени. Labels уточняют, к какому сервису, поду или маршруту относится ряд.</w:t>
      </w:r>
    </w:p>
    <w:p>
      <w:r>
        <w:t>5. Чем counter отличается от gauge и почему rate() не применяют к gauge? Counter только растёт до перезапуска, например число запросов. Gauge может расти и падать, например память. rate() нужен для скорости роста счётчика и обрабатывает его сброс; для обычного gauge такая интерпретация неверна.</w:t>
      </w:r>
    </w:p>
    <w:p>
      <w:r>
        <w:t>6. Почему для latency используют Histogram? Чем он отличается от Summary? Histogram считает наблюдения в бакетах, которые можно складывать между экземплярами и затем оценивать p95 через histogram_quantile(0.95, sum by (le) (rate(http_request_duration_seconds_bucket[5m]))). Summary вычисляет квантили на стороне приложения; такие квантили между экземплярами корректно не складываются.</w:t>
      </w:r>
    </w:p>
    <w:p>
      <w:r>
        <w:t>7. Что такое PromQL и как найти 5xx-ошибки и их долю? PromQL это язык запросов Prometheus. Скорость 5xx: sum(rate(http_requests_total{status=~"5.."}[1m])). Доля в процентах: 100 * эта скорость / sum(rate(http_requests_total[1m])). Для количества за минуту можно использовать sum(increase(http_requests_total{status=~"5.."}[1m])).</w:t>
      </w:r>
    </w:p>
    <w:p>
      <w:r>
        <w:t>8. Что такое bottleneck и почему CPU 90 % не доказывает его? Bottleneck это ресурс или участок, ограничивающий скорость работы. Одно значение CPU не показывает, мешает ли именно процессор: нужны задержки, пропускная способность, ограничения контейнера и другие метрики.</w:t>
      </w:r>
    </w:p>
    <w:p>
      <w:r>
        <w:t>9. Что такое warm-up и saturation point? Warm-up это первые секунды, когда приложение и инструменты ещё прогреваются. Saturation point это нагрузка, после которой рост запросов почти не увеличивает полезную производительность, а задержка растёт. Первые секунды лучше отдельно не усреднять с устойчивой работой.</w:t>
      </w:r>
    </w:p>
    <w:p>
      <w:r>
        <w:t>10. Чем гипотеза отличается от доказанного результата? Измеренный p95 и CPU это факты. Причина их изменения пока только объяснение, которое надо проверить отдельным экспериментом. Я поэтому пишу «возможно, запросы ждут до обработки», а не утверждаю, что это доказано.</w:t>
      </w:r>
    </w:p>
    <w:p>
      <w:pPr>
        <w:pStyle w:val="Heading1"/>
      </w:pPr>
      <w:r>
        <w:t>Вывод</w:t>
      </w:r>
    </w:p>
    <w:p>
      <w:r>
        <w:t>Я настроил Prometheus для auth-service и получил метрики приложения и Kubernetes. Все три теста прошли без ошибок. При 200 VU задержка со стороны клиента выросла намного сильнее, чем измеренное внутри приложения время обработки. Это даёт направление для дальнейшей проверки, но пока не доказывает причину замедления.</w:t>
      </w:r>
    </w:p>
    <w:sectPr w:rsidR="00FC693F" w:rsidRPr="0006063C" w:rsidSect="00034616">
      <w:footerReference w:type="default" r:id="rId19"/>
      <w:pgSz w:w="11906" w:h="16838"/>
      <w:pgMar w:top="1134" w:right="850"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ind w:firstLin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