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ANÁLISE DE RISCOS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INFORMAÇÕES BÁSICAS</w:t>
      </w:r>
    </w:p>
    <w:tbl>
      <w:tblPr>
        <w:tblStyle w:val="Table1"/>
        <w:tblW w:w="9183.0" w:type="dxa"/>
        <w:jc w:val="left"/>
        <w:tblInd w:w="-60.0" w:type="dxa"/>
        <w:tblLayout w:type="fixed"/>
        <w:tblLook w:val="0000"/>
      </w:tblPr>
      <w:tblGrid>
        <w:gridCol w:w="4365"/>
        <w:gridCol w:w="4818"/>
        <w:tblGridChange w:id="0">
          <w:tblGrid>
            <w:gridCol w:w="4365"/>
            <w:gridCol w:w="48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OBJETO DA ANÁLISE DE RISCOS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RESPONSÁVEIS PELA CRIAÇÃO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Aquisição de ar condicionado a fim de atender às demandas da Secretaria Municipal de Saúde de Arapiraca.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Laura Rossana Acioly de Carvalho Rios</w:t>
              <w:br w:type="textWrapping"/>
              <w:t xml:space="preserve">Evandro da Silva Melo Júnior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HISTÓRICO DE REVISÕES</w:t>
      </w:r>
    </w:p>
    <w:tbl>
      <w:tblPr>
        <w:tblStyle w:val="Table2"/>
        <w:tblW w:w="9184.0" w:type="dxa"/>
        <w:jc w:val="left"/>
        <w:tblInd w:w="-60.0" w:type="dxa"/>
        <w:tblLayout w:type="fixed"/>
        <w:tblLook w:val="0000"/>
      </w:tblPr>
      <w:tblGrid>
        <w:gridCol w:w="9184"/>
        <w:tblGridChange w:id="0">
          <w:tblGrid>
            <w:gridCol w:w="91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revisão encontrada.</w:t>
            </w:r>
          </w:p>
        </w:tc>
      </w:tr>
    </w:tbl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3. RISCOS IDENTIFICADOS</w:t>
      </w:r>
    </w:p>
    <w:tbl>
      <w:tblPr>
        <w:tblStyle w:val="Table3"/>
        <w:tblW w:w="9184.0" w:type="dxa"/>
        <w:jc w:val="left"/>
        <w:tblInd w:w="-60.0" w:type="dxa"/>
        <w:tblLayout w:type="fixed"/>
        <w:tblLook w:val="0000"/>
      </w:tblPr>
      <w:tblGrid>
        <w:gridCol w:w="1180"/>
        <w:gridCol w:w="2487"/>
        <w:gridCol w:w="1843"/>
        <w:gridCol w:w="1837"/>
        <w:gridCol w:w="1837"/>
        <w:tblGridChange w:id="0">
          <w:tblGrid>
            <w:gridCol w:w="1180"/>
            <w:gridCol w:w="2487"/>
            <w:gridCol w:w="1843"/>
            <w:gridCol w:w="1837"/>
            <w:gridCol w:w="18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CAUSA DO RISCO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NÍVEL DO RISCO</w:t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 – 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Inadequação da modalidade de contratação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Estudo Técnico Preliminar equivocado.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Planejamento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Extremo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IMPACTOS</w:t>
            </w:r>
          </w:p>
        </w:tc>
      </w:tr>
      <w:tr>
        <w:trPr>
          <w:cantSplit w:val="0"/>
          <w:trHeight w:val="1027" w:hRule="atLeast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O município não possui aparelhos de ar-condicionado em quantidade suficiente, o que compromete a qualidade do ambiente e o conforto térmico nas instalações das unidades públicas de saúde.</w:t>
              <w:br w:type="textWrapping"/>
              <w:t xml:space="preserve">2. A ausência desses equipamentos adequados pode impactar negativamente a infraestrutura de atendimento à população, comprometendo o bem-estar dos usuários e a eficiência dos serviços prestados, especialmente em ambientes sensíveis como consultórios, salas de vacinação e setores administrativos.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AÇÕES PREVENTIVAS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 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 01 Realizar o Estudo Técnico Preliminar de forma adequada e eficaz.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AÇÕES DE CONTINGÊNCIA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 – 01.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Escolha da modalidade de contratação adequada para o objeto em questão.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60.0" w:type="dxa"/>
        <w:tblLayout w:type="fixed"/>
        <w:tblLook w:val="0000"/>
      </w:tblPr>
      <w:tblGrid>
        <w:gridCol w:w="1185"/>
        <w:gridCol w:w="2535"/>
        <w:gridCol w:w="2325"/>
        <w:gridCol w:w="1665"/>
        <w:gridCol w:w="1470"/>
        <w:tblGridChange w:id="0">
          <w:tblGrid>
            <w:gridCol w:w="1185"/>
            <w:gridCol w:w="2535"/>
            <w:gridCol w:w="2325"/>
            <w:gridCol w:w="1665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CAUSA DO RISCO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NÍVEL DO RISCO</w:t>
            </w:r>
          </w:p>
        </w:tc>
      </w:tr>
      <w:tr>
        <w:trPr>
          <w:cantSplit w:val="0"/>
          <w:trHeight w:val="17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 – 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Os  ares condicionados com especificações divergentes do edital não atenderão a demanda.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Entrega dos ares condicionados com especificações divergentes do edital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Planejamento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IMPACTOS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Transtornos causados pela falta ou inadequação de aparelhos de ar-condicionado, o que pode impactar diretamente o conforto, a conservação de insumos e o ambiente de trabalho nas unidades de saúde, comprometendo a qualidade do atendimento e, consequentemente, a adequada prestação dos serviços públicos à população.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AÇÕES PREVENTIVAS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 – 01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Exigir laudos técnicos, certificações.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AÇÕES DE CONTINGÊNCIA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 – 01.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Prever penalidades caso a empresa não cumpra com o edital.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84.0" w:type="dxa"/>
        <w:jc w:val="left"/>
        <w:tblInd w:w="-60.0" w:type="dxa"/>
        <w:tblLayout w:type="fixed"/>
        <w:tblLook w:val="0000"/>
      </w:tblPr>
      <w:tblGrid>
        <w:gridCol w:w="1180"/>
        <w:gridCol w:w="2487"/>
        <w:gridCol w:w="1843"/>
        <w:gridCol w:w="1837"/>
        <w:gridCol w:w="1837"/>
        <w:tblGridChange w:id="0">
          <w:tblGrid>
            <w:gridCol w:w="1180"/>
            <w:gridCol w:w="2487"/>
            <w:gridCol w:w="1843"/>
            <w:gridCol w:w="1837"/>
            <w:gridCol w:w="18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CAUSA DO RISCO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NÍVEL DO RISCO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 – 03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Comprometimento na qualidade dos ares condicionados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Descrição imprecisa dos ares condicionados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Planejamento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Extremo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68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IMPACTOS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after="46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 falta ou inadequação de aparelhos de ar-condicionado compromete a eficiência dos serviços de saúde, impactando negativamente o conforto térmico, a conservação de insumos e a qualidade do atendimento prestado à população.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72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AÇÕES PREVENTIVAS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 – 01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Elaboração detalhada do Estudo Técnico Preliminar.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7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AÇÕES DE CONTINGÊNCIA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 – 01.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Definir claramente as especificações, detalhes e padrões de qualidade.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24 de novembro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2026.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4. RESPONSÁVEL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b w:val="1"/>
          <w:bCs w:val="1"/>
          <w:sz w:val="20"/>
          <w:szCs w:val="20"/>
        </w:rPr>
        <w:sectPr>
          <w:headerReference r:id="rId6" w:type="default"/>
          <w:footerReference r:id="rId7" w:type="default"/>
          <w:pgSz w:h="16838" w:w="11906" w:orient="portrait"/>
          <w:pgMar w:bottom="964" w:top="1701" w:left="1701" w:right="1021" w:header="426" w:footer="85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line="276" w:lineRule="auto"/>
        <w:jc w:val="center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bookmarkStart w:colFirst="0" w:colLast="0" w:name="_bcmgmzr93lhf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Laura Rossana Acioly de Carvalho Rios</w:t>
      </w:r>
    </w:p>
    <w:p w:rsidR="00000000" w:rsidDel="00000000" w:rsidP="00000000" w:rsidRDefault="00000000" w:rsidRPr="00000000" w14:paraId="0000008D">
      <w:pPr>
        <w:widowControl w:val="0"/>
        <w:spacing w:after="0" w:line="276" w:lineRule="auto"/>
        <w:jc w:val="center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Superintendente de Atenção à Saúde</w:t>
        <w:br w:type="textWrapping"/>
        <w:t xml:space="preserve">Secretaria Municipal de Saúde -SMS</w:t>
      </w:r>
    </w:p>
    <w:p w:rsidR="00000000" w:rsidDel="00000000" w:rsidP="00000000" w:rsidRDefault="00000000" w:rsidRPr="00000000" w14:paraId="0000008E">
      <w:pPr>
        <w:widowControl w:val="0"/>
        <w:spacing w:after="0" w:line="276" w:lineRule="auto"/>
        <w:jc w:val="center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line="276" w:lineRule="auto"/>
        <w:jc w:val="center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line="276" w:lineRule="auto"/>
        <w:jc w:val="center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0" w:line="276" w:lineRule="auto"/>
        <w:jc w:val="center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0" w:line="276" w:lineRule="auto"/>
        <w:jc w:val="center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Evandro da Silva Melo Júnior</w:t>
        <w:br w:type="textWrapping"/>
        <w:t xml:space="preserve">Superintendente de Vigilância em Saúde</w:t>
      </w:r>
    </w:p>
    <w:p w:rsidR="00000000" w:rsidDel="00000000" w:rsidP="00000000" w:rsidRDefault="00000000" w:rsidRPr="00000000" w14:paraId="00000093">
      <w:pPr>
        <w:widowControl w:val="0"/>
        <w:spacing w:after="0" w:line="276" w:lineRule="auto"/>
        <w:jc w:val="center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Secretaria Municipal de Saúde - SMS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964" w:top="1701" w:left="1701" w:right="1021" w:header="426" w:footer="850"/>
      <w:cols w:equalWidth="0" w:num="2">
        <w:col w:space="720" w:w="4231.999999999999"/>
        <w:col w:space="0" w:w="4231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         Página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24245" cy="10604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24245" cy="10604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4245" cy="1060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661353</wp:posOffset>
              </wp:positionH>
              <wp:positionV relativeFrom="paragraph">
                <wp:posOffset>40324</wp:posOffset>
              </wp:positionV>
              <wp:extent cx="4306253" cy="666750"/>
              <wp:effectExtent b="0" l="0" r="0" t="0"/>
              <wp:wrapSquare wrapText="bothSides" distB="49530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661353</wp:posOffset>
              </wp:positionH>
              <wp:positionV relativeFrom="paragraph">
                <wp:posOffset>40324</wp:posOffset>
              </wp:positionV>
              <wp:extent cx="4306253" cy="666750"/>
              <wp:effectExtent b="0" l="0" r="0" t="0"/>
              <wp:wrapSquare wrapText="bothSides" distB="49530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06253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2047875</wp:posOffset>
              </wp:positionH>
              <wp:positionV relativeFrom="paragraph">
                <wp:posOffset>231776</wp:posOffset>
              </wp:positionV>
              <wp:extent cx="3783965" cy="38481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2047875</wp:posOffset>
              </wp:positionH>
              <wp:positionV relativeFrom="paragraph">
                <wp:posOffset>231776</wp:posOffset>
              </wp:positionV>
              <wp:extent cx="3783965" cy="38481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83965" cy="3848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3175</wp:posOffset>
              </wp:positionV>
              <wp:extent cx="6024245" cy="1060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3175</wp:posOffset>
              </wp:positionV>
              <wp:extent cx="6024245" cy="10604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4245" cy="1060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