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4344/2025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finalidade 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Chamamento para a prestação de serviço de Equoterapia para 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9"/>
          <w:sz w:val="22"/>
          <w:szCs w:val="22"/>
          <w:shd w:fill="fff2cc" w:val="clear"/>
          <w:rtl w:val="0"/>
        </w:rPr>
        <w:t xml:space="preserve"> Secretaria Municipal de Saúde de Arapiraca/AL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13.019/2014 e no Decreto Municipal nº 2.574/2019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Encaminhe-se à Secretaria Municipal de Saúde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fevereiro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3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691198</wp:posOffset>
              </wp:positionH>
              <wp:positionV relativeFrom="paragraph">
                <wp:posOffset>64453</wp:posOffset>
              </wp:positionV>
              <wp:extent cx="4491355" cy="6229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691198</wp:posOffset>
              </wp:positionH>
              <wp:positionV relativeFrom="paragraph">
                <wp:posOffset>64453</wp:posOffset>
              </wp:positionV>
              <wp:extent cx="4491355" cy="6229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