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9723027</wp:posOffset>
            </wp:positionV>
            <wp:extent cx="7559928" cy="969354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928" cy="9693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539623</wp:posOffset>
            </wp:positionH>
            <wp:positionV relativeFrom="page">
              <wp:posOffset>187119</wp:posOffset>
            </wp:positionV>
            <wp:extent cx="6457187" cy="88539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187" cy="8853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55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Arapiraca, 10 de Julho de 2026.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2" w:right="665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 n° 0574/2026 À Senhora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3" w:lineRule="auto"/>
        <w:ind w:left="2" w:right="4931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Rafaella Souza Albuquerque Secretária de Saúde de Arapiraca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ind w:firstLine="722"/>
        <w:rPr/>
      </w:pPr>
      <w:r w:rsidDel="00000000" w:rsidR="00000000" w:rsidRPr="00000000">
        <w:rPr>
          <w:rtl w:val="0"/>
        </w:rPr>
        <w:t xml:space="preserve">PARECER TÉCNICO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73" w:lineRule="auto"/>
        <w:ind w:left="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Assunto: Análise de disponibilidade de procedimento no âmbito do Sistema Único de Saúde – SUS.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71" w:lineRule="auto"/>
        <w:ind w:left="2" w:right="137" w:firstLine="707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análise à solicitação referente ao procedimento Implante de anel intraestromal associado ao crosslinking corneano, indicado para o olho esquerdo da paciente Mariana Alves da Rocha, conforme orçamento apresentado, informa-se que, após consulta à Tabela de Procedimentos, Medicamentos, Órteses, Próteses e Materiais Especiais do Sistema Único de Saúde (SIGTAP), aos Protocolos Clínicos e Diretrizes Terapêuticas (PCDT) vigentes e às normativas do Ministério da Saúde, verificou-se que o referido procedimento não integra o rol de procedimentos ofertados e financiados pelo Sistema Único de Saúde.</w:t>
      </w:r>
    </w:p>
    <w:p w:rsidR="00000000" w:rsidDel="00000000" w:rsidP="00000000" w:rsidRDefault="00000000" w:rsidRPr="00000000" w14:paraId="00000011">
      <w:pPr>
        <w:spacing w:before="168" w:line="271" w:lineRule="auto"/>
        <w:ind w:left="2" w:right="139" w:firstLine="707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Destaca-se que o SUS disponibiliza assistência oftalmológica em diversos níveis de complexidade, entretanto, o implante de anel intraestromal corneano associado ao procedimento de crosslinking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não possui incorporação para financiamento pelo Ministério da Saúde, inexistindo previsão de custeio com recursos federais para sua realização na rede pública de saúde.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73" w:lineRule="auto"/>
        <w:ind w:left="2" w:right="142" w:firstLine="707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Assim, este núcleo esclarece que a Secretaria Municipal de Saúde não dispõe de oferta direta para execução do referido procedimento.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580" w:right="722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Permanecemos à disposição para quaisquer esclarecimentos adicionais.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580" w:right="714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Atenciosamente,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715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 RENATA DE ALMEIDA LIMA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422" w:lineRule="auto"/>
        <w:ind w:left="1190" w:right="834" w:firstLine="996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Farmacêutica – CRF/AL 1024 – Mat.10519-7 Coordenadora do núcleo de judicialização em Saúde – SMS/PMA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sz w:val="15"/>
          <w:szCs w:val="15"/>
          <w:rtl w:val="0"/>
        </w:rPr>
        <w:t xml:space="preserve">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4101699</wp:posOffset>
            </wp:positionH>
            <wp:positionV relativeFrom="paragraph">
              <wp:posOffset>128376</wp:posOffset>
            </wp:positionV>
            <wp:extent cx="297293" cy="111442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93" cy="1114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40" w:w="11910" w:orient="portrait"/>
      <w:pgMar w:bottom="0" w:top="280" w:left="1700" w:right="1559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22" w:right="142"/>
      <w:jc w:val="center"/>
    </w:pPr>
    <w:rPr>
      <w:rFonts w:ascii="Trebuchet MS" w:cs="Trebuchet MS" w:eastAsia="Trebuchet MS" w:hAnsi="Trebuchet MS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2026-07-10T00:00:00Z</vt:lpwstr>
  </property>
  <property fmtid="{D5CDD505-2E9C-101B-9397-08002B2CF9AE}" pid="4" name="Creator">
    <vt:lpwstr>Microsoft® Word para Microsoft 365</vt:lpwstr>
  </property>
  <property fmtid="{D5CDD505-2E9C-101B-9397-08002B2CF9AE}" pid="5" name="LastSaved">
    <vt:lpwstr>2026-07-10T00:00:00Z</vt:lpwstr>
  </property>
  <property fmtid="{D5CDD505-2E9C-101B-9397-08002B2CF9AE}" pid="6" name="Producer">
    <vt:lpwstr>Microsoft® Word para Microsoft 365</vt:lpwstr>
  </property>
</Properties>
</file>