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jc w:val="center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DOCUMENTO DE FORMALIZAÇÃO DE DEMANDA (DFD)</w:t>
      </w:r>
    </w:p>
    <w:p w:rsidR="00000000" w:rsidDel="00000000" w:rsidP="00000000" w:rsidRDefault="00000000" w:rsidRPr="00000000" w14:paraId="0000000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jc w:val="both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5" w:right="-10" w:hanging="15"/>
        <w:jc w:val="both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1. Objeto</w:t>
      </w:r>
    </w:p>
    <w:p w:rsidR="00000000" w:rsidDel="00000000" w:rsidP="00000000" w:rsidRDefault="00000000" w:rsidRPr="00000000" w14:paraId="0000000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5" w:right="-10" w:hanging="15"/>
        <w:jc w:val="both"/>
        <w:rPr>
          <w:rFonts w:ascii="Arial" w:cs="Arial" w:eastAsia="Arial" w:hAnsi="Arial"/>
          <w:color w:val="000000"/>
          <w:highlight w:val="yellow"/>
        </w:rPr>
      </w:pPr>
      <w:bookmarkStart w:colFirst="0" w:colLast="0" w:name="_fkqhpt5b5bq3" w:id="0"/>
      <w:bookmarkEnd w:id="0"/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1.1. </w:t>
      </w: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Aquisição de Insumos Odontológicos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para a Secretaria Municipal de Saúde.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-10" w:right="-10" w:firstLine="0"/>
        <w:jc w:val="both"/>
        <w:rPr>
          <w:rFonts w:ascii="Arial" w:cs="Arial" w:eastAsia="Arial" w:hAnsi="Arial"/>
          <w:color w:val="000000"/>
        </w:rPr>
      </w:pPr>
      <w:bookmarkStart w:colFirst="0" w:colLast="0" w:name="_alghkm5gt20b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right="-10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2. Área Requisitante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5" w:right="-10" w:hanging="15"/>
        <w:jc w:val="both"/>
        <w:rPr>
          <w:rFonts w:ascii="Arial" w:cs="Arial" w:eastAsia="Arial" w:hAnsi="Arial"/>
          <w:color w:val="000000"/>
          <w:shd w:fill="fff2cc" w:val="clear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2.1. </w:t>
      </w: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Coordenação da Saúde Bucal. </w:t>
      </w:r>
    </w:p>
    <w:p w:rsidR="00000000" w:rsidDel="00000000" w:rsidP="00000000" w:rsidRDefault="00000000" w:rsidRPr="00000000" w14:paraId="0000000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5" w:right="-10" w:hanging="15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5" w:right="-10" w:hanging="15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3. Responsável pela Demanda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5" w:right="-10" w:hanging="15"/>
        <w:jc w:val="both"/>
        <w:rPr>
          <w:rFonts w:ascii="Arial" w:cs="Arial" w:eastAsia="Arial" w:hAnsi="Arial"/>
          <w:color w:val="000000"/>
          <w:shd w:fill="fff2cc" w:val="clear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3.1. </w:t>
      </w: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Hellyclécia Albuquerque Santos</w:t>
      </w:r>
    </w:p>
    <w:p w:rsidR="00000000" w:rsidDel="00000000" w:rsidP="00000000" w:rsidRDefault="00000000" w:rsidRPr="00000000" w14:paraId="0000000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jc w:val="both"/>
        <w:rPr>
          <w:rFonts w:ascii="Arial" w:cs="Arial" w:eastAsia="Arial" w:hAnsi="Arial"/>
          <w:b w:val="1"/>
          <w:bCs w:val="1"/>
          <w:color w:val="000000"/>
          <w:highlight w:val="yellow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4. Justificativa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color w:val="000000"/>
          <w:shd w:fill="fff2cc" w:val="clear"/>
        </w:rPr>
      </w:pP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A Secretaria Municipal de Saúde tem como dever garantir o acesso universal, igualitário e contínuo à saúde, assegurando à população serviços públicos de qualidade e segurança. Para a efetivação dessas atividades, é imprescindível a constante disponibilidade de materiais e insumos de uso cotidiano, essenciais para o desempenho das funções dos profissionais de saúde e para o funcionamento adequado das unidades de atendimento.</w:t>
      </w:r>
    </w:p>
    <w:p w:rsidR="00000000" w:rsidDel="00000000" w:rsidP="00000000" w:rsidRDefault="00000000" w:rsidRPr="00000000" w14:paraId="0000000E">
      <w:pPr>
        <w:widowControl w:val="0"/>
        <w:spacing w:after="0" w:line="240" w:lineRule="auto"/>
        <w:ind w:left="0" w:firstLine="0"/>
        <w:jc w:val="both"/>
        <w:rPr>
          <w:rFonts w:ascii="Arial" w:cs="Arial" w:eastAsia="Arial" w:hAnsi="Arial"/>
          <w:color w:val="000009"/>
          <w:shd w:fill="fff2cc" w:val="clear"/>
        </w:rPr>
      </w:pP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Diante disso, a presente solicitação tem por objetivo a aquisição de aventais para procedimentos odontológicos, itens indispensáveis à execução segura das atividades clínicas realizadas nas Unidades Básicas de Saúde (UBS). O avental é um insumo odontológico fundamental para a biossegurança, garantindo a proteção dos profissionais contra agentes biológicos e minimizando riscos de contaminação cruzada durante o atendimento odontológico</w:t>
      </w:r>
      <w:r w:rsidDel="00000000" w:rsidR="00000000" w:rsidRPr="00000000">
        <w:rPr>
          <w:rFonts w:ascii="Arial" w:cs="Arial" w:eastAsia="Arial" w:hAnsi="Arial"/>
          <w:color w:val="000009"/>
          <w:shd w:fill="fff2cc" w:val="clear"/>
          <w:rtl w:val="0"/>
        </w:rPr>
        <w:t xml:space="preserve">, a falta desses insumos pode acarretar riscos à saúde da população e à integridade dos profissionais de saúde.</w:t>
      </w:r>
    </w:p>
    <w:p w:rsidR="00000000" w:rsidDel="00000000" w:rsidP="00000000" w:rsidRDefault="00000000" w:rsidRPr="00000000" w14:paraId="0000000F">
      <w:pPr>
        <w:widowControl w:val="0"/>
        <w:spacing w:after="0" w:line="240" w:lineRule="auto"/>
        <w:ind w:left="0" w:firstLine="0"/>
        <w:jc w:val="both"/>
        <w:rPr>
          <w:rFonts w:ascii="Arial" w:cs="Arial" w:eastAsia="Arial" w:hAnsi="Arial"/>
          <w:color w:val="000009"/>
          <w:shd w:fill="fff2cc" w:val="clear"/>
        </w:rPr>
      </w:pPr>
      <w:r w:rsidDel="00000000" w:rsidR="00000000" w:rsidRPr="00000000">
        <w:rPr>
          <w:rFonts w:ascii="Arial" w:cs="Arial" w:eastAsia="Arial" w:hAnsi="Arial"/>
          <w:color w:val="000009"/>
          <w:shd w:fill="fff2cc" w:val="clear"/>
          <w:rtl w:val="0"/>
        </w:rPr>
        <w:t xml:space="preserve">Atualmente, o Município de Arapiraca enfrenta uma situação crítica de desabastecimento desse item, o que compromete diretamente a continuidade dos atendimentos e coloca em risco tanto os profissionais de saúde quanto os usuários do Sistema Único de Saúde (SUS). A ausência de aventais adequados inviabiliza a realização segura de procedimentos odontológicos, podendo ocasionar a suspensão temporária de serviços essenciais à população.</w:t>
      </w:r>
    </w:p>
    <w:p w:rsidR="00000000" w:rsidDel="00000000" w:rsidP="00000000" w:rsidRDefault="00000000" w:rsidRPr="00000000" w14:paraId="00000010">
      <w:pPr>
        <w:widowControl w:val="0"/>
        <w:spacing w:after="0" w:line="240" w:lineRule="auto"/>
        <w:ind w:left="0" w:firstLine="0"/>
        <w:jc w:val="both"/>
        <w:rPr>
          <w:rFonts w:ascii="Arial" w:cs="Arial" w:eastAsia="Arial" w:hAnsi="Arial"/>
          <w:color w:val="000009"/>
          <w:shd w:fill="fff2cc" w:val="clear"/>
        </w:rPr>
      </w:pPr>
      <w:r w:rsidDel="00000000" w:rsidR="00000000" w:rsidRPr="00000000">
        <w:rPr>
          <w:rFonts w:ascii="Arial" w:cs="Arial" w:eastAsia="Arial" w:hAnsi="Arial"/>
          <w:color w:val="000009"/>
          <w:shd w:fill="fff2cc" w:val="clear"/>
          <w:rtl w:val="0"/>
        </w:rPr>
        <w:t xml:space="preserve">O Município mantém convênio com o Consórcio Intermunicipal do Sul de Alagoas – CONISUL para a aquisição de insumos odontológicos, visando otimizar recursos e garantir o abastecimento das Unidades de Saúde. Contudo, observa-se que, de forma recorrente, diversos itens, incluindo os aventais para procedimentos odontológicos, têm seus processos licitatórios fracassados ou cancelados, o que impede a reposição regular dos estoques e agrava o cenário de desabastecimento.</w:t>
      </w:r>
    </w:p>
    <w:p w:rsidR="00000000" w:rsidDel="00000000" w:rsidP="00000000" w:rsidRDefault="00000000" w:rsidRPr="00000000" w14:paraId="00000011">
      <w:pPr>
        <w:widowControl w:val="0"/>
        <w:spacing w:after="0" w:before="0" w:line="240" w:lineRule="auto"/>
        <w:jc w:val="both"/>
        <w:rPr>
          <w:rFonts w:ascii="Arial" w:cs="Arial" w:eastAsia="Arial" w:hAnsi="Arial"/>
          <w:color w:val="000009"/>
          <w:shd w:fill="fff2cc" w:val="clear"/>
        </w:rPr>
      </w:pPr>
      <w:r w:rsidDel="00000000" w:rsidR="00000000" w:rsidRPr="00000000">
        <w:rPr>
          <w:rFonts w:ascii="Arial" w:cs="Arial" w:eastAsia="Arial" w:hAnsi="Arial"/>
          <w:color w:val="000009"/>
          <w:shd w:fill="fff2cc" w:val="clear"/>
          <w:rtl w:val="0"/>
        </w:rPr>
        <w:t xml:space="preserve">A aquisição imediata desses aventais é, portanto, indispensável para evitar a interrupção dos atendimentos odontológicos, assegurar a proteção dos profissionais e pacientes, e garantir a manutenção das ações de prevenção e tratamento bucal. Essa medida é essencial para resguardar o direito da população ao acesso pleno e seguro aos serviços de saúde, conforme preveem os princípios do Sistema Único de Saúde (SUS): universalidade, integralidade e equidade.</w:t>
      </w:r>
    </w:p>
    <w:p w:rsidR="00000000" w:rsidDel="00000000" w:rsidP="00000000" w:rsidRDefault="00000000" w:rsidRPr="00000000" w14:paraId="00000012">
      <w:pPr>
        <w:widowControl w:val="0"/>
        <w:spacing w:after="0" w:before="0" w:line="240" w:lineRule="auto"/>
        <w:jc w:val="both"/>
        <w:rPr>
          <w:rFonts w:ascii="Arial" w:cs="Arial" w:eastAsia="Arial" w:hAnsi="Arial"/>
          <w:color w:val="000009"/>
          <w:shd w:fill="fff2cc" w:val="clear"/>
        </w:rPr>
      </w:pPr>
      <w:r w:rsidDel="00000000" w:rsidR="00000000" w:rsidRPr="00000000">
        <w:rPr>
          <w:rFonts w:ascii="Arial" w:cs="Arial" w:eastAsia="Arial" w:hAnsi="Arial"/>
          <w:color w:val="000009"/>
          <w:shd w:fill="fff2cc" w:val="clear"/>
          <w:rtl w:val="0"/>
        </w:rPr>
        <w:t xml:space="preserve">Dessa forma, a presente solicitação de aquisição de aventais para procedimentos odontológicos  tem como finalidade restabelecer o abastecimento regular da rede municipal de saúde, promovendo a eficiência dos serviços prestados, a segurança dos profissionais e a qualidade do atendimento à população de Arapiraca.</w:t>
      </w:r>
    </w:p>
    <w:p w:rsidR="00000000" w:rsidDel="00000000" w:rsidP="00000000" w:rsidRDefault="00000000" w:rsidRPr="00000000" w14:paraId="00000013">
      <w:pPr>
        <w:widowControl w:val="0"/>
        <w:spacing w:after="0" w:line="240" w:lineRule="auto"/>
        <w:ind w:left="0" w:firstLine="0"/>
        <w:jc w:val="both"/>
        <w:rPr>
          <w:rFonts w:ascii="Arial" w:cs="Arial" w:eastAsia="Arial" w:hAnsi="Arial"/>
          <w:color w:val="000009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5" w:right="-10" w:hanging="15"/>
        <w:jc w:val="both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5. Quantidade</w:t>
      </w:r>
    </w:p>
    <w:p w:rsidR="00000000" w:rsidDel="00000000" w:rsidP="00000000" w:rsidRDefault="00000000" w:rsidRPr="00000000" w14:paraId="0000001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5" w:right="-10" w:hanging="15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5.1. De acordo com o levantamento da </w:t>
      </w: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Coordenação da Saúde Bucal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, estima-se necessitar do seguinte quantitativo:</w:t>
      </w:r>
      <w:r w:rsidDel="00000000" w:rsidR="00000000" w:rsidRPr="00000000">
        <w:rPr>
          <w:rtl w:val="0"/>
        </w:rPr>
      </w:r>
    </w:p>
    <w:tbl>
      <w:tblPr>
        <w:tblStyle w:val="Table1"/>
        <w:tblW w:w="9480.0" w:type="dxa"/>
        <w:jc w:val="left"/>
        <w:tblInd w:w="-11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90"/>
        <w:gridCol w:w="6420"/>
        <w:gridCol w:w="975"/>
        <w:gridCol w:w="1395"/>
        <w:tblGridChange w:id="0">
          <w:tblGrid>
            <w:gridCol w:w="690"/>
            <w:gridCol w:w="6420"/>
            <w:gridCol w:w="975"/>
            <w:gridCol w:w="1395"/>
          </w:tblGrid>
        </w:tblGridChange>
      </w:tblGrid>
      <w:tr>
        <w:trPr>
          <w:cantSplit w:val="0"/>
          <w:trHeight w:val="619" w:hRule="atLeast"/>
          <w:tblHeader w:val="0"/>
        </w:trPr>
        <w:tc>
          <w:tcPr>
            <w:shd w:fill="cccccc" w:val="clear"/>
            <w:vAlign w:val="center"/>
          </w:tcPr>
          <w:p w:rsidR="00000000" w:rsidDel="00000000" w:rsidP="00000000" w:rsidRDefault="00000000" w:rsidRPr="00000000" w14:paraId="00000016">
            <w:pPr>
              <w:widowControl w:val="0"/>
              <w:spacing w:after="0" w:line="246" w:lineRule="auto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ITEM</w:t>
            </w:r>
          </w:p>
        </w:tc>
        <w:tc>
          <w:tcPr>
            <w:shd w:fill="cccccc" w:val="clear"/>
            <w:vAlign w:val="center"/>
          </w:tcPr>
          <w:p w:rsidR="00000000" w:rsidDel="00000000" w:rsidP="00000000" w:rsidRDefault="00000000" w:rsidRPr="00000000" w14:paraId="00000017">
            <w:pPr>
              <w:widowControl w:val="0"/>
              <w:spacing w:after="0" w:line="246" w:lineRule="auto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DESCRIÇÃO</w:t>
            </w:r>
          </w:p>
        </w:tc>
        <w:tc>
          <w:tcPr>
            <w:shd w:fill="cccccc" w:val="clear"/>
            <w:vAlign w:val="center"/>
          </w:tcPr>
          <w:p w:rsidR="00000000" w:rsidDel="00000000" w:rsidP="00000000" w:rsidRDefault="00000000" w:rsidRPr="00000000" w14:paraId="00000018">
            <w:pPr>
              <w:widowControl w:val="0"/>
              <w:spacing w:after="0" w:line="246" w:lineRule="auto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UND</w:t>
            </w:r>
          </w:p>
        </w:tc>
        <w:tc>
          <w:tcPr>
            <w:shd w:fill="cccccc" w:val="clear"/>
            <w:vAlign w:val="center"/>
          </w:tcPr>
          <w:p w:rsidR="00000000" w:rsidDel="00000000" w:rsidP="00000000" w:rsidRDefault="00000000" w:rsidRPr="00000000" w14:paraId="00000019">
            <w:pPr>
              <w:widowControl w:val="0"/>
              <w:spacing w:after="0" w:line="246" w:lineRule="auto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QTD </w:t>
            </w:r>
          </w:p>
          <w:p w:rsidR="00000000" w:rsidDel="00000000" w:rsidP="00000000" w:rsidRDefault="00000000" w:rsidRPr="00000000" w14:paraId="0000001A">
            <w:pPr>
              <w:widowControl w:val="0"/>
              <w:spacing w:after="0" w:line="246" w:lineRule="auto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TOTAL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B">
            <w:pPr>
              <w:widowControl w:val="0"/>
              <w:spacing w:after="0" w:line="24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widowControl w:val="0"/>
              <w:spacing w:before="113" w:line="246" w:lineRule="auto"/>
              <w:jc w:val="both"/>
              <w:rPr>
                <w:rFonts w:ascii="Arial" w:cs="Arial" w:eastAsia="Arial" w:hAnsi="Arial"/>
                <w:sz w:val="20"/>
                <w:szCs w:val="20"/>
                <w:shd w:fill="fff2cc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fff2cc" w:val="clear"/>
                <w:rtl w:val="0"/>
              </w:rPr>
              <w:t xml:space="preserve">Avental Procedimento – Paramentação. Esterilidade: Não Estéril, Descartável. Material: Não Tecido 100% Polipropileno - Tipo Tnt. Propriedade: Hidrorepelente. Gramatura: Cerca De 30 G/M2. Modelo Manga: Longa C/ Punho De Elástico. Tamanho: Grande (G). Cor: C/ Cor. Tipo Fechamento: Posterior P/ Pescoço E Cintura. Apresentação: Unidade.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widowControl w:val="0"/>
              <w:spacing w:after="0" w:line="24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fff2cc" w:val="clear"/>
                <w:rtl w:val="0"/>
              </w:rPr>
              <w:t xml:space="preserve">UN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widowControl w:val="0"/>
              <w:spacing w:after="0" w:line="246" w:lineRule="auto"/>
              <w:jc w:val="center"/>
              <w:rPr>
                <w:rFonts w:ascii="Arial" w:cs="Arial" w:eastAsia="Arial" w:hAnsi="Arial"/>
                <w:sz w:val="20"/>
                <w:szCs w:val="20"/>
                <w:shd w:fill="fff2cc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fff2cc" w:val="clear"/>
                <w:rtl w:val="0"/>
              </w:rPr>
              <w:t xml:space="preserve">14.000</w:t>
            </w:r>
          </w:p>
        </w:tc>
      </w:tr>
    </w:tbl>
    <w:p w:rsidR="00000000" w:rsidDel="00000000" w:rsidP="00000000" w:rsidRDefault="00000000" w:rsidRPr="00000000" w14:paraId="0000001F">
      <w:pPr>
        <w:widowControl w:val="0"/>
        <w:tabs>
          <w:tab w:val="left" w:leader="none" w:pos="838"/>
          <w:tab w:val="left" w:leader="none" w:pos="1123"/>
          <w:tab w:val="left" w:leader="none" w:pos="1423"/>
          <w:tab w:val="left" w:leader="none" w:pos="1678"/>
          <w:tab w:val="left" w:leader="none" w:pos="1933"/>
          <w:tab w:val="left" w:leader="none" w:pos="2248"/>
          <w:tab w:val="left" w:leader="none" w:pos="2503"/>
          <w:tab w:val="left" w:leader="none" w:pos="7619"/>
        </w:tabs>
        <w:spacing w:after="57" w:before="57" w:line="240" w:lineRule="auto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5" w:right="-10" w:hanging="15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right="-10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jc w:val="center"/>
        <w:rPr>
          <w:rFonts w:ascii="Arial" w:cs="Arial" w:eastAsia="Arial" w:hAnsi="Arial"/>
          <w:color w:val="000000"/>
          <w:shd w:fill="fff2cc" w:val="clear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Arapiraca, </w:t>
      </w: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16 de outubro de 2026</w:t>
      </w:r>
    </w:p>
    <w:p w:rsidR="00000000" w:rsidDel="00000000" w:rsidP="00000000" w:rsidRDefault="00000000" w:rsidRPr="00000000" w14:paraId="0000002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spacing w:after="0" w:line="240" w:lineRule="auto"/>
        <w:ind w:left="5" w:right="-10" w:hanging="15"/>
        <w:jc w:val="center"/>
        <w:rPr>
          <w:rFonts w:ascii="Arial" w:cs="Arial" w:eastAsia="Arial" w:hAnsi="Arial"/>
          <w:color w:val="000000"/>
          <w:shd w:fill="fff2cc" w:val="clear"/>
        </w:rPr>
      </w:pP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Hellyclécia Albuquerque Santos</w:t>
        <w:br w:type="textWrapping"/>
        <w:t xml:space="preserve">Coordenação da Saúde Bucal</w:t>
      </w:r>
    </w:p>
    <w:sectPr>
      <w:headerReference r:id="rId6" w:type="default"/>
      <w:footerReference r:id="rId7" w:type="default"/>
      <w:pgSz w:h="16840" w:w="11910" w:orient="portrait"/>
      <w:pgMar w:bottom="1020" w:top="1780" w:left="1560" w:right="680" w:header="702" w:footer="83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Liberation Sans"/>
  <w:font w:name="Liberation Serif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after="0" w:line="240" w:lineRule="auto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after="0" w:line="240" w:lineRule="auto"/>
      <w:rPr/>
    </w:pPr>
    <w:r w:rsidDel="00000000" w:rsidR="00000000" w:rsidRPr="00000000">
      <w:rPr>
        <w:rFonts w:ascii="Arial" w:cs="Arial" w:eastAsia="Arial" w:hAnsi="Arial"/>
        <w:sz w:val="16"/>
        <w:szCs w:val="16"/>
        <w:rtl w:val="0"/>
      </w:rPr>
      <w:t xml:space="preserve">Página 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sz w:val="16"/>
        <w:szCs w:val="16"/>
        <w:rtl w:val="0"/>
      </w:rPr>
      <w:t xml:space="preserve"> de </w:t>
    </w:r>
    <w:r w:rsidDel="00000000" w:rsidR="00000000" w:rsidRPr="00000000">
      <w:rPr/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-14283</wp:posOffset>
              </wp:positionH>
              <wp:positionV relativeFrom="paragraph">
                <wp:posOffset>-14283</wp:posOffset>
              </wp:positionV>
              <wp:extent cx="6062980" cy="144780"/>
              <wp:effectExtent b="0" l="0" r="0" t="0"/>
              <wp:wrapNone/>
              <wp:docPr id="3" name=""/>
              <a:graphic>
                <a:graphicData uri="http://schemas.microsoft.com/office/word/2010/wordprocessingShape">
                  <wps:wsp>
                    <wps:cNvSpPr/>
                    <wps:cNvPr id="4" name="Shape 4"/>
                    <wps:spPr>
                      <a:xfrm>
                        <a:off x="2357640" y="3750840"/>
                        <a:ext cx="5976720" cy="58320"/>
                      </a:xfrm>
                      <a:prstGeom prst="rect">
                        <a:avLst/>
                      </a:prstGeom>
                      <a:solidFill>
                        <a:srgbClr val="FBBA00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-14283</wp:posOffset>
              </wp:positionH>
              <wp:positionV relativeFrom="paragraph">
                <wp:posOffset>-14283</wp:posOffset>
              </wp:positionV>
              <wp:extent cx="6062980" cy="144780"/>
              <wp:effectExtent b="0" l="0" r="0" t="0"/>
              <wp:wrapNone/>
              <wp:docPr id="3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062980" cy="14478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379414</wp:posOffset>
              </wp:positionH>
              <wp:positionV relativeFrom="paragraph">
                <wp:posOffset>18736</wp:posOffset>
              </wp:positionV>
              <wp:extent cx="4577715" cy="709295"/>
              <wp:effectExtent b="0" l="0" r="0" t="0"/>
              <wp:wrapNone/>
              <wp:docPr id="4" name=""/>
              <a:graphic>
                <a:graphicData uri="http://schemas.microsoft.com/office/word/2010/wordprocessingShape">
                  <wps:wsp>
                    <wps:cNvSpPr/>
                    <wps:cNvPr id="5" name="Shape 5"/>
                    <wps:spPr>
                      <a:xfrm>
                        <a:off x="3100320" y="3468600"/>
                        <a:ext cx="4491360" cy="6228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  <w:t xml:space="preserve">CENTRO ADMINISTRATIVO ANTÔNIO ROCHA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  <w:t xml:space="preserve">Rua Samaritana, nº 1.185 – Bairro Santa Edwiges – CEP 57.311-180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  <w:t xml:space="preserve">CNPJ nº 21.013.754/0001-56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379414</wp:posOffset>
              </wp:positionH>
              <wp:positionV relativeFrom="paragraph">
                <wp:posOffset>18736</wp:posOffset>
              </wp:positionV>
              <wp:extent cx="4577715" cy="709295"/>
              <wp:effectExtent b="0" l="0" r="0" t="0"/>
              <wp:wrapNone/>
              <wp:docPr id="4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77715" cy="70929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1496695</wp:posOffset>
          </wp:positionH>
          <wp:positionV relativeFrom="paragraph">
            <wp:posOffset>85090</wp:posOffset>
          </wp:positionV>
          <wp:extent cx="135890" cy="135890"/>
          <wp:effectExtent b="0" l="0" r="0" t="0"/>
          <wp:wrapNone/>
          <wp:docPr id="5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35890" cy="135890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  <w:tab w:val="left" w:leader="none" w:pos="4940"/>
      </w:tabs>
      <w:spacing w:after="0" w:line="240" w:lineRule="auto"/>
      <w:rPr>
        <w:rFonts w:ascii="Arial" w:cs="Arial" w:eastAsia="Arial" w:hAnsi="Arial"/>
        <w:sz w:val="24"/>
        <w:szCs w:val="2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  <w:tab w:val="left" w:leader="none" w:pos="4940"/>
      </w:tabs>
      <w:spacing w:after="0" w:line="240" w:lineRule="auto"/>
      <w:rPr/>
    </w:pPr>
    <w:r w:rsidDel="00000000" w:rsidR="00000000" w:rsidRPr="00000000">
      <w:rPr/>
      <w:drawing>
        <wp:inline distB="0" distT="0" distL="0" distR="0">
          <wp:extent cx="1960880" cy="684530"/>
          <wp:effectExtent b="0" l="0" r="0" t="0"/>
          <wp:docPr id="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960880" cy="68453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Arial" w:cs="Arial" w:eastAsia="Arial" w:hAnsi="Arial"/>
        <w:sz w:val="24"/>
        <w:szCs w:val="24"/>
        <w:rtl w:val="0"/>
      </w:rPr>
      <w:t xml:space="preserve"> </w:t>
    </w:r>
    <w:r w:rsidDel="00000000" w:rsidR="00000000" w:rsidRPr="00000000">
      <w:rPr>
        <w:rtl w:val="0"/>
      </w:rPr>
      <w:tab/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2309814</wp:posOffset>
              </wp:positionH>
              <wp:positionV relativeFrom="paragraph">
                <wp:posOffset>214314</wp:posOffset>
              </wp:positionV>
              <wp:extent cx="3822700" cy="423545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3477780" y="3611340"/>
                        <a:ext cx="3736440" cy="3373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SECRETARIA MUNICIPAL DE SAÚDE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2309814</wp:posOffset>
              </wp:positionH>
              <wp:positionV relativeFrom="paragraph">
                <wp:posOffset>214314</wp:posOffset>
              </wp:positionV>
              <wp:extent cx="3822700" cy="423545"/>
              <wp:effectExtent b="0" l="0" r="0" t="0"/>
              <wp:wrapNone/>
              <wp:docPr id="1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822700" cy="42354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28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  <w:tab w:val="left" w:leader="none" w:pos="4940"/>
      </w:tabs>
      <w:spacing w:after="0" w:line="240" w:lineRule="auto"/>
      <w:rPr/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74613</wp:posOffset>
              </wp:positionH>
              <wp:positionV relativeFrom="paragraph">
                <wp:posOffset>-14283</wp:posOffset>
              </wp:positionV>
              <wp:extent cx="6062980" cy="144780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2357640" y="3750840"/>
                        <a:ext cx="5976720" cy="58320"/>
                      </a:xfrm>
                      <a:prstGeom prst="rect">
                        <a:avLst/>
                      </a:prstGeom>
                      <a:solidFill>
                        <a:srgbClr val="FBBA00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74613</wp:posOffset>
              </wp:positionH>
              <wp:positionV relativeFrom="paragraph">
                <wp:posOffset>-14283</wp:posOffset>
              </wp:positionV>
              <wp:extent cx="6062980" cy="144780"/>
              <wp:effectExtent b="0" l="0" r="0" t="0"/>
              <wp:wrapNone/>
              <wp:docPr id="2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062980" cy="14478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00000a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120" w:before="240" w:lineRule="auto"/>
    </w:pPr>
    <w:rPr>
      <w:rFonts w:ascii="Liberation Serif" w:cs="Liberation Serif" w:eastAsia="Liberation Serif" w:hAnsi="Liberation Serif"/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spacing w:after="120" w:before="200" w:lineRule="auto"/>
    </w:pPr>
    <w:rPr>
      <w:rFonts w:ascii="Liberation Serif" w:cs="Liberation Serif" w:eastAsia="Liberation Serif" w:hAnsi="Liberation Serif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jp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lpwstr>0</vt:lpwstr>
  </property>
  <property fmtid="{D5CDD505-2E9C-101B-9397-08002B2CF9AE}" pid="4" name="HyperlinksChanged">
    <vt:lpwstr>false</vt:lpwstr>
  </property>
  <property fmtid="{D5CDD505-2E9C-101B-9397-08002B2CF9AE}" pid="5" name="LinksUpToDate">
    <vt:lpwstr>false</vt:lpwstr>
  </property>
  <property fmtid="{D5CDD505-2E9C-101B-9397-08002B2CF9AE}" pid="6" name="ScaleCrop">
    <vt:lpwstr>false</vt:lpwstr>
  </property>
  <property fmtid="{D5CDD505-2E9C-101B-9397-08002B2CF9AE}" pid="7" name="ShareDoc">
    <vt:lpwstr>false</vt:lpwstr>
  </property>
</Properties>
</file>