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Ofício SMS/GAB.GP n°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7052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24 de outubro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Ao Excelentíssimo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José Luciano Barbosa da Silva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Prefeito</w:t>
      </w:r>
    </w:p>
    <w:p w:rsidR="00000000" w:rsidDel="00000000" w:rsidP="00000000" w:rsidRDefault="00000000" w:rsidRPr="00000000" w14:paraId="00000006">
      <w:pPr>
        <w:spacing w:after="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Assunto: Solicitação para </w:t>
      </w:r>
      <w:r w:rsidDel="00000000" w:rsidR="00000000" w:rsidRPr="00000000">
        <w:rPr>
          <w:rFonts w:ascii="Arial" w:cs="Arial" w:eastAsia="Arial" w:hAnsi="Arial"/>
          <w:color w:val="000009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Aquisição de Insumos Odontológicos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a Secretaria Municipal de Saúde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Senhor Prefeito,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Solicitamos de Vossa Excelência autorização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color w:val="000009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Aquisição 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Insumos Odontológicos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a Secretaria Municipal de Saúde.</w:t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presente solicitação tem por objetivo a aquisição de aventais para procedimentos odontológicos, itens indispensáveis à execução segura das atividades clínicas realizadas nas Unidades Básicas de Saúde (UBS). O avental é um insumo odontológico fundamental para a biossegurança, garantindo a proteção dos profissionais contra agentes biológicos e minimizando riscos de contaminação cruzada durante o atendimento odontológico</w:t>
      </w: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, a falta desses insumos pode acarretar riscos à saúde da população e à integridade dos profissionais de saúde.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Atualmente, o Município de Arapiraca enfrenta uma situação crítica de desabastecimento desse item, o que compromete diretamente a continuidade dos atendimentos e coloca em risco tanto os profissionais de saúde quanto os usuários do Sistema Único de Saúde (SUS). A ausência de aventais adequados inviabiliza a realização segura de procedimentos odontológicos, podendo ocasionar a suspensão temporária de serviços essenciais à população.</w:t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O Município mantém convênio com o Consórcio Intermunicipal do Sul de Alagoas – CONISUL para a aquisição de insumos odontológicos, visando otimizar recursos e garantir o abastecimento das Unidades de Saúde. Contudo, observa-se que, de forma recorrente, diversos itens, incluindo os aventais para procedimentos odontológicos, têm seus processos licitatórios fracassados ou cancelados, o que impede a reposição regular dos estoques e agrava o cenário de desabastecimento.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A aquisição imediata desses aventais é, portanto, indispensável para evitar a interrupção dos atendimentos odontológicos, assegurar a proteção dos profissionais e pacientes, e garantir a manutenção das ações de prevenção e tratamento bucal. Essa medida é essencial para resguardar o direito da população ao acesso pleno e seguro aos serviços de saúde, conforme preveem os princípios do Sistema Único de Saúde (SUS): universalidade, integralidade e equidade.</w:t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Dessa forma, a presente solicitação de aquisição de aventais para procedimentos odontológicos  tem como finalidade restabelecer o abastecimento regular da rede municipal de saúde, promovendo a eficiência dos serviços prestados, a segurança dos profissionais e a qualidade do atendimento à população de Arapiraca.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color w:val="000000"/>
          <w:highlight w:val="yellow"/>
        </w:rPr>
      </w:pPr>
      <w:bookmarkStart w:colFirst="0" w:colLast="0" w:name="_otu8pq592p2i" w:id="0"/>
      <w:bookmarkEnd w:id="0"/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Sendo assim, segue </w:t>
      </w:r>
      <w:r w:rsidDel="00000000" w:rsidR="00000000" w:rsidRPr="00000000">
        <w:rPr>
          <w:rFonts w:ascii="Arial" w:cs="Arial" w:eastAsia="Arial" w:hAnsi="Arial"/>
          <w:rtl w:val="0"/>
        </w:rPr>
        <w:t xml:space="preserve">MEMO SMS/GAB n°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0925-A/2025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Documento de Formalização de Demanda (DFD) e Termo de Referência.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Respeitosamente,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Secretária Municipal de Saúde</w:t>
        <w:br w:type="textWrapping"/>
        <w:t xml:space="preserve">Secretaria Municipal de Saúde – SMS</w:t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14720" cy="965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14720" cy="965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4720" cy="96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416879</wp:posOffset>
              </wp:positionH>
              <wp:positionV relativeFrom="paragraph">
                <wp:posOffset>18099</wp:posOffset>
              </wp:positionV>
              <wp:extent cx="4529455" cy="6610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416879</wp:posOffset>
              </wp:positionH>
              <wp:positionV relativeFrom="paragraph">
                <wp:posOffset>18099</wp:posOffset>
              </wp:positionV>
              <wp:extent cx="4529455" cy="66103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9455" cy="661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2068513</wp:posOffset>
              </wp:positionH>
              <wp:positionV relativeFrom="paragraph">
                <wp:posOffset>252414</wp:posOffset>
              </wp:positionV>
              <wp:extent cx="3774440" cy="3752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2068513</wp:posOffset>
              </wp:positionH>
              <wp:positionV relativeFrom="paragraph">
                <wp:posOffset>252414</wp:posOffset>
              </wp:positionV>
              <wp:extent cx="3774440" cy="37528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4440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23813</wp:posOffset>
              </wp:positionV>
              <wp:extent cx="6014720" cy="965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23813</wp:posOffset>
              </wp:positionV>
              <wp:extent cx="6014720" cy="965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4720" cy="96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