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DESPACHO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os fins dos presentes autos, com base no aspecto discricionário conferido à Administração pelo art. 72, inciso I da Lei nº 14.133 de 2021, considerando também o inciso II do art. 5º do Decreto Municipal nº 2907/2024, que faculta a elaboração do ETP nas hipóteses dos incisos I e II do caput do artigo 75 da Lei Federal n° 14.133 de 1º de abril de 2021, entende-se que a menor complexidade do objeto enseja a prescindibilidade de estudo técnico preliminar.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Ainda assim, consigne-se que as informações necessárias e suficientes ao pleito, capazes de maximizar os interesses públicos, encontram-se nos artefatos documentais que compõem a instrução processual.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16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bookmarkStart w:colFirst="0" w:colLast="0" w:name="_om9sdljy790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Edna Veríssimo dos Santos Aniceto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Superintendente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4720" cy="965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4720" cy="9652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409576</wp:posOffset>
              </wp:positionH>
              <wp:positionV relativeFrom="paragraph">
                <wp:posOffset>23498</wp:posOffset>
              </wp:positionV>
              <wp:extent cx="4529455" cy="6610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409576</wp:posOffset>
              </wp:positionH>
              <wp:positionV relativeFrom="paragraph">
                <wp:posOffset>23498</wp:posOffset>
              </wp:positionV>
              <wp:extent cx="4529455" cy="6610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9455" cy="66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0" distR="0">
          <wp:extent cx="2027168" cy="707622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2060575</wp:posOffset>
              </wp:positionH>
              <wp:positionV relativeFrom="paragraph">
                <wp:posOffset>244476</wp:posOffset>
              </wp:positionV>
              <wp:extent cx="3774440" cy="3752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2060575</wp:posOffset>
              </wp:positionH>
              <wp:positionV relativeFrom="paragraph">
                <wp:posOffset>244476</wp:posOffset>
              </wp:positionV>
              <wp:extent cx="3774440" cy="3752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15875</wp:posOffset>
              </wp:positionV>
              <wp:extent cx="6014720" cy="965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15875</wp:posOffset>
              </wp:positionV>
              <wp:extent cx="6014720" cy="965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