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1"/>
          <w:szCs w:val="21"/>
        </w:rPr>
      </w:pPr>
      <w:bookmarkStart w:colFirst="0" w:colLast="0" w:name="_fgogmbqlhki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bookmarkStart w:colFirst="0" w:colLast="0" w:name="_gjdgxs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TERMO DE 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" w:right="-1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OBJETO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1.1.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1"/>
          <w:szCs w:val="21"/>
          <w:u w:val="none"/>
          <w:shd w:fill="auto" w:val="clear"/>
          <w:vertAlign w:val="baseline"/>
          <w:rtl w:val="0"/>
        </w:rPr>
        <w:t xml:space="preserve">Constitui objeto deste Termo de Referência a Aquisi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ção,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1"/>
          <w:szCs w:val="21"/>
          <w:u w:val="none"/>
          <w:shd w:fill="fff2cc" w:val="clear"/>
          <w:vertAlign w:val="baseline"/>
          <w:rtl w:val="0"/>
        </w:rPr>
        <w:t xml:space="preserve">em caráter emergencial,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fff2cc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sz w:val="21"/>
          <w:szCs w:val="21"/>
          <w:shd w:fill="fff2cc" w:val="clear"/>
          <w:rtl w:val="0"/>
        </w:rPr>
        <w:t xml:space="preserve">bolsas de ostomia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fff2cc" w:val="clear"/>
          <w:vertAlign w:val="baseline"/>
          <w:rtl w:val="0"/>
        </w:rPr>
        <w:t xml:space="preserve">, conforme especificações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1"/>
          <w:szCs w:val="21"/>
          <w:u w:val="none"/>
          <w:shd w:fill="fff2cc" w:val="clear"/>
          <w:vertAlign w:val="baseline"/>
          <w:rtl w:val="0"/>
        </w:rPr>
        <w:t xml:space="preserve">a seguir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fff2cc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1.2. O objeto desta contratação não se enquadra como sendo de bem de luxo, conforme Decreto Municipal nº 2.889, de 16 de janeiro de 2024.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ESPECIFICAÇÕES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Ind w:w="-55.0" w:type="dxa"/>
        <w:tblLayout w:type="fixed"/>
        <w:tblLook w:val="0400"/>
      </w:tblPr>
      <w:tblGrid>
        <w:gridCol w:w="795"/>
        <w:gridCol w:w="4695"/>
        <w:gridCol w:w="1485"/>
        <w:gridCol w:w="720"/>
        <w:gridCol w:w="705"/>
        <w:gridCol w:w="1110"/>
        <w:tblGridChange w:id="0">
          <w:tblGrid>
            <w:gridCol w:w="795"/>
            <w:gridCol w:w="4695"/>
            <w:gridCol w:w="1485"/>
            <w:gridCol w:w="720"/>
            <w:gridCol w:w="705"/>
            <w:gridCol w:w="1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DESCRIÇÃO/ ESPECIFICAÇÃO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UND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DESTINO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40" w:before="80" w:line="276" w:lineRule="auto"/>
              <w:ind w:left="60" w:right="60" w:firstLine="0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BOLSA 02-PEÇA ADULTO: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80" w:line="276" w:lineRule="auto"/>
              <w:ind w:left="60" w:right="60" w:firstLine="0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Conjunto placa e bolsa drenável para colostomia /ileostomia. Placa trilaminada moldável, plana, adesivo microporoso e hipoalergênico, bolsa drenável opaca /transparente, com filtro de carvão ativado e janela de visualização, fechamento integrado com bolso (sistema invisiclose), plástico anti-odor, compatível com a placa, possuindo Accordion flange de 70mm.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CONVATEC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UND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300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CEMFRA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40" w:before="80" w:line="276" w:lineRule="auto"/>
              <w:ind w:left="60" w:right="60" w:firstLine="0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BOLSA 01-PEÇA ADULTO: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before="80" w:line="276" w:lineRule="auto"/>
              <w:ind w:left="60" w:right="60" w:firstLine="0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Bolsa para estoma intestinal - sistema uma peça, bolsa de colostomia  adulto, Drenável, plástico antiodor, transparente, com filtro de carvão ativado, resina sintética, Recortável, diâmetro de 19-64 mm com adesivo microporoso, fechamento integral na bolsa(invisiclose).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CONVATEC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UND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300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CEMFRA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3 . FUNDAMENTAÇÃO E DESCRIÇÃO DA NECESSIDADE DA CONTRATAÇÃO (JUSTIFICATIVA)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1"/>
          <w:szCs w:val="21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color w:val="00000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1"/>
          <w:szCs w:val="21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fff2cc" w:val="clear"/>
          <w:vertAlign w:val="baseline"/>
          <w:rtl w:val="0"/>
        </w:rPr>
        <w:t xml:space="preserve">A assistência à saúde da população é garantia do Sistema Único de Saúde (SUS), bem como toda linha de cuidado, desde a atenção primária até os atendimentos mais complexos, de forma organizada e hierarquizada.</w:t>
      </w:r>
    </w:p>
    <w:p w:rsidR="00000000" w:rsidDel="00000000" w:rsidP="00000000" w:rsidRDefault="00000000" w:rsidRPr="00000000" w14:paraId="00000028">
      <w:pPr>
        <w:spacing w:after="0" w:line="276" w:lineRule="auto"/>
        <w:jc w:val="both"/>
        <w:rPr>
          <w:rFonts w:ascii="Arial" w:cs="Arial" w:eastAsia="Arial" w:hAnsi="Arial"/>
          <w:sz w:val="21"/>
          <w:szCs w:val="21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shd w:fill="fff2cc" w:val="clear"/>
          <w:rtl w:val="0"/>
        </w:rPr>
        <w:t xml:space="preserve">A atenção à saúde deve centrar as diretrizes na qualidade dos serviços prestados à população, com atenção acolhedora e resolutiva, com seus recursos humanos e técnicos oferecendo, segundo o grau de complexidade de assistência requerida e sua capacidade operacional, os serviços de saúde adequados.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5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Solicitamos a compra emergencial, com dispensa de licitação, conforme </w:t>
      </w:r>
      <w:r w:rsidDel="00000000" w:rsidR="00000000" w:rsidRPr="00000000">
        <w:rPr>
          <w:rFonts w:ascii="Arial" w:cs="Arial" w:eastAsia="Arial" w:hAnsi="Arial"/>
          <w:sz w:val="21"/>
          <w:szCs w:val="21"/>
          <w:shd w:fill="fff2cc" w:val="clear"/>
          <w:rtl w:val="0"/>
        </w:rPr>
        <w:t xml:space="preserve">base legal a Lei</w:t>
      </w:r>
      <w:r w:rsidDel="00000000" w:rsidR="00000000" w:rsidRPr="00000000">
        <w:rPr>
          <w:rFonts w:ascii="Arial" w:cs="Arial" w:eastAsia="Arial" w:hAnsi="Arial"/>
          <w:color w:val="666666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shd w:fill="fff2cc" w:val="clear"/>
          <w:rtl w:val="0"/>
        </w:rPr>
        <w:t xml:space="preserve">Federal nº 14.133/2021 (art. 75, inciso VIII, da Lei º 14.133/21)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, de bolsas de ostomia, tendo. A presente solicitação tem por objetivo a aquisição emergencial de bolsas de ostomia (sistemas de 1 peça e 2 peças), destinadas ao atendimento dos pacientes ostomizados assistidos pelo CEMFRA, visando garantir a continuidade do serviço público de saúde.</w:t>
        <w:br w:type="textWrapping"/>
        <w:t xml:space="preserve">O Processo Administrativo nº 6737/2025, referente ao registro de preços para aquisição dos referidos insumos, já foi devidamente finalizado. Contudo, os itens correspondentes às bolsas de colostomia adulto (sistemas de 1 peça e 2 peças) restaram fracassados no certame, não havendo, portanto, ata vigente que possibilite a contratação desses itens essenciais. </w:t>
        <w:br w:type="textWrapping"/>
        <w:t xml:space="preserve">A ausência desses materiais compromete diretamente a assistência aos pacientes ostomizados, uma vez que as bolsas coletoras são dispositivos indispensáveis para a manutenção da saúde, higiene e dignidade desses usuários.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1"/>
          <w:szCs w:val="21"/>
          <w:u w:val="none"/>
          <w:shd w:fill="fff2cc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color w:val="000009"/>
          <w:sz w:val="21"/>
          <w:szCs w:val="21"/>
          <w:shd w:fill="fff2cc" w:val="clear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1"/>
          <w:szCs w:val="21"/>
          <w:u w:val="none"/>
          <w:shd w:fill="fff2cc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Esta Aquisição é imprescindível para os usuários do SUS de nosso Município, pois a falta dos insumos listados abaixo, podem causar danos irreparáveis para quem depende dos mesmos.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2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DO PRAZO, LOCAL E CONDIÇÕES DE ENTREGA E RECEBIMENTO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u w:val="none"/>
          <w:shd w:fill="auto" w:val="clear"/>
          <w:vertAlign w:val="baseline"/>
          <w:rtl w:val="0"/>
        </w:rPr>
        <w:t xml:space="preserve">4.1. A entrega será total, indicada na Ordem de Fornecimento e emitida pelo Fiscal de aquisição;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"/>
        </w:tabs>
        <w:spacing w:after="0" w:before="0" w:line="276" w:lineRule="auto"/>
        <w:ind w:left="0" w:right="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4.2. A partir da data do recebimento da Ordem de Fornecimento a empresa terá até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  <w:rtl w:val="0"/>
        </w:rPr>
        <w:t xml:space="preserve">10 (dez) dias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 úteis para realizar a entrega.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1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u w:val="none"/>
          <w:shd w:fill="auto" w:val="clear"/>
          <w:vertAlign w:val="baseline"/>
          <w:rtl w:val="0"/>
        </w:rPr>
        <w:t xml:space="preserve">4.3. A entrega deverá ser acompanhada pelo Fiscal da aquisição, o qual terá a incumbência de, entre outras atribuições: verificar as especificações aferindo quantidade e qualidade em até 5 (cinco) dias úteis após a entrega dos mesmos;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6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u w:val="none"/>
          <w:shd w:fill="auto" w:val="clear"/>
          <w:vertAlign w:val="baseline"/>
          <w:rtl w:val="0"/>
        </w:rPr>
        <w:t xml:space="preserve">4.4. 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ocorrência de rejeição da Nota Fiscal, motivada por erro ou incorreções, o prazo estipulado no item anterior, passará a ser contado a partir da data de sua reapresentação;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6"/>
        </w:tabs>
        <w:spacing w:after="0" w:before="0" w:line="276" w:lineRule="auto"/>
        <w:ind w:left="0" w:right="5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u w:val="none"/>
          <w:shd w:fill="auto" w:val="clear"/>
          <w:vertAlign w:val="baseline"/>
          <w:rtl w:val="0"/>
        </w:rPr>
        <w:t xml:space="preserve">4.5. O prazo de entrega poderá ser prorrogado por mútuo acordo entre as partes, para o  cumprimento do objeto deste TR;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8"/>
        </w:tabs>
        <w:spacing w:after="0" w:before="0" w:line="276" w:lineRule="auto"/>
        <w:ind w:left="0" w:right="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u w:val="none"/>
          <w:shd w:fill="auto" w:val="clear"/>
          <w:vertAlign w:val="baseline"/>
          <w:rtl w:val="0"/>
        </w:rPr>
        <w:t xml:space="preserve">4.6. Caso haja recusa pela inexecução total ou parcial, não enquadramento nas especificações     exigidas, apresentar defeitos na apresentação, ou dano gerais identificados no ato de sua verificação, caberá </w:t>
      </w:r>
      <w:r w:rsidDel="00000000" w:rsidR="00000000" w:rsidRPr="00000000">
        <w:rPr>
          <w:rFonts w:ascii="Arial" w:cs="Arial" w:eastAsia="Arial" w:hAnsi="Arial"/>
          <w:color w:val="000009"/>
          <w:rtl w:val="0"/>
        </w:rPr>
        <w:t xml:space="preserve">à empresa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u w:val="none"/>
          <w:shd w:fill="auto" w:val="clear"/>
          <w:vertAlign w:val="baseline"/>
          <w:rtl w:val="0"/>
        </w:rPr>
        <w:t xml:space="preserve"> efetuar reposição, no prazo máximo de 72 (setenta e duas) horas        contadas a partir da notificação.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8"/>
        </w:tabs>
        <w:spacing w:after="0" w:before="0" w:line="276" w:lineRule="auto"/>
        <w:ind w:left="0" w:right="45" w:firstLine="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4.7.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As bolsas para ostomia intestinal</w:t>
      </w:r>
      <w:r w:rsidDel="00000000" w:rsidR="00000000" w:rsidRPr="00000000">
        <w:rPr>
          <w:rFonts w:ascii="Arial" w:cs="Arial" w:eastAsia="Arial" w:hAnsi="Arial"/>
          <w:rtl w:val="0"/>
        </w:rPr>
        <w:t xml:space="preserve"> deverão ser entregues na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shd w:fill="fff2cc" w:val="clear"/>
          <w:rtl w:val="0"/>
        </w:rPr>
        <w:t xml:space="preserve">Rua Abraão de Oliveira, 471 – Cavaco,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 Arapiraca-AL, de segunda a sexta-feira, no horário das 08h às 12h das 14h às 17h.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8"/>
        </w:tabs>
        <w:spacing w:after="0" w:before="0" w:line="276" w:lineRule="auto"/>
        <w:ind w:left="0" w:right="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5. CRITÉRIO DE AVALIAÇÃO DAS PROPOSTAS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5.1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O julgamento das propostas levará em consideração o menor preço por item.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6. MODELO DE GESTÃO DO CONTRATO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6.1. O objeto deverá ser executado fielmente pelas partes, de acordo com as cláusulas avençadas e as normas da Lei nº 14.133, de 2021, e cada parte responderá pelas consequências de sua inexecução total ou parcial.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6.2. Em caso de impedimento, ordem de paralisação ou suspensão do fornecimento, o cronograma de execução será prorrogado automaticamente pelo tempo correspondente, anotadas tais circunstâncias mediante simples apostila.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6.3. As comunicações entre o órgão ou entidade e a contratada devem ser realizadas por escrito sempre que o ato exigir tal formalidade, admitindo-se o uso de mensagem eletrônica para esse fim.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6.4. O órgão ou entidade poderá convocar representante da empresa para adoção de providências que devam ser cumpridas de imediato.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7. OBRIGAÇÕES DA CONTRATADA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Constituem obrigações da CONTRATADA, além de outras previstas neste Termo de Referência e na legislação pertinente: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1"/>
          <w:szCs w:val="21"/>
          <w:u w:val="none"/>
          <w:shd w:fill="auto" w:val="clear"/>
          <w:vertAlign w:val="baseline"/>
          <w:rtl w:val="0"/>
        </w:rPr>
        <w:t xml:space="preserve">7.1 Proceder a entrega do objeto deste TR obedecendo rigorosamente as especificações de sua Proposta de Preços, devidamente embalados e lacrados com objetivo de não serem danificados durante a operação de transporte, de carga e descarga, acompanhando às embalagens a Nota Fiscal contendo especificações detalhadas, marca, valor unitário e total a fim de facilitar sua conferência;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tabs>
          <w:tab w:val="left" w:leader="none" w:pos="774"/>
        </w:tabs>
        <w:spacing w:after="0" w:line="276" w:lineRule="auto"/>
        <w:ind w:right="5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7.2 Substituir às suas expensas no total ou em partes, os produtos fornecidos ao CONTRATANTE, em caso de defeitos, incorreções decorrentes de fabricação, transporte indevido e/ou inobservância às especificações;</w:t>
      </w:r>
    </w:p>
    <w:p w:rsidR="00000000" w:rsidDel="00000000" w:rsidP="00000000" w:rsidRDefault="00000000" w:rsidRPr="00000000" w14:paraId="00000041">
      <w:pPr>
        <w:widowControl w:val="0"/>
        <w:tabs>
          <w:tab w:val="left" w:leader="none" w:pos="697"/>
        </w:tabs>
        <w:spacing w:after="0" w:line="276" w:lineRule="auto"/>
        <w:ind w:right="5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7.3 Responder por todos os ônus referentes a entrega dos produtos, desde os salários dos seus empregados, como também os encargos trabalhistas, previdenciários, fiscais e comerciais, que venham a incidir sobre o objeto deste TR;</w:t>
      </w:r>
    </w:p>
    <w:p w:rsidR="00000000" w:rsidDel="00000000" w:rsidP="00000000" w:rsidRDefault="00000000" w:rsidRPr="00000000" w14:paraId="00000042">
      <w:pPr>
        <w:widowControl w:val="0"/>
        <w:tabs>
          <w:tab w:val="left" w:leader="none" w:pos="697"/>
        </w:tabs>
        <w:spacing w:after="0" w:line="276" w:lineRule="auto"/>
        <w:ind w:right="5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7.4 Responder pelos danos, de qualquer natureza, que venham a sofrer seus empregados, terceiros ou a CONTRATANTE, em razão de acidentes ou de ação ou de omissão, dolosa ou culposa, de prepostos da CONTRATADA ou de quem em seu nome agir;</w:t>
      </w:r>
    </w:p>
    <w:p w:rsidR="00000000" w:rsidDel="00000000" w:rsidP="00000000" w:rsidRDefault="00000000" w:rsidRPr="00000000" w14:paraId="00000043">
      <w:pPr>
        <w:widowControl w:val="0"/>
        <w:tabs>
          <w:tab w:val="left" w:leader="none" w:pos="678"/>
        </w:tabs>
        <w:spacing w:after="0" w:line="276" w:lineRule="auto"/>
        <w:ind w:right="5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7.5 Responsabilizar-se pelo pagamento de seguros, impostos, taxas e serviços e quaisquer despesas, inclusive licença em repartições públicas, registros, publicações e autenticações de documentos, se necessário.</w:t>
      </w:r>
    </w:p>
    <w:p w:rsidR="00000000" w:rsidDel="00000000" w:rsidP="00000000" w:rsidRDefault="00000000" w:rsidRPr="00000000" w14:paraId="00000044">
      <w:pPr>
        <w:widowControl w:val="0"/>
        <w:tabs>
          <w:tab w:val="left" w:leader="none" w:pos="678"/>
        </w:tabs>
        <w:spacing w:after="0" w:line="276" w:lineRule="auto"/>
        <w:ind w:right="57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shd w:fill="fff2cc" w:val="clear"/>
          <w:rtl w:val="0"/>
        </w:rPr>
        <w:t xml:space="preserve">7.6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Oferecer prazo de validade de, no mínimo 12 (doze) meses, contados a partir da data de entrega;</w:t>
      </w:r>
    </w:p>
    <w:p w:rsidR="00000000" w:rsidDel="00000000" w:rsidP="00000000" w:rsidRDefault="00000000" w:rsidRPr="00000000" w14:paraId="00000045">
      <w:pPr>
        <w:widowControl w:val="0"/>
        <w:tabs>
          <w:tab w:val="left" w:leader="none" w:pos="678"/>
        </w:tabs>
        <w:spacing w:after="0" w:line="276" w:lineRule="auto"/>
        <w:ind w:right="5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tabs>
          <w:tab w:val="left" w:leader="none" w:pos="678"/>
        </w:tabs>
        <w:spacing w:after="0" w:line="276" w:lineRule="auto"/>
        <w:ind w:right="5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8. OBRIGAÇÕES DO CONTRATANTE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Constituem obrigações do CONTRATANTE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8.1.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1"/>
          <w:szCs w:val="21"/>
          <w:u w:val="none"/>
          <w:shd w:fill="auto" w:val="clear"/>
          <w:vertAlign w:val="baseline"/>
          <w:rtl w:val="0"/>
        </w:rPr>
        <w:t xml:space="preserve">Emitir empenho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8.2. Prestar esclarecimentos que venham a ser solicitados pela contratada;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8.3.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1"/>
          <w:szCs w:val="21"/>
          <w:u w:val="none"/>
          <w:shd w:fill="auto" w:val="clear"/>
          <w:vertAlign w:val="baseline"/>
          <w:rtl w:val="0"/>
        </w:rPr>
        <w:t xml:space="preserve">Realizar rigorosa conferência das características do </w:t>
      </w:r>
      <w:r w:rsidDel="00000000" w:rsidR="00000000" w:rsidRPr="00000000">
        <w:rPr>
          <w:rFonts w:ascii="Arial" w:cs="Arial" w:eastAsia="Arial" w:hAnsi="Arial"/>
          <w:color w:val="000009"/>
          <w:sz w:val="21"/>
          <w:szCs w:val="21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1"/>
          <w:szCs w:val="21"/>
          <w:u w:val="none"/>
          <w:shd w:fill="auto" w:val="clear"/>
          <w:vertAlign w:val="baseline"/>
          <w:rtl w:val="0"/>
        </w:rPr>
        <w:t xml:space="preserve">recebido, através do responsável pelo recebimento e do Fiscal de Aquisição resultante deste TR, que terão a incumbência de, dentre outras atribuições: verificar as especificações e aferir a quantidade e qualidade do </w:t>
      </w:r>
      <w:r w:rsidDel="00000000" w:rsidR="00000000" w:rsidRPr="00000000">
        <w:rPr>
          <w:rFonts w:ascii="Arial" w:cs="Arial" w:eastAsia="Arial" w:hAnsi="Arial"/>
          <w:color w:val="000009"/>
          <w:sz w:val="21"/>
          <w:szCs w:val="21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1"/>
          <w:szCs w:val="21"/>
          <w:u w:val="none"/>
          <w:shd w:fill="auto" w:val="clear"/>
          <w:vertAlign w:val="baseline"/>
          <w:rtl w:val="0"/>
        </w:rPr>
        <w:t xml:space="preserve">efetivamente entregue, em até 5 (cinco) dias, após o recebimento do mesmo;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7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8.4.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1"/>
          <w:szCs w:val="21"/>
          <w:u w:val="none"/>
          <w:shd w:fill="auto" w:val="clear"/>
          <w:vertAlign w:val="baseline"/>
          <w:rtl w:val="0"/>
        </w:rPr>
        <w:t xml:space="preserve">Fiscalizar o correto e integral cumprimento da execução do objeto resultante deste TR através do Fiscal desta avença;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8.5. Manter a CONTRATADA informada de quaisquer atos da Administração Pública que venham a interferir direta ou indiretamente nos serviços contratados;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8.6. Efetuar o pagamento no valor, forma e prazos ajustados.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9. DO PRAZO E FORMA DE PAGAMENTO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9.1. O pagamento será efetuado após a entrega do objeto, no prazo de até 24 (vinte e quatro) dias úteis contados do recebimento da Nota Fiscal, nos termos do Decreto Municipal n° 2.906/2024;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9.2. O pagamento será realizado por meio de ordem bancária, para crédito em banco, agência e conta corrente indicados pelo contratado;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9.3. Será considerada data do pagamento o dia em que constar como emitida a ordem bancária para pagamento;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1"/>
          <w:szCs w:val="21"/>
          <w:u w:val="none"/>
          <w:shd w:fill="auto" w:val="clear"/>
          <w:vertAlign w:val="baseline"/>
          <w:rtl w:val="0"/>
        </w:rPr>
        <w:t xml:space="preserve">9.4. Para se habilitar ao pagamento, a CONTRATADA deverá apresentar à CONTRATANTE Nota Fiscal Eletrônica, emitida nominalmente em nome do Fundo Municipal de Saúde, CNPJ Nº 21.013.754/0001-56, sediada à Rua Samaritana n° 1.185, Bairro Santa Edwiges, Arapiraca, Alagoas, CEP: 57.311-180;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140" w:before="0" w:line="276" w:lineRule="auto"/>
        <w:ind w:left="0" w:right="4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1"/>
          <w:szCs w:val="21"/>
          <w:u w:val="none"/>
          <w:shd w:fill="auto" w:val="clear"/>
          <w:vertAlign w:val="baseline"/>
          <w:rtl w:val="0"/>
        </w:rPr>
        <w:t xml:space="preserve">9.5. Caso quaisquer dos documentos citados nos itens acima apresente incorreção, serão devolvidos à         CONTRATADA para regularização, reiniciando novos prazos para pagamento, a contar da </w:t>
      </w:r>
      <w:r w:rsidDel="00000000" w:rsidR="00000000" w:rsidRPr="00000000">
        <w:rPr>
          <w:rFonts w:ascii="Arial" w:cs="Arial" w:eastAsia="Arial" w:hAnsi="Arial"/>
          <w:color w:val="000009"/>
          <w:sz w:val="21"/>
          <w:szCs w:val="21"/>
          <w:rtl w:val="0"/>
        </w:rPr>
        <w:t xml:space="preserve">reapresentação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1"/>
          <w:szCs w:val="21"/>
          <w:u w:val="none"/>
          <w:shd w:fill="auto" w:val="clear"/>
          <w:vertAlign w:val="baseline"/>
          <w:rtl w:val="0"/>
        </w:rPr>
        <w:t xml:space="preserve"> devidamente corrigida.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10. DA FORMA DE SELEÇÃO DO FORNECEDOR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10.1. O fornecedor será selecionado por meio da realização de procedimento de dispensa de licitação, com fundamento na hipótese do art. 75, inciso VIII, da Lei nº 14.133/2021.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11. DA HABILITAÇÃO JURÍDICA, FISCAL E TRABALHISTA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11.1. Para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fins de habilitação jurídica, fiscal e trabalhista do fornecedor mais bem classificado, serão exigidos os seguintes documentos: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11.1.1. Ato constitutivo, devidamente registrado na Junta Comercial da respectiva sede, acompanhado de documento comprobatório de seus administradores;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11.1.2. Prova de inscrição no Cadastro Nacional de Pessoas Jurídica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CNPJ;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11.1.3. Inscrição Municipal e/ou Estadual relativo ao domicílio ou sede da empresa participante, pertinente ao seu ramo de atividade;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11.1.4. Prova de Regularidade perante a Fazenda Municipal;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11.1.5. Prova de Regularidade perante a Fazenda Estadual;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11.1.6. Prova de Regularidade perante a Fazenda Nacional;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11.1.7. Prova de Regularidade perante a Justiça do Trabalho;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11.1.8. Prova de Regularidade com o Fundo de Garantia do Tempo de Serviço – FGTS.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12. DA QUALIFICAÇÃO TÉCNICA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12.1. Comprovação de aptidão para o fornecimento de bens similares de complexidade equivalente ou superior com o objeto desta contratação, ou com o item pertinente, por meio da apresentação de Atestado de Capacidade Técnica, emitido por pessoas jurídicas de direito público ou privado.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12.2. Os atestados de capacidade técnica poderão ser apresentados em nome da matriz ou da filial do fornecedor.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12.3. O fornecedor disponibilizará todas as informações necessárias à comprovação da legitimidade dos atestados, apresentando, quando solicitado pela Administração, cópia do contrato que deu suporte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à contratação, endereço atual da contratante e local em que foi executado o objeto contratado, dentre outros documentos.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  <w:rtl w:val="0"/>
        </w:rPr>
        <w:t xml:space="preserve">12.4. Autorização de Funcionamento (AFE) do proponente, expedida pela Agência Nacional de Vigilância Sanitária (ANVISA), em vigor.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  <w:rtl w:val="0"/>
        </w:rPr>
        <w:t xml:space="preserve">12.5. Alvará Sanitário (ou Licença Sanitária) do proponente, expedido pela Vigilância Sanitária Estadual ou Municipal da sua sede ou domicílio, em vigor.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12.6 O fornecedor deverá apresentar carta de autorização, distribuição ou credenciamento do fabricante, dos materiais descritos neste TR, conforme o art. 6, inciso XLIV, da Lei nº 14.133/2021.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 ESTIMATIVA DE VALOR DA CONTRATAÇÃO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13.1. O valor estimado da contratação será aposto aos autos pelo setor competente em momento oportuno.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DA ADEQUAÇÃO ORÇAMENTÁRIA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14.1. As despesas decorrentes da contratação correrão à conta de recursos específicos consignados no Orçamento do Município, através da seguinte dotação orçamentária: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6"/>
          <w:szCs w:val="26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Programa de Trabalho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07.70.10.302.1011.2101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 – INTEGRAR AS AÇÕES E SERVIÇOS DE SAÚDE NA (RAS) REDE DE CUIDADOS À PESSOA COM DEFICIÊNCIA, Elemento de Despesa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hd w:fill="fff2cc" w:val="clear"/>
          <w:rtl w:val="0"/>
        </w:rPr>
        <w:t xml:space="preserve">3.3.9.0.32.00.00.00.0000.016001000402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 – Material, Bem ou Serviço Para</w:t>
      </w: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Distribuição Gratuita</w:t>
      </w: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shd w:fill="fff2cc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PRAZO DE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15.1. O prazo da vigência da contratação é de 60 (sessenta) dias contados da emissão de Nota de Empenho, na forma do artigo 105 da Lei n° 14.133/2021.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DAS SANÇÕES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16.1. A Administração poderá aplicar ao licitante ou ao contratado, por infrações administrativas no exercício da Lei nº 14.133, de 2021, as seguintes sanções: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 – advertência: Será aplicada exclusivamente pela infração administrativa prevista no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u w:val="none"/>
            <w:shd w:fill="auto" w:val="clear"/>
            <w:vertAlign w:val="baseline"/>
            <w:rtl w:val="0"/>
          </w:rPr>
          <w:t xml:space="preserve">inciso I do </w:t>
        </w:r>
      </w:hyperlink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1"/>
            <w:iCs w:val="1"/>
            <w:smallCaps w:val="0"/>
            <w:strike w:val="0"/>
            <w:color w:val="000000"/>
            <w:u w:val="none"/>
            <w:shd w:fill="auto" w:val="clear"/>
            <w:vertAlign w:val="baseline"/>
            <w:rtl w:val="0"/>
          </w:rPr>
          <w:t xml:space="preserve">caput </w:t>
        </w:r>
      </w:hyperlink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u w:val="none"/>
            <w:shd w:fill="auto" w:val="clear"/>
            <w:vertAlign w:val="baseline"/>
            <w:rtl w:val="0"/>
          </w:rPr>
          <w:t xml:space="preserve">do artigo 155 da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Lei nº 14.133, de 2021, quando não se justificar a imposição de penalidade mais grave;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II – multa: Será calculada na forma do edital ou do contrato, será de 10% (dez por cento) do valor do contrato e será aplicada ao responsável por qualquer das infrações administrativas previstas no art. 155 da Lei nº 14.133, de 2021;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III – impedimento de licitar e contratar com o Município de Arapiraca: Será aplicada ao responsável pelas infrações administrativas previstas nos 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u w:val="none"/>
            <w:shd w:fill="auto" w:val="clear"/>
            <w:vertAlign w:val="baseline"/>
            <w:rtl w:val="0"/>
          </w:rPr>
          <w:t xml:space="preserve">incisos II, III, IV, V, VI e VII do </w:t>
        </w:r>
      </w:hyperlink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1"/>
            <w:iCs w:val="1"/>
            <w:smallCaps w:val="0"/>
            <w:strike w:val="0"/>
            <w:color w:val="000000"/>
            <w:u w:val="none"/>
            <w:shd w:fill="auto" w:val="clear"/>
            <w:vertAlign w:val="baseline"/>
            <w:rtl w:val="0"/>
          </w:rPr>
          <w:t xml:space="preserve">caput </w:t>
        </w:r>
      </w:hyperlink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u w:val="none"/>
            <w:shd w:fill="auto" w:val="clear"/>
            <w:vertAlign w:val="baseline"/>
            <w:rtl w:val="0"/>
          </w:rPr>
          <w:t xml:space="preserve">do art. 155 da Lei nº 14.133, de 2021,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quando não se justificar a imposição de penalidade mais grave;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IV – declaração de inidoneidade para licitar ou contratar com a Administração Pública: Será aplicada ao responsável pelas infrações administrativas previstas nos </w:t>
      </w:r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u w:val="none"/>
            <w:shd w:fill="auto" w:val="clear"/>
            <w:vertAlign w:val="baseline"/>
            <w:rtl w:val="0"/>
          </w:rPr>
          <w:t xml:space="preserve">incisos VIII, IX, X, XI e XII do </w:t>
        </w:r>
      </w:hyperlink>
      <w:hyperlink r:id="rId13">
        <w:r w:rsidDel="00000000" w:rsidR="00000000" w:rsidRPr="00000000">
          <w:rPr>
            <w:rFonts w:ascii="Arial" w:cs="Arial" w:eastAsia="Arial" w:hAnsi="Arial"/>
            <w:b w:val="0"/>
            <w:bCs w:val="0"/>
            <w:i w:val="1"/>
            <w:iCs w:val="1"/>
            <w:smallCaps w:val="0"/>
            <w:strike w:val="0"/>
            <w:color w:val="000000"/>
            <w:u w:val="none"/>
            <w:shd w:fill="auto" w:val="clear"/>
            <w:vertAlign w:val="baseline"/>
            <w:rtl w:val="0"/>
          </w:rPr>
          <w:t xml:space="preserve">caput </w:t>
        </w:r>
      </w:hyperlink>
      <w:hyperlink r:id="rId1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u w:val="none"/>
            <w:shd w:fill="auto" w:val="clear"/>
            <w:vertAlign w:val="baseline"/>
            <w:rtl w:val="0"/>
          </w:rPr>
          <w:t xml:space="preserve">do art. 155 da Lei nº 14.133, de 2021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bem como pelas infrações administrativas previstas nos incisos II, III, IV, V, VI e VII 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do referido artigo que justifiquem a imposição de penalidade mais grave que a sanção de impedimento de licitar e contratar.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16.1.1.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As sanções previstas nos incisos I, III e IV deste item, poderão ser aplicadas juntamente com a do inciso II, facultada a defesa prévia do interessado, no respectivo processo, no prazo de 05 (cinco) dias úteis.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17. DO GERENCIAMENTO E FISCALIZAÇÃO DA CONTRATAÇÃO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17.1 O gerenciamento e fiscalização do objeto serão realizados pelo mesmo servidor, que será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indicado por ato específico pela autoridade máxima do órgão, o qual terá entre outras as seguintes atribuições: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17.1.1. Acompanhar a execução do objeto;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17.1.2. Sanar dúvidas ou divergências técnicas relacionadas à execução do objeto;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17.1.3. Analisar: a) pedidos de reequilíbrio econômico-financeiro; e b) propostas de alteração contratual, quando houver;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17.1.4. Registrar as ocorrências relevantes, para identificação de alternativas para execução do objeto;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17.1.5. Adotar as medidas preventivas de controle de contratos, manifestando-se quanto à necessidade de suspensão da execução do objeto;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17.1.6. Decidir provisoriamente a suspensão da execução do objeto;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17.1.7. Conferir e atestar a fatura relativa execução do objeto;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17.1.8. Determinar e zelar pela observância das normas técnicas e legais, especificações e métodos de execução exigíveis para o perfeito cumprimento do objeto;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17.1.9. Manter contato com o preposto da contratada e, se for necessário, promover reuniões periódicas ou extraordinárias para resolução de problemas na execução do objeto;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17.1.10. Emitir parecer técnicos em pedidos de alterações do objeto;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17.1.11. Receber o objeto provisoriamente e definitivamente, mediante termo detalhado que comprove o cumprimento das exigências de caráter técnico, nos termos do artigo 140 da Lei federal nº 14.133, de 2021;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17.1.12. Assegurar que os dados referentes a contratação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constam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no Portal Nacional de Contratações Públicas;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17.1.13. Elaborar o relatório final de que trata a alínea “d” do inciso VI do § 3º do artigo 174 da Lei federal nº 14.133, de 2021, com as informações obtidas durante a execução do objeto;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17.1.14. Propor a aplicação de penalidades à contratada, atendidas as formalidades legais;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17.1.15. Tomar providências para a formalização de processo administrativo de responsabilização para fins de aplicação de sanções, a ser conduzido pela comissão de que trata o artigo 158 da Lei federal nº 14.133, de 2021, ou pelo agente ou pelo setor competente para tal, conforme o caso.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17.2. As atividades de gerenciamento e fiscalização submetem-se </w:t>
      </w:r>
      <w:r w:rsidDel="00000000" w:rsidR="00000000" w:rsidRPr="00000000">
        <w:rPr>
          <w:rFonts w:ascii="Arial" w:cs="Arial" w:eastAsia="Arial" w:hAnsi="Arial"/>
          <w:rtl w:val="0"/>
        </w:rPr>
        <w:t xml:space="preserve">às disposições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 do Decreto Municipal n° 2.898/2024.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Arapiraca,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31 de março de 2026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Ind w:w="46.0" w:type="dxa"/>
        <w:tblLayout w:type="fixed"/>
        <w:tblLook w:val="0400"/>
      </w:tblPr>
      <w:tblGrid>
        <w:gridCol w:w="4624"/>
        <w:gridCol w:w="4676"/>
        <w:tblGridChange w:id="0">
          <w:tblGrid>
            <w:gridCol w:w="4624"/>
            <w:gridCol w:w="4676"/>
          </w:tblGrid>
        </w:tblGridChange>
      </w:tblGrid>
      <w:tr>
        <w:trPr>
          <w:cantSplit w:val="0"/>
          <w:trHeight w:val="964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Maria Clara Sampaio Dias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  <w:rtl w:val="0"/>
              </w:rPr>
              <w:t xml:space="preserve">Responsável pela Elaboração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a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  <w:rtl w:val="0"/>
              </w:rPr>
              <w:t xml:space="preserve">do Termo de Referência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Edna Veríssimo dos Santos Aniceto</w:t>
            </w:r>
          </w:p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Superintendente de Gestão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Secretaria Municipal de Saúde – SMS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jc w:val="center"/>
        <w:rPr>
          <w:rFonts w:ascii="Arial" w:cs="Arial" w:eastAsia="Arial" w:hAnsi="Arial"/>
        </w:rPr>
      </w:pPr>
      <w:bookmarkStart w:colFirst="0" w:colLast="0" w:name="_1fob9te" w:id="2"/>
      <w:bookmarkEnd w:id="2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Secretária Municipal de Saúde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jc w:val="center"/>
        <w:rPr>
          <w:rFonts w:ascii="Arial" w:cs="Arial" w:eastAsia="Arial" w:hAnsi="Arial"/>
        </w:rPr>
      </w:pPr>
      <w:bookmarkStart w:colFirst="0" w:colLast="0" w:name="_3znysh7" w:id="3"/>
      <w:bookmarkEnd w:id="3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40" w:w="11910" w:orient="portrait"/>
      <w:pgMar w:bottom="1020" w:top="1780" w:left="1560" w:right="680" w:header="702" w:footer="8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15355" cy="9715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57640" y="3750840"/>
                        <a:ext cx="5976720" cy="5832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15355" cy="9715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5355" cy="971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434976</wp:posOffset>
              </wp:positionH>
              <wp:positionV relativeFrom="paragraph">
                <wp:posOffset>23499</wp:posOffset>
              </wp:positionV>
              <wp:extent cx="4530090" cy="661670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0320" y="3468600"/>
                        <a:ext cx="4491360" cy="622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434976</wp:posOffset>
              </wp:positionH>
              <wp:positionV relativeFrom="paragraph">
                <wp:posOffset>23499</wp:posOffset>
              </wp:positionV>
              <wp:extent cx="4530090" cy="661670"/>
              <wp:effectExtent b="0" l="0" r="0" t="0"/>
              <wp:wrapSquare wrapText="bothSides" distB="45720" distT="4572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0090" cy="6616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2365376</wp:posOffset>
              </wp:positionH>
              <wp:positionV relativeFrom="paragraph">
                <wp:posOffset>269876</wp:posOffset>
              </wp:positionV>
              <wp:extent cx="3775075" cy="37592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77780" y="3611340"/>
                        <a:ext cx="3736440" cy="3373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2365376</wp:posOffset>
              </wp:positionH>
              <wp:positionV relativeFrom="paragraph">
                <wp:posOffset>269876</wp:posOffset>
              </wp:positionV>
              <wp:extent cx="3775075" cy="37592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75075" cy="3759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130176</wp:posOffset>
              </wp:positionH>
              <wp:positionV relativeFrom="paragraph">
                <wp:posOffset>41276</wp:posOffset>
              </wp:positionV>
              <wp:extent cx="6015355" cy="9715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57640" y="3750840"/>
                        <a:ext cx="5976720" cy="5832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130176</wp:posOffset>
              </wp:positionH>
              <wp:positionV relativeFrom="paragraph">
                <wp:posOffset>41276</wp:posOffset>
              </wp:positionV>
              <wp:extent cx="6015355" cy="9715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5355" cy="971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50" w:hanging="360"/>
      </w:pPr>
      <w:rPr/>
    </w:lvl>
    <w:lvl w:ilvl="1">
      <w:start w:val="1"/>
      <w:numFmt w:val="lowerLetter"/>
      <w:lvlText w:val="%2."/>
      <w:lvlJc w:val="left"/>
      <w:pPr>
        <w:ind w:left="1070" w:hanging="360"/>
      </w:pPr>
      <w:rPr/>
    </w:lvl>
    <w:lvl w:ilvl="2">
      <w:start w:val="1"/>
      <w:numFmt w:val="lowerRoman"/>
      <w:lvlText w:val="%3."/>
      <w:lvlJc w:val="right"/>
      <w:pPr>
        <w:ind w:left="1790" w:hanging="180"/>
      </w:pPr>
      <w:rPr/>
    </w:lvl>
    <w:lvl w:ilvl="3">
      <w:start w:val="1"/>
      <w:numFmt w:val="decimal"/>
      <w:lvlText w:val="%4."/>
      <w:lvlJc w:val="left"/>
      <w:pPr>
        <w:ind w:left="2510" w:hanging="360"/>
      </w:pPr>
      <w:rPr/>
    </w:lvl>
    <w:lvl w:ilvl="4">
      <w:start w:val="1"/>
      <w:numFmt w:val="lowerLetter"/>
      <w:lvlText w:val="%5."/>
      <w:lvlJc w:val="left"/>
      <w:pPr>
        <w:ind w:left="3230" w:hanging="360"/>
      </w:pPr>
      <w:rPr/>
    </w:lvl>
    <w:lvl w:ilvl="5">
      <w:start w:val="1"/>
      <w:numFmt w:val="lowerRoman"/>
      <w:lvlText w:val="%6."/>
      <w:lvlJc w:val="right"/>
      <w:pPr>
        <w:ind w:left="3950" w:hanging="180"/>
      </w:pPr>
      <w:rPr/>
    </w:lvl>
    <w:lvl w:ilvl="6">
      <w:start w:val="1"/>
      <w:numFmt w:val="decimal"/>
      <w:lvlText w:val="%7."/>
      <w:lvlJc w:val="left"/>
      <w:pPr>
        <w:ind w:left="4670" w:hanging="360"/>
      </w:pPr>
      <w:rPr/>
    </w:lvl>
    <w:lvl w:ilvl="7">
      <w:start w:val="1"/>
      <w:numFmt w:val="lowerLetter"/>
      <w:lvlText w:val="%8."/>
      <w:lvlJc w:val="left"/>
      <w:pPr>
        <w:ind w:left="5390" w:hanging="360"/>
      </w:pPr>
      <w:rPr/>
    </w:lvl>
    <w:lvl w:ilvl="8">
      <w:start w:val="1"/>
      <w:numFmt w:val="lowerRoman"/>
      <w:lvlText w:val="%9."/>
      <w:lvlJc w:val="right"/>
      <w:pPr>
        <w:ind w:left="611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lanalto.gov.br/ccivil_03/_ato2019-2022/2021/lei/l14133.htm#art155ii" TargetMode="External"/><Relationship Id="rId10" Type="http://schemas.openxmlformats.org/officeDocument/2006/relationships/hyperlink" Target="https://www.planalto.gov.br/ccivil_03/_ato2019-2022/2021/lei/l14133.htm#art155ii" TargetMode="External"/><Relationship Id="rId13" Type="http://schemas.openxmlformats.org/officeDocument/2006/relationships/hyperlink" Target="https://www.planalto.gov.br/ccivil_03/_ato2019-2022/2021/lei/l14133.htm#art155viii" TargetMode="External"/><Relationship Id="rId12" Type="http://schemas.openxmlformats.org/officeDocument/2006/relationships/hyperlink" Target="https://www.planalto.gov.br/ccivil_03/_ato2019-2022/2021/lei/l14133.htm#art155vii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lanalto.gov.br/ccivil_03/_ato2019-2022/2021/lei/l14133.htm#art155ii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www.planalto.gov.br/ccivil_03/_ato2019-2022/2021/lei/l14133.htm#art155viii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planalto.gov.br/ccivil_03/_ato2019-2022/2021/lei/l14133.htm#art155i" TargetMode="External"/><Relationship Id="rId7" Type="http://schemas.openxmlformats.org/officeDocument/2006/relationships/hyperlink" Target="https://www.planalto.gov.br/ccivil_03/_ato2019-2022/2021/lei/l14133.htm#art155i" TargetMode="External"/><Relationship Id="rId8" Type="http://schemas.openxmlformats.org/officeDocument/2006/relationships/hyperlink" Target="https://www.planalto.gov.br/ccivil_03/_ato2019-2022/2021/lei/l14133.htm#art155i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