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ANÁLISE DE RISCOS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INFORMAÇÕES BÁSICAS</w:t>
      </w:r>
    </w:p>
    <w:tbl>
      <w:tblPr>
        <w:tblStyle w:val="Table1"/>
        <w:tblW w:w="9183.0" w:type="dxa"/>
        <w:jc w:val="left"/>
        <w:tblInd w:w="-60.0" w:type="dxa"/>
        <w:tblLayout w:type="fixed"/>
        <w:tblLook w:val="0000"/>
      </w:tblPr>
      <w:tblGrid>
        <w:gridCol w:w="4365"/>
        <w:gridCol w:w="4818"/>
        <w:tblGridChange w:id="0">
          <w:tblGrid>
            <w:gridCol w:w="4365"/>
            <w:gridCol w:w="48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OBJETO DA ANÁLISE DE RISCOS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RESPONSÁVEIS PELA CRIAÇÃO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19"/>
                <w:szCs w:val="19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Aquisição de equipamentos odontológicos a fim de atender às demandas da Secretaria Municipal de Saúde de Arapiraca.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line="276" w:lineRule="auto"/>
              <w:ind w:left="5" w:right="-10" w:hanging="15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Fernanda Fonseca Mafra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HISTÓRICO DE REVISÕES</w:t>
      </w:r>
    </w:p>
    <w:tbl>
      <w:tblPr>
        <w:tblStyle w:val="Table2"/>
        <w:tblW w:w="9184.0" w:type="dxa"/>
        <w:jc w:val="left"/>
        <w:tblInd w:w="-60.0" w:type="dxa"/>
        <w:tblLayout w:type="fixed"/>
        <w:tblLook w:val="0000"/>
      </w:tblPr>
      <w:tblGrid>
        <w:gridCol w:w="9184"/>
        <w:tblGridChange w:id="0">
          <w:tblGrid>
            <w:gridCol w:w="91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Nenhuma revisão encontrada.</w:t>
            </w:r>
          </w:p>
        </w:tc>
      </w:tr>
    </w:tbl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RISCOS IDENTIFICADOS</w:t>
      </w:r>
      <w:r w:rsidDel="00000000" w:rsidR="00000000" w:rsidRPr="00000000">
        <w:rPr>
          <w:rtl w:val="0"/>
        </w:rPr>
      </w:r>
    </w:p>
    <w:tbl>
      <w:tblPr>
        <w:tblStyle w:val="Table3"/>
        <w:tblW w:w="9184.0" w:type="dxa"/>
        <w:jc w:val="left"/>
        <w:tblInd w:w="-60.0" w:type="dxa"/>
        <w:tblLayout w:type="fixed"/>
        <w:tblLook w:val="0000"/>
      </w:tblPr>
      <w:tblGrid>
        <w:gridCol w:w="1180"/>
        <w:gridCol w:w="2487"/>
        <w:gridCol w:w="1843"/>
        <w:gridCol w:w="1837"/>
        <w:gridCol w:w="1837"/>
        <w:tblGridChange w:id="0">
          <w:tblGrid>
            <w:gridCol w:w="1180"/>
            <w:gridCol w:w="2487"/>
            <w:gridCol w:w="1843"/>
            <w:gridCol w:w="1837"/>
            <w:gridCol w:w="18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NÚMERO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RISCO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CAUSA DO RISCO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NÍVEL DO RISCO</w:t>
            </w:r>
          </w:p>
        </w:tc>
      </w:tr>
      <w:tr>
        <w:trPr>
          <w:cantSplit w:val="0"/>
          <w:trHeight w:val="942.7490234374998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 – 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after="46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81c32"/>
                <w:sz w:val="20"/>
                <w:szCs w:val="20"/>
                <w:shd w:fill="fff2cc" w:val="clear"/>
                <w:rtl w:val="0"/>
              </w:rPr>
              <w:t xml:space="preserve">Aquisição de equipamentos que não atendam às necessidades da administração.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Descrição imprecisa dos equipamentos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 odontológicos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Planejamento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IMPACTOS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6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color w:val="181c32"/>
                <w:sz w:val="20"/>
                <w:szCs w:val="20"/>
                <w:shd w:fill="fff2cc" w:val="clear"/>
                <w:rtl w:val="0"/>
              </w:rPr>
              <w:t xml:space="preserve">Aquisição de equipamentos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 odontológicos </w:t>
            </w:r>
            <w:r w:rsidDel="00000000" w:rsidR="00000000" w:rsidRPr="00000000">
              <w:rPr>
                <w:rFonts w:ascii="Arial" w:cs="Arial" w:eastAsia="Arial" w:hAnsi="Arial"/>
                <w:color w:val="181c32"/>
                <w:sz w:val="20"/>
                <w:szCs w:val="20"/>
                <w:shd w:fill="fff2cc" w:val="clear"/>
                <w:rtl w:val="0"/>
              </w:rPr>
              <w:t xml:space="preserve">que não atendam às necessidades da administração, ocasionando desperdício de recursos e possível necessidade de nova contratação.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AÇÕES PREVENTIVAS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 – </w:t>
            </w:r>
            <w:r w:rsidDel="00000000" w:rsidR="00000000" w:rsidRPr="00000000">
              <w:rPr>
                <w:rFonts w:ascii="Arial" w:cs="Arial" w:eastAsia="Arial" w:hAnsi="Arial"/>
                <w:color w:val="181c32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Elaboração detalhada do Estudo Técnico Preliminar.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AÇÕES DE CONTINGÊNCIA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color w:val="181c32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 – 01. </w:t>
            </w:r>
            <w:r w:rsidDel="00000000" w:rsidR="00000000" w:rsidRPr="00000000">
              <w:rPr>
                <w:rFonts w:ascii="Arial" w:cs="Arial" w:eastAsia="Arial" w:hAnsi="Arial"/>
                <w:color w:val="181c32"/>
                <w:sz w:val="20"/>
                <w:szCs w:val="20"/>
                <w:shd w:fill="fff2cc" w:val="clear"/>
                <w:rtl w:val="0"/>
              </w:rPr>
              <w:t xml:space="preserve">Consultar especialistas e envolver áreas técnicas usuárias na elaboração da especificação.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84.0" w:type="dxa"/>
        <w:jc w:val="left"/>
        <w:tblInd w:w="-60.0" w:type="dxa"/>
        <w:tblLayout w:type="fixed"/>
        <w:tblLook w:val="0000"/>
      </w:tblPr>
      <w:tblGrid>
        <w:gridCol w:w="1180"/>
        <w:gridCol w:w="2487"/>
        <w:gridCol w:w="1843"/>
        <w:gridCol w:w="1837"/>
        <w:gridCol w:w="1837"/>
        <w:tblGridChange w:id="0">
          <w:tblGrid>
            <w:gridCol w:w="1180"/>
            <w:gridCol w:w="2487"/>
            <w:gridCol w:w="1843"/>
            <w:gridCol w:w="1837"/>
            <w:gridCol w:w="18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NÚMERO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RISCO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CAUSA DO RISCO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NÍVEL DO RISCO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– 02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Equipamentos com defeitos ou falhas técnicas sem garantia e assistência técnica.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Falta de assistência técnica ou garantia do fornecedor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Planejamento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Extremo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3F">
            <w:pPr>
              <w:widowControl w:val="0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IMPACTOS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after="46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Município com equipamentos apresentando defeitos e falhas técnicas sem a possibilidade de manutenção ou troca dos mesmos.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49">
            <w:pPr>
              <w:widowControl w:val="0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AÇÕES PREVENTIVAS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color w:val="00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 – 01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Exigir garantia mínima e comprovação de rede de assistência técnica autorizada no território nacional.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53">
            <w:pPr>
              <w:widowControl w:val="0"/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AÇÕES DE CONTINGÊNCIA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after="0" w:lineRule="auto"/>
              <w:jc w:val="both"/>
              <w:rPr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 – 01.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Prever penalidades caso a empresa não cumpra com o edital.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Arapiraca, 31 de agosto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2026.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RESPONSÁVEL</w:t>
      </w:r>
    </w:p>
    <w:p w:rsidR="00000000" w:rsidDel="00000000" w:rsidP="00000000" w:rsidRDefault="00000000" w:rsidRPr="00000000" w14:paraId="00000061">
      <w:pPr>
        <w:widowControl w:val="0"/>
        <w:spacing w:after="0" w:line="276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buy27hfccit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line="276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kdjevbbxvnn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line="276" w:lineRule="auto"/>
        <w:ind w:left="-10" w:right="-10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Fernanda Fonseca Mafra</w:t>
        <w:br w:type="textWrapping"/>
        <w:t xml:space="preserve">Coordenadora Geral de Saúde Bucal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Secretaria Municipal de Saúde -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line="276" w:lineRule="auto"/>
        <w:ind w:left="5" w:right="-10" w:hanging="15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         Página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6014720" cy="965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6014720" cy="965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4720" cy="96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667703</wp:posOffset>
              </wp:positionH>
              <wp:positionV relativeFrom="paragraph">
                <wp:posOffset>40323</wp:posOffset>
              </wp:positionV>
              <wp:extent cx="4296727" cy="65722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667703</wp:posOffset>
              </wp:positionH>
              <wp:positionV relativeFrom="paragraph">
                <wp:posOffset>40323</wp:posOffset>
              </wp:positionV>
              <wp:extent cx="4296727" cy="65722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96727" cy="657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/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2052638</wp:posOffset>
              </wp:positionH>
              <wp:positionV relativeFrom="paragraph">
                <wp:posOffset>236538</wp:posOffset>
              </wp:positionV>
              <wp:extent cx="3774440" cy="3752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2052638</wp:posOffset>
              </wp:positionH>
              <wp:positionV relativeFrom="paragraph">
                <wp:posOffset>236538</wp:posOffset>
              </wp:positionV>
              <wp:extent cx="3774440" cy="37528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4440" cy="375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7938</wp:posOffset>
              </wp:positionV>
              <wp:extent cx="6014720" cy="965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7938</wp:posOffset>
              </wp:positionV>
              <wp:extent cx="6014720" cy="965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4720" cy="96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