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ESTUDO TÉCNICO PRELIMINAR (ETP)</w:t>
      </w:r>
      <w:r w:rsidDel="00000000" w:rsidR="00000000" w:rsidRPr="00000000">
        <w:rPr>
          <w:rtl w:val="0"/>
        </w:rPr>
      </w:r>
    </w:p>
    <w:p w:rsidR="00000000" w:rsidDel="00000000" w:rsidP="00000000" w:rsidRDefault="00000000" w:rsidRPr="00000000" w14:paraId="00000002">
      <w:pPr>
        <w:spacing w:after="0" w:before="0" w:line="276"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 Descrição da Necessidade</w:t>
      </w:r>
      <w:r w:rsidDel="00000000" w:rsidR="00000000" w:rsidRPr="00000000">
        <w:rPr>
          <w:rtl w:val="0"/>
        </w:rPr>
      </w:r>
    </w:p>
    <w:p w:rsidR="00000000" w:rsidDel="00000000" w:rsidP="00000000" w:rsidRDefault="00000000" w:rsidRPr="00000000" w14:paraId="00000004">
      <w:pPr>
        <w:spacing w:after="0" w:before="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b w:val="0"/>
          <w:bCs w:val="0"/>
          <w:color w:val="000000"/>
          <w:shd w:fill="auto" w:val="clear"/>
          <w:rtl w:val="0"/>
        </w:rPr>
        <w:t xml:space="preserve">1.1. </w:t>
      </w:r>
      <w:r w:rsidDel="00000000" w:rsidR="00000000" w:rsidRPr="00000000">
        <w:rPr>
          <w:rFonts w:ascii="Arial" w:cs="Arial" w:eastAsia="Arial" w:hAnsi="Arial"/>
          <w:color w:val="000000"/>
          <w:shd w:fill="fff2cc" w:val="clear"/>
          <w:rtl w:val="0"/>
        </w:rPr>
        <w:t xml:space="preserve">Tendo como base legal a Lei Federal nº 14.133/2021 (art. 28, inciso I, da Lei º 14.133/21).</w:t>
      </w:r>
    </w:p>
    <w:p w:rsidR="00000000" w:rsidDel="00000000" w:rsidP="00000000" w:rsidRDefault="00000000" w:rsidRPr="00000000" w14:paraId="00000005">
      <w:pPr>
        <w:widowControl w:val="0"/>
        <w:spacing w:after="0" w:line="276" w:lineRule="auto"/>
        <w:jc w:val="both"/>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A Secretaria Municipal de Saúde de Arapiraca, no cumprimento de suas atribuições institucionais e em conformidade com as diretrizes do Sistema Único de Saúde (SUS), necessita manter e ampliar a capacidade de atendimento odontológico prestado à população, garantindo qualidade, eficiência e segurança nos procedimentos realizados nas Unidades Básicas de Saúde, Centros de Especialidades Odontológicas e demais serviços vinculados à rede municipal.O município possui convênio com o Consórcio Intermunicipal do Sul de Alagoas – CONISUL, por meio do qual busca otimizar a aquisição de insumos e equipamentos de saúde, visando economicidade e eficiência. No entanto, é recorrente que alguns itens de equipamentos odontológicos resultem fracassados ou cancelados nos processos licitatórios do consórcio. Além disso, em determinadas situações, os equipamentos que permanecem disponíveis apresentam qualidade inferior aos padrões técnicos e operacionais exigidos por esta Secretaria, o que inviabiliza sua utilização adequada e compromete a segurança e a efetividade dos atendimentos.Diante deste cenário, torna-se imprescindível a realização de processo licitatório próprio para aquisição de equipamentos odontológicos que atendam plenamente às necessidades do município, observando rigorosamente critérios de qualidade, desempenho e conformidade técnica com as normativas da Agência Nacional de Vigilância Sanitária (ANVISA) e do Conselho Federal de Odontologia (CFO).Essa medida visa assegurar que os serviços de saúde bucal disponham de equipamentos modernos, seguros e duráveis, capazes de oferecer suporte adequado às ações de prevenção, diagnóstico, tratamento e reabilitação, contribuindo diretamente para a melhoria dos indicadores de saúde bucal da população de Arapiraca.Assim, justifica-se a presente aquisição como medida necessária para garantir a continuidade e a qualidade dos serviços odontológicos, suprindo lacunas decorrentes das limitações </w:t>
      </w:r>
      <w:r w:rsidDel="00000000" w:rsidR="00000000" w:rsidRPr="00000000">
        <w:rPr>
          <w:rFonts w:ascii="Arial" w:cs="Arial" w:eastAsia="Arial" w:hAnsi="Arial"/>
          <w:color w:val="000000"/>
          <w:rtl w:val="0"/>
        </w:rPr>
        <w:t xml:space="preserve">operacionais do processo de compras via CONISUL e assegurando a eficiência na aplicação dos recursos públicos em prol da saúde da população</w:t>
      </w:r>
    </w:p>
    <w:p w:rsidR="00000000" w:rsidDel="00000000" w:rsidP="00000000" w:rsidRDefault="00000000" w:rsidRPr="00000000" w14:paraId="00000006">
      <w:pPr>
        <w:spacing w:after="0" w:before="0" w:line="276" w:lineRule="auto"/>
        <w:ind w:left="5" w:right="-10" w:hanging="15"/>
        <w:jc w:val="both"/>
        <w:rPr>
          <w:rFonts w:ascii="Arial" w:cs="Arial" w:eastAsia="Arial" w:hAnsi="Arial"/>
          <w:b w:val="0"/>
          <w:bCs w:val="0"/>
          <w:color w:val="000000"/>
        </w:rPr>
      </w:pPr>
      <w:r w:rsidDel="00000000" w:rsidR="00000000" w:rsidRPr="00000000">
        <w:rPr>
          <w:rtl w:val="0"/>
        </w:rPr>
      </w:r>
    </w:p>
    <w:p w:rsidR="00000000" w:rsidDel="00000000" w:rsidP="00000000" w:rsidRDefault="00000000" w:rsidRPr="00000000" w14:paraId="00000007">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2. Área Requisitante</w:t>
      </w:r>
      <w:r w:rsidDel="00000000" w:rsidR="00000000" w:rsidRPr="00000000">
        <w:rPr>
          <w:rtl w:val="0"/>
        </w:rPr>
      </w:r>
    </w:p>
    <w:p w:rsidR="00000000" w:rsidDel="00000000" w:rsidP="00000000" w:rsidRDefault="00000000" w:rsidRPr="00000000" w14:paraId="00000008">
      <w:pPr>
        <w:spacing w:after="0" w:before="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b w:val="0"/>
          <w:bCs w:val="0"/>
          <w:color w:val="000000"/>
          <w:shd w:fill="auto" w:val="clear"/>
          <w:rtl w:val="0"/>
        </w:rPr>
        <w:t xml:space="preserve">2.1. A presente solicitação atenderá as demandas da</w:t>
      </w:r>
      <w:r w:rsidDel="00000000" w:rsidR="00000000" w:rsidRPr="00000000">
        <w:rPr>
          <w:rFonts w:ascii="Arial" w:cs="Arial" w:eastAsia="Arial" w:hAnsi="Arial"/>
          <w:b w:val="0"/>
          <w:bCs w:val="0"/>
          <w:color w:val="000000"/>
          <w:shd w:fill="fff2cc" w:val="clear"/>
          <w:rtl w:val="0"/>
        </w:rPr>
        <w:t xml:space="preserve"> Superintendência de Atenção à Saúde</w:t>
      </w:r>
      <w:r w:rsidDel="00000000" w:rsidR="00000000" w:rsidRPr="00000000">
        <w:rPr>
          <w:rFonts w:ascii="Arial" w:cs="Arial" w:eastAsia="Arial" w:hAnsi="Arial"/>
          <w:color w:val="000000"/>
          <w:shd w:fill="fff2cc" w:val="clear"/>
          <w:rtl w:val="0"/>
        </w:rPr>
        <w:t xml:space="preserve">.</w:t>
      </w:r>
    </w:p>
    <w:p w:rsidR="00000000" w:rsidDel="00000000" w:rsidP="00000000" w:rsidRDefault="00000000" w:rsidRPr="00000000" w14:paraId="00000009">
      <w:pPr>
        <w:spacing w:after="0" w:before="0" w:line="276" w:lineRule="auto"/>
        <w:ind w:left="5" w:right="-10" w:hanging="15"/>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A">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3. Requisitos de Contratação</w:t>
      </w: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 Contratada deve cumprir todas as obrigações constantes no Edital, seus anexos e sua proposta, assumindo como exclusividade seus riscos e as despesas decorrentes da boa e perfeita execução do objeto e, ainda:</w:t>
      </w:r>
    </w:p>
    <w:p w:rsidR="00000000" w:rsidDel="00000000" w:rsidP="00000000" w:rsidRDefault="00000000" w:rsidRPr="00000000" w14:paraId="0000000C">
      <w:pPr>
        <w:spacing w:after="0" w:line="240" w:lineRule="auto"/>
        <w:jc w:val="both"/>
        <w:rPr>
          <w:rFonts w:ascii="Arial" w:cs="Arial" w:eastAsia="Arial" w:hAnsi="Arial"/>
          <w:shd w:fill="fff2cc" w:val="clear"/>
        </w:rPr>
      </w:pPr>
      <w:r w:rsidDel="00000000" w:rsidR="00000000" w:rsidRPr="00000000">
        <w:rPr>
          <w:rFonts w:ascii="Arial" w:cs="Arial" w:eastAsia="Arial" w:hAnsi="Arial"/>
          <w:shd w:fill="fff2cc" w:val="clear"/>
          <w:rtl w:val="0"/>
        </w:rPr>
        <w:t xml:space="preserve">3.1. Os equipamentos odontológicos a serem adquiridos deverão ser entregues rigorosamente de acordo com as especificações das respectivas propostas de preços e atender as </w:t>
      </w:r>
      <w:r w:rsidDel="00000000" w:rsidR="00000000" w:rsidRPr="00000000">
        <w:rPr>
          <w:rFonts w:ascii="Arial" w:cs="Arial" w:eastAsia="Arial" w:hAnsi="Arial"/>
          <w:color w:val="000000"/>
          <w:shd w:fill="fff2cc" w:val="clear"/>
          <w:rtl w:val="0"/>
        </w:rPr>
        <w:t xml:space="preserve">normas de qualidade, segurança e eficácia estabelecidas por órgãos reguladores competentes;</w:t>
      </w:r>
      <w:r w:rsidDel="00000000" w:rsidR="00000000" w:rsidRPr="00000000">
        <w:rPr>
          <w:rtl w:val="0"/>
        </w:rPr>
      </w:r>
    </w:p>
    <w:p w:rsidR="00000000" w:rsidDel="00000000" w:rsidP="00000000" w:rsidRDefault="00000000" w:rsidRPr="00000000" w14:paraId="0000000D">
      <w:pPr>
        <w:spacing w:after="0" w:line="240" w:lineRule="auto"/>
        <w:ind w:left="5" w:right="-10" w:firstLine="0"/>
        <w:jc w:val="both"/>
        <w:rPr>
          <w:rFonts w:ascii="Arial" w:cs="Arial" w:eastAsia="Arial" w:hAnsi="Arial"/>
          <w:color w:val="000000"/>
          <w:shd w:fill="fff2cc" w:val="clear"/>
        </w:rPr>
      </w:pPr>
      <w:r w:rsidDel="00000000" w:rsidR="00000000" w:rsidRPr="00000000">
        <w:rPr>
          <w:rFonts w:ascii="Arial" w:cs="Arial" w:eastAsia="Arial" w:hAnsi="Arial"/>
          <w:shd w:fill="fff2cc" w:val="clear"/>
          <w:rtl w:val="0"/>
        </w:rPr>
        <w:t xml:space="preserve">3.2. A garantia dos equipamentos odontológicos, para serem entregues, não deve ser inferior a 12 (doze) meses, contados a partir da data de entrega do produto</w:t>
      </w:r>
      <w:r w:rsidDel="00000000" w:rsidR="00000000" w:rsidRPr="00000000">
        <w:rPr>
          <w:rFonts w:ascii="Arial" w:cs="Arial" w:eastAsia="Arial" w:hAnsi="Arial"/>
          <w:color w:val="000000"/>
          <w:shd w:fill="fff2cc" w:val="clear"/>
          <w:rtl w:val="0"/>
        </w:rPr>
        <w:t xml:space="preserve">;</w:t>
      </w:r>
    </w:p>
    <w:p w:rsidR="00000000" w:rsidDel="00000000" w:rsidP="00000000" w:rsidRDefault="00000000" w:rsidRPr="00000000" w14:paraId="0000000E">
      <w:pPr>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3.3. Garantia de assistência técnica disponível durante e após a entrega dos produtos, para esclarecimento de dúvidas e suporte ao uso adequado dos mesmos;</w:t>
      </w:r>
    </w:p>
    <w:p w:rsidR="00000000" w:rsidDel="00000000" w:rsidP="00000000" w:rsidRDefault="00000000" w:rsidRPr="00000000" w14:paraId="0000000F">
      <w:pPr>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3.4. Garantia contra defeitos de fabricação deve cobrir reparos ou substituições necessárias sem custo adicional ao município.</w:t>
      </w:r>
    </w:p>
    <w:p w:rsidR="00000000" w:rsidDel="00000000" w:rsidP="00000000" w:rsidRDefault="00000000" w:rsidRPr="00000000" w14:paraId="00000010">
      <w:pPr>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3.5. Sistema de controle de entrega que permita rastreamento dos pedidos, garantindo visibilidade e transparência nas transações;</w:t>
      </w:r>
    </w:p>
    <w:p w:rsidR="00000000" w:rsidDel="00000000" w:rsidP="00000000" w:rsidRDefault="00000000" w:rsidRPr="00000000" w14:paraId="00000011">
      <w:pPr>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3.6. Os fornecedores devem demonstrar capacidade técnica e experiência anterior em fornecimento de </w:t>
      </w:r>
      <w:r w:rsidDel="00000000" w:rsidR="00000000" w:rsidRPr="00000000">
        <w:rPr>
          <w:rFonts w:ascii="Arial" w:cs="Arial" w:eastAsia="Arial" w:hAnsi="Arial"/>
          <w:shd w:fill="fff2cc" w:val="clear"/>
          <w:rtl w:val="0"/>
        </w:rPr>
        <w:t xml:space="preserve">equipamentos odontológicos</w:t>
      </w:r>
      <w:r w:rsidDel="00000000" w:rsidR="00000000" w:rsidRPr="00000000">
        <w:rPr>
          <w:rFonts w:ascii="Arial" w:cs="Arial" w:eastAsia="Arial" w:hAnsi="Arial"/>
          <w:color w:val="000000"/>
          <w:shd w:fill="fff2cc" w:val="clear"/>
          <w:rtl w:val="0"/>
        </w:rPr>
        <w:t xml:space="preserve">, por meio de atestados ou declarações de atendimentos realizados a instituições de saúde reconhecidas.</w:t>
      </w:r>
    </w:p>
    <w:p w:rsidR="00000000" w:rsidDel="00000000" w:rsidP="00000000" w:rsidRDefault="00000000" w:rsidRPr="00000000" w14:paraId="00000012">
      <w:pPr>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3.7. O prazo de entrega dos equipamentos deve ser estipulado em até 30 dias após a formalização do contrato.</w:t>
      </w:r>
    </w:p>
    <w:p w:rsidR="00000000" w:rsidDel="00000000" w:rsidP="00000000" w:rsidRDefault="00000000" w:rsidRPr="00000000" w14:paraId="00000013">
      <w:pPr>
        <w:spacing w:after="0" w:line="240" w:lineRule="auto"/>
        <w:jc w:val="both"/>
        <w:rPr>
          <w:rFonts w:ascii="Arial" w:cs="Arial" w:eastAsia="Arial" w:hAnsi="Arial"/>
          <w:shd w:fill="fff2cc" w:val="clear"/>
        </w:rPr>
      </w:pPr>
      <w:r w:rsidDel="00000000" w:rsidR="00000000" w:rsidRPr="00000000">
        <w:rPr>
          <w:rFonts w:ascii="Arial" w:cs="Arial" w:eastAsia="Arial" w:hAnsi="Arial"/>
          <w:shd w:fill="fff2cc" w:val="clear"/>
          <w:rtl w:val="0"/>
        </w:rPr>
        <w:t xml:space="preserve">3.8. </w:t>
      </w:r>
      <w:r w:rsidDel="00000000" w:rsidR="00000000" w:rsidRPr="00000000">
        <w:rPr>
          <w:rFonts w:ascii="Arial" w:cs="Arial" w:eastAsia="Arial" w:hAnsi="Arial"/>
          <w:color w:val="000000"/>
          <w:shd w:fill="fff2cc" w:val="clear"/>
          <w:rtl w:val="0"/>
        </w:rPr>
        <w:t xml:space="preserve">Equipamentos devem possuir certificação de conformidade com as normas da ANVISA e registros regularizados para uso na área da saúde</w:t>
      </w:r>
      <w:r w:rsidDel="00000000" w:rsidR="00000000" w:rsidRPr="00000000">
        <w:rPr>
          <w:rFonts w:ascii="Arial" w:cs="Arial" w:eastAsia="Arial" w:hAnsi="Arial"/>
          <w:shd w:fill="fff2cc" w:val="clear"/>
          <w:rtl w:val="0"/>
        </w:rPr>
        <w:t xml:space="preserve">;</w:t>
      </w:r>
    </w:p>
    <w:p w:rsidR="00000000" w:rsidDel="00000000" w:rsidP="00000000" w:rsidRDefault="00000000" w:rsidRPr="00000000" w14:paraId="00000014">
      <w:pPr>
        <w:spacing w:after="0" w:line="240" w:lineRule="auto"/>
        <w:jc w:val="both"/>
        <w:rPr>
          <w:rFonts w:ascii="Arial" w:cs="Arial" w:eastAsia="Arial" w:hAnsi="Arial"/>
          <w:color w:val="000000"/>
        </w:rPr>
      </w:pPr>
      <w:r w:rsidDel="00000000" w:rsidR="00000000" w:rsidRPr="00000000">
        <w:rPr>
          <w:rFonts w:ascii="Arial" w:cs="Arial" w:eastAsia="Arial" w:hAnsi="Arial"/>
          <w:shd w:fill="fff2cc" w:val="clear"/>
          <w:rtl w:val="0"/>
        </w:rPr>
        <w:t xml:space="preserve">3.9. </w:t>
      </w:r>
      <w:r w:rsidDel="00000000" w:rsidR="00000000" w:rsidRPr="00000000">
        <w:rPr>
          <w:rFonts w:ascii="Arial" w:cs="Arial" w:eastAsia="Arial" w:hAnsi="Arial"/>
          <w:color w:val="000000"/>
          <w:shd w:fill="fff2cc" w:val="clear"/>
          <w:rtl w:val="0"/>
        </w:rPr>
        <w:t xml:space="preserve">Os </w:t>
      </w:r>
      <w:r w:rsidDel="00000000" w:rsidR="00000000" w:rsidRPr="00000000">
        <w:rPr>
          <w:rFonts w:ascii="Arial" w:cs="Arial" w:eastAsia="Arial" w:hAnsi="Arial"/>
          <w:shd w:fill="fff2cc" w:val="clear"/>
          <w:rtl w:val="0"/>
        </w:rPr>
        <w:t xml:space="preserve">equipamentos odontológicos</w:t>
      </w:r>
      <w:r w:rsidDel="00000000" w:rsidR="00000000" w:rsidRPr="00000000">
        <w:rPr>
          <w:rFonts w:ascii="Arial" w:cs="Arial" w:eastAsia="Arial" w:hAnsi="Arial"/>
          <w:color w:val="000000"/>
          <w:shd w:fill="fff2cc" w:val="clear"/>
          <w:rtl w:val="0"/>
        </w:rPr>
        <w:t xml:space="preserve"> devem possuir certificação de segurança do INMETRO ou correspondente, assegurando a conformidade com normas de segurança elétrica e operacional.</w:t>
      </w:r>
      <w:r w:rsidDel="00000000" w:rsidR="00000000" w:rsidRPr="00000000">
        <w:rPr>
          <w:rtl w:val="0"/>
        </w:rPr>
      </w:r>
    </w:p>
    <w:p w:rsidR="00000000" w:rsidDel="00000000" w:rsidP="00000000" w:rsidRDefault="00000000" w:rsidRPr="00000000" w14:paraId="00000015">
      <w:pPr>
        <w:spacing w:after="0" w:before="0" w:line="276" w:lineRule="auto"/>
        <w:ind w:left="5" w:right="-10" w:hanging="15"/>
        <w:jc w:val="both"/>
        <w:rPr>
          <w:rFonts w:ascii="Arial" w:cs="Arial" w:eastAsia="Arial" w:hAnsi="Arial"/>
          <w:b w:val="0"/>
          <w:bCs w:val="0"/>
          <w:color w:val="000000"/>
          <w:shd w:fill="auto" w:val="clear"/>
        </w:rPr>
      </w:pPr>
      <w:r w:rsidDel="00000000" w:rsidR="00000000" w:rsidRPr="00000000">
        <w:rPr>
          <w:rtl w:val="0"/>
        </w:rPr>
      </w:r>
    </w:p>
    <w:p w:rsidR="00000000" w:rsidDel="00000000" w:rsidP="00000000" w:rsidRDefault="00000000" w:rsidRPr="00000000" w14:paraId="00000016">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4. Levantamento de Mercado</w:t>
      </w:r>
      <w:r w:rsidDel="00000000" w:rsidR="00000000" w:rsidRPr="00000000">
        <w:rPr>
          <w:rtl w:val="0"/>
        </w:rPr>
      </w:r>
    </w:p>
    <w:p w:rsidR="00000000" w:rsidDel="00000000" w:rsidP="00000000" w:rsidRDefault="00000000" w:rsidRPr="00000000" w14:paraId="00000017">
      <w:pPr>
        <w:spacing w:after="0" w:line="240" w:lineRule="auto"/>
        <w:ind w:left="5" w:right="-10" w:firstLine="0"/>
        <w:jc w:val="both"/>
        <w:rPr>
          <w:rFonts w:ascii="Arial" w:cs="Arial" w:eastAsia="Arial" w:hAnsi="Arial"/>
        </w:rPr>
      </w:pPr>
      <w:r w:rsidDel="00000000" w:rsidR="00000000" w:rsidRPr="00000000">
        <w:rPr>
          <w:rFonts w:ascii="Arial" w:cs="Arial" w:eastAsia="Arial" w:hAnsi="Arial"/>
          <w:rtl w:val="0"/>
        </w:rPr>
        <w:t xml:space="preserve">4.1. Soluções disponíveis para a contratação:</w:t>
      </w:r>
    </w:p>
    <w:p w:rsidR="00000000" w:rsidDel="00000000" w:rsidP="00000000" w:rsidRDefault="00000000" w:rsidRPr="00000000" w14:paraId="00000018">
      <w:pPr>
        <w:spacing w:after="0" w:line="240" w:lineRule="auto"/>
        <w:ind w:left="5" w:right="-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9">
      <w:pPr>
        <w:numPr>
          <w:ilvl w:val="0"/>
          <w:numId w:val="3"/>
        </w:numPr>
        <w:spacing w:after="0" w:line="240" w:lineRule="auto"/>
        <w:ind w:left="720" w:hanging="360"/>
        <w:jc w:val="both"/>
        <w:rPr>
          <w:rFonts w:ascii="Arial" w:cs="Arial" w:eastAsia="Arial" w:hAnsi="Arial"/>
          <w:shd w:fill="fff2cc" w:val="clear"/>
        </w:rPr>
      </w:pPr>
      <w:r w:rsidDel="00000000" w:rsidR="00000000" w:rsidRPr="00000000">
        <w:rPr>
          <w:rFonts w:ascii="Arial" w:cs="Arial" w:eastAsia="Arial" w:hAnsi="Arial"/>
          <w:color w:val="000000"/>
          <w:shd w:fill="fff2cc" w:val="clear"/>
          <w:rtl w:val="0"/>
        </w:rPr>
        <w:t xml:space="preserve">Aquisição de </w:t>
      </w:r>
      <w:r w:rsidDel="00000000" w:rsidR="00000000" w:rsidRPr="00000000">
        <w:rPr>
          <w:rFonts w:ascii="Arial" w:cs="Arial" w:eastAsia="Arial" w:hAnsi="Arial"/>
          <w:shd w:fill="fff2cc" w:val="clear"/>
          <w:rtl w:val="0"/>
        </w:rPr>
        <w:t xml:space="preserve">equipamentos odontológicos</w:t>
      </w:r>
      <w:r w:rsidDel="00000000" w:rsidR="00000000" w:rsidRPr="00000000">
        <w:rPr>
          <w:rFonts w:ascii="Arial" w:cs="Arial" w:eastAsia="Arial" w:hAnsi="Arial"/>
          <w:color w:val="000000"/>
          <w:shd w:fill="fff2cc" w:val="clear"/>
          <w:rtl w:val="0"/>
        </w:rPr>
        <w:t xml:space="preserve"> via Processo Licitatório: Esta opção </w:t>
      </w:r>
      <w:r w:rsidDel="00000000" w:rsidR="00000000" w:rsidRPr="00000000">
        <w:rPr>
          <w:rFonts w:ascii="Arial" w:cs="Arial" w:eastAsia="Arial" w:hAnsi="Arial"/>
          <w:shd w:fill="fff2cc" w:val="clear"/>
          <w:rtl w:val="0"/>
        </w:rPr>
        <w:t xml:space="preserve">representa uma medida eficiente, transparente e alinhada aos princípios que regem a administração pública. Esse procedimento garante que a aquisição ocorra de forma planejada, com a devida observância às normas legais vigentes, assegurando a regularidade dos atos administrativos. Além de garantir conformidade legal, a licitação promove a competitividade entre fornecedores, o que tende a resultar em melhores condições comerciais para a administração pública, tanto em termos de preço quanto de qualidade dos produtos ofertados. Outro ponto relevante é que, ao optar pela aquisição definitiva dos equipamentos, a administração evita gastos recorrentes com locações, obtendo maior controle patrimonial e autonomia na gestão e manutenção dos bens adquiridos. </w:t>
      </w:r>
    </w:p>
    <w:p w:rsidR="00000000" w:rsidDel="00000000" w:rsidP="00000000" w:rsidRDefault="00000000" w:rsidRPr="00000000" w14:paraId="0000001A">
      <w:pPr>
        <w:spacing w:after="0" w:line="240" w:lineRule="auto"/>
        <w:jc w:val="both"/>
        <w:rPr>
          <w:rFonts w:ascii="Arial" w:cs="Arial" w:eastAsia="Arial" w:hAnsi="Arial"/>
          <w:b w:val="1"/>
          <w:bCs w:val="1"/>
          <w:color w:val="000000"/>
          <w:shd w:fill="fff2cc" w:val="clear"/>
        </w:rPr>
      </w:pPr>
      <w:r w:rsidDel="00000000" w:rsidR="00000000" w:rsidRPr="00000000">
        <w:rPr>
          <w:rtl w:val="0"/>
        </w:rPr>
      </w:r>
    </w:p>
    <w:p w:rsidR="00000000" w:rsidDel="00000000" w:rsidP="00000000" w:rsidRDefault="00000000" w:rsidRPr="00000000" w14:paraId="0000001B">
      <w:pPr>
        <w:numPr>
          <w:ilvl w:val="0"/>
          <w:numId w:val="2"/>
        </w:numPr>
        <w:spacing w:after="0" w:line="240" w:lineRule="auto"/>
        <w:ind w:left="720" w:hanging="360"/>
        <w:jc w:val="both"/>
        <w:rPr>
          <w:rFonts w:ascii="Arial" w:cs="Arial" w:eastAsia="Arial" w:hAnsi="Arial"/>
          <w:shd w:fill="fff2cc" w:val="clear"/>
        </w:rPr>
      </w:pPr>
      <w:r w:rsidDel="00000000" w:rsidR="00000000" w:rsidRPr="00000000">
        <w:rPr>
          <w:rFonts w:ascii="Arial" w:cs="Arial" w:eastAsia="Arial" w:hAnsi="Arial"/>
          <w:color w:val="000000"/>
          <w:shd w:fill="fff2cc" w:val="clear"/>
          <w:rtl w:val="0"/>
        </w:rPr>
        <w:t xml:space="preserve">Locação de </w:t>
      </w:r>
      <w:r w:rsidDel="00000000" w:rsidR="00000000" w:rsidRPr="00000000">
        <w:rPr>
          <w:rFonts w:ascii="Arial" w:cs="Arial" w:eastAsia="Arial" w:hAnsi="Arial"/>
          <w:shd w:fill="fff2cc" w:val="clear"/>
          <w:rtl w:val="0"/>
        </w:rPr>
        <w:t xml:space="preserve">equipamentos odontológicos</w:t>
      </w:r>
      <w:r w:rsidDel="00000000" w:rsidR="00000000" w:rsidRPr="00000000">
        <w:rPr>
          <w:rFonts w:ascii="Arial" w:cs="Arial" w:eastAsia="Arial" w:hAnsi="Arial"/>
          <w:color w:val="000000"/>
          <w:shd w:fill="fff2cc" w:val="clear"/>
          <w:rtl w:val="0"/>
        </w:rPr>
        <w:t xml:space="preserve">: </w:t>
      </w:r>
      <w:r w:rsidDel="00000000" w:rsidR="00000000" w:rsidRPr="00000000">
        <w:rPr>
          <w:rFonts w:ascii="Arial" w:cs="Arial" w:eastAsia="Arial" w:hAnsi="Arial"/>
          <w:shd w:fill="fff2cc" w:val="clear"/>
          <w:rtl w:val="0"/>
        </w:rPr>
        <w:t xml:space="preserve">A opção pela locação dos equipamentos odontológicos pode se mostrar vantajosa em um primeiro momento, especialmente em situações emergenciais, projetos temporários. No entanto, é importante considerar que, ao longo do tempo, os valores mensais pagos pela locação tendem a ultrapassar significativamente o custo de aquisição dos mesmos equipamentos. </w:t>
      </w:r>
    </w:p>
    <w:p w:rsidR="00000000" w:rsidDel="00000000" w:rsidP="00000000" w:rsidRDefault="00000000" w:rsidRPr="00000000" w14:paraId="0000001C">
      <w:pPr>
        <w:spacing w:after="0" w:line="240" w:lineRule="auto"/>
        <w:jc w:val="both"/>
        <w:rPr>
          <w:rFonts w:ascii="Arial" w:cs="Arial" w:eastAsia="Arial" w:hAnsi="Arial"/>
          <w:color w:val="000000"/>
          <w:shd w:fill="fff2cc" w:val="clear"/>
        </w:rPr>
      </w:pPr>
      <w:r w:rsidDel="00000000" w:rsidR="00000000" w:rsidRPr="00000000">
        <w:rPr>
          <w:rtl w:val="0"/>
        </w:rPr>
      </w:r>
    </w:p>
    <w:p w:rsidR="00000000" w:rsidDel="00000000" w:rsidP="00000000" w:rsidRDefault="00000000" w:rsidRPr="00000000" w14:paraId="0000001D">
      <w:pPr>
        <w:spacing w:after="0" w:line="276" w:lineRule="auto"/>
        <w:jc w:val="both"/>
        <w:rPr>
          <w:rFonts w:ascii="Arial" w:cs="Arial" w:eastAsia="Arial" w:hAnsi="Arial"/>
          <w:shd w:fill="fff2cc" w:val="clear"/>
        </w:rPr>
      </w:pPr>
      <w:r w:rsidDel="00000000" w:rsidR="00000000" w:rsidRPr="00000000">
        <w:rPr>
          <w:rFonts w:ascii="Arial" w:cs="Arial" w:eastAsia="Arial" w:hAnsi="Arial"/>
          <w:shd w:fill="fff2cc" w:val="clear"/>
          <w:rtl w:val="0"/>
        </w:rPr>
        <w:t xml:space="preserve">Após a devida análise das alternativas disponíveis para a aquisição de equipamentos odontológicos, conclui-se que a solução mais eficiente, econômica e juridicamente adequada é a aquisição por meio de processo licitatório. Esta modalidade não apenas assegura a observância rigorosa dos princípios e normas que regem a administração pública, mas também proporciona uma seleção criteriosa da proposta mais vantajosa, considerando o melhor custo-benefício para a Administração.</w:t>
      </w:r>
    </w:p>
    <w:p w:rsidR="00000000" w:rsidDel="00000000" w:rsidP="00000000" w:rsidRDefault="00000000" w:rsidRPr="00000000" w14:paraId="0000001E">
      <w:pPr>
        <w:spacing w:after="0" w:line="276" w:lineRule="auto"/>
        <w:jc w:val="both"/>
        <w:rPr>
          <w:rFonts w:ascii="Arial" w:cs="Arial" w:eastAsia="Arial" w:hAnsi="Arial"/>
          <w:shd w:fill="fff2cc" w:val="clear"/>
        </w:rPr>
      </w:pPr>
      <w:r w:rsidDel="00000000" w:rsidR="00000000" w:rsidRPr="00000000">
        <w:rPr>
          <w:rFonts w:ascii="Arial" w:cs="Arial" w:eastAsia="Arial" w:hAnsi="Arial"/>
          <w:shd w:fill="fff2cc" w:val="clear"/>
          <w:rtl w:val="0"/>
        </w:rPr>
        <w:t xml:space="preserve">A licitação, ao promover a ampla concorrência entre fornecedores, permite que a Administração tenha acesso a equipamentos com melhor desempenho, qualidade técnica e garantia, a preços compatíveis com o mercado. Além disso, a aquisição definitiva elimina despesas recorrentes associadas à locação, conferindo maior previsibilidade orçamentária e autonomia na gestão patrimonial.</w:t>
      </w:r>
    </w:p>
    <w:p w:rsidR="00000000" w:rsidDel="00000000" w:rsidP="00000000" w:rsidRDefault="00000000" w:rsidRPr="00000000" w14:paraId="0000001F">
      <w:pPr>
        <w:spacing w:after="0" w:line="276" w:lineRule="auto"/>
        <w:jc w:val="both"/>
        <w:rPr>
          <w:rFonts w:ascii="Arial" w:cs="Arial" w:eastAsia="Arial" w:hAnsi="Arial"/>
          <w:color w:val="000000"/>
          <w:shd w:fill="fff2cc" w:val="clear"/>
        </w:rPr>
      </w:pPr>
      <w:r w:rsidDel="00000000" w:rsidR="00000000" w:rsidRPr="00000000">
        <w:rPr>
          <w:rFonts w:ascii="Arial" w:cs="Arial" w:eastAsia="Arial" w:hAnsi="Arial"/>
          <w:shd w:fill="fff2cc" w:val="clear"/>
          <w:rtl w:val="0"/>
        </w:rPr>
        <w:t xml:space="preserve">Essa alternativa atende de forma satisfatória aos requisitos técnicos, operacionais e financeiros da contratação, sendo, portanto, a mais apropriada frente à demanda de equipamentos. Com isso, a Administração Pública assegura uma solução duradoura, eficiente e condizente com os princípios da economicidade e da boa gestão dos recursos públicos.</w:t>
      </w:r>
      <w:r w:rsidDel="00000000" w:rsidR="00000000" w:rsidRPr="00000000">
        <w:rPr>
          <w:rtl w:val="0"/>
        </w:rPr>
      </w:r>
    </w:p>
    <w:p w:rsidR="00000000" w:rsidDel="00000000" w:rsidP="00000000" w:rsidRDefault="00000000" w:rsidRPr="00000000" w14:paraId="00000020">
      <w:pPr>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5. Descrição da Solução como um todo</w:t>
      </w:r>
      <w:r w:rsidDel="00000000" w:rsidR="00000000" w:rsidRPr="00000000">
        <w:rPr>
          <w:rtl w:val="0"/>
        </w:rPr>
      </w:r>
    </w:p>
    <w:p w:rsidR="00000000" w:rsidDel="00000000" w:rsidP="00000000" w:rsidRDefault="00000000" w:rsidRPr="00000000" w14:paraId="00000022">
      <w:pPr>
        <w:spacing w:after="0" w:line="276" w:lineRule="auto"/>
        <w:ind w:left="5" w:right="-10" w:hanging="15"/>
        <w:jc w:val="both"/>
        <w:rPr>
          <w:shd w:fill="fff2cc" w:val="clear"/>
        </w:rPr>
      </w:pPr>
      <w:r w:rsidDel="00000000" w:rsidR="00000000" w:rsidRPr="00000000">
        <w:rPr>
          <w:rFonts w:ascii="Arial" w:cs="Arial" w:eastAsia="Arial" w:hAnsi="Arial"/>
          <w:color w:val="000000"/>
          <w:rtl w:val="0"/>
        </w:rPr>
        <w:t xml:space="preserve">5.1.</w:t>
      </w:r>
      <w:r w:rsidDel="00000000" w:rsidR="00000000" w:rsidRPr="00000000">
        <w:rPr>
          <w:rFonts w:ascii="Arial" w:cs="Arial" w:eastAsia="Arial" w:hAnsi="Arial"/>
          <w:rtl w:val="0"/>
        </w:rPr>
        <w:t xml:space="preserve">A solução mais vantajosa abrange </w:t>
      </w:r>
      <w:r w:rsidDel="00000000" w:rsidR="00000000" w:rsidRPr="00000000">
        <w:rPr>
          <w:rFonts w:ascii="Arial" w:cs="Arial" w:eastAsia="Arial" w:hAnsi="Arial"/>
          <w:shd w:fill="fff2cc" w:val="clear"/>
          <w:rtl w:val="0"/>
        </w:rPr>
        <w:t xml:space="preserve">a aquisição de equipamentos odontológicos</w:t>
      </w:r>
      <w:r w:rsidDel="00000000" w:rsidR="00000000" w:rsidRPr="00000000">
        <w:rPr>
          <w:rFonts w:ascii="Arial" w:cs="Arial" w:eastAsia="Arial" w:hAnsi="Arial"/>
          <w:color w:val="000000"/>
          <w:shd w:fill="fff2cc" w:val="clear"/>
          <w:rtl w:val="0"/>
        </w:rPr>
        <w:t xml:space="preserve"> via </w:t>
      </w:r>
      <w:r w:rsidDel="00000000" w:rsidR="00000000" w:rsidRPr="00000000">
        <w:rPr>
          <w:rFonts w:ascii="Arial" w:cs="Arial" w:eastAsia="Arial" w:hAnsi="Arial"/>
          <w:shd w:fill="fff2cc" w:val="clear"/>
          <w:rtl w:val="0"/>
        </w:rPr>
        <w:t xml:space="preserve">Processo Licitatório</w:t>
      </w:r>
      <w:r w:rsidDel="00000000" w:rsidR="00000000" w:rsidRPr="00000000">
        <w:rPr>
          <w:rFonts w:ascii="Arial" w:cs="Arial" w:eastAsia="Arial" w:hAnsi="Arial"/>
          <w:color w:val="000000"/>
          <w:shd w:fill="fff2cc" w:val="clear"/>
          <w:rtl w:val="0"/>
        </w:rPr>
        <w:t xml:space="preserve">, garantindo a aquisição dos </w:t>
      </w:r>
      <w:r w:rsidDel="00000000" w:rsidR="00000000" w:rsidRPr="00000000">
        <w:rPr>
          <w:rFonts w:ascii="Arial" w:cs="Arial" w:eastAsia="Arial" w:hAnsi="Arial"/>
          <w:shd w:fill="fff2cc" w:val="clear"/>
          <w:rtl w:val="0"/>
        </w:rPr>
        <w:t xml:space="preserve">aparelhos</w:t>
      </w:r>
      <w:r w:rsidDel="00000000" w:rsidR="00000000" w:rsidRPr="00000000">
        <w:rPr>
          <w:rFonts w:ascii="Arial" w:cs="Arial" w:eastAsia="Arial" w:hAnsi="Arial"/>
          <w:color w:val="000000"/>
          <w:shd w:fill="fff2cc" w:val="clear"/>
          <w:rtl w:val="0"/>
        </w:rPr>
        <w:t xml:space="preserve">, com base na demanda do município</w:t>
      </w:r>
      <w:r w:rsidDel="00000000" w:rsidR="00000000" w:rsidRPr="00000000">
        <w:rPr>
          <w:rFonts w:ascii="Arial" w:cs="Arial" w:eastAsia="Arial" w:hAnsi="Arial"/>
          <w:shd w:fill="fff2cc" w:val="clear"/>
          <w:rtl w:val="0"/>
        </w:rPr>
        <w:t xml:space="preserve">.</w:t>
      </w:r>
      <w:r w:rsidDel="00000000" w:rsidR="00000000" w:rsidRPr="00000000">
        <w:rPr>
          <w:rtl w:val="0"/>
        </w:rPr>
      </w:r>
    </w:p>
    <w:p w:rsidR="00000000" w:rsidDel="00000000" w:rsidP="00000000" w:rsidRDefault="00000000" w:rsidRPr="00000000" w14:paraId="00000023">
      <w:pPr>
        <w:spacing w:after="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shd w:fill="fff2cc" w:val="clear"/>
          <w:rtl w:val="0"/>
        </w:rPr>
        <w:t xml:space="preserve">5.2. Conforme destaca o levantamento de mercado, a motivação pela escolha da aquisição via Processo Licitatório se dá por ser a solução mais vantajosa para a administração pública, tendo em vista ser a opção de maior custo-benefício.</w:t>
      </w:r>
      <w:r w:rsidDel="00000000" w:rsidR="00000000" w:rsidRPr="00000000">
        <w:rPr>
          <w:rtl w:val="0"/>
        </w:rPr>
      </w:r>
    </w:p>
    <w:p w:rsidR="00000000" w:rsidDel="00000000" w:rsidP="00000000" w:rsidRDefault="00000000" w:rsidRPr="00000000" w14:paraId="00000024">
      <w:pPr>
        <w:spacing w:after="0" w:before="0" w:line="276" w:lineRule="auto"/>
        <w:ind w:left="5" w:right="-10" w:hanging="15"/>
        <w:jc w:val="both"/>
        <w:rPr>
          <w:rFonts w:ascii="Arial" w:cs="Arial" w:eastAsia="Arial" w:hAnsi="Arial"/>
          <w:b w:val="0"/>
          <w:bCs w:val="0"/>
          <w:color w:val="000000"/>
          <w:highlight w:val="yellow"/>
        </w:rPr>
      </w:pPr>
      <w:r w:rsidDel="00000000" w:rsidR="00000000" w:rsidRPr="00000000">
        <w:rPr>
          <w:rtl w:val="0"/>
        </w:rPr>
      </w:r>
    </w:p>
    <w:p w:rsidR="00000000" w:rsidDel="00000000" w:rsidP="00000000" w:rsidRDefault="00000000" w:rsidRPr="00000000" w14:paraId="00000025">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6. Estimativa de Quantidades a serem Contratadas</w:t>
      </w:r>
      <w:r w:rsidDel="00000000" w:rsidR="00000000" w:rsidRPr="00000000">
        <w:rPr>
          <w:rtl w:val="0"/>
        </w:rPr>
      </w:r>
    </w:p>
    <w:p w:rsidR="00000000" w:rsidDel="00000000" w:rsidP="00000000" w:rsidRDefault="00000000" w:rsidRPr="00000000" w14:paraId="00000026">
      <w:pPr>
        <w:spacing w:after="0" w:line="276" w:lineRule="auto"/>
        <w:ind w:left="0" w:right="-1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6.1. Para este levantamento foram consideradas as demandas da Secretaria Municipal de Saúde, conforme quantitativos descritos abaixo:</w:t>
      </w:r>
    </w:p>
    <w:p w:rsidR="00000000" w:rsidDel="00000000" w:rsidP="00000000" w:rsidRDefault="00000000" w:rsidRPr="00000000" w14:paraId="00000027">
      <w:pPr>
        <w:widowControl w:val="0"/>
        <w:spacing w:after="0" w:line="240" w:lineRule="auto"/>
        <w:ind w:left="-10" w:right="-10" w:firstLine="0"/>
        <w:jc w:val="both"/>
        <w:rPr>
          <w:rFonts w:ascii="Arial" w:cs="Arial" w:eastAsia="Arial" w:hAnsi="Arial"/>
          <w:color w:val="000000"/>
        </w:rPr>
      </w:pPr>
      <w:r w:rsidDel="00000000" w:rsidR="00000000" w:rsidRPr="00000000">
        <w:rPr>
          <w:rtl w:val="0"/>
        </w:rPr>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810"/>
        <w:gridCol w:w="945"/>
        <w:gridCol w:w="7185"/>
        <w:tblGridChange w:id="0">
          <w:tblGrid>
            <w:gridCol w:w="675"/>
            <w:gridCol w:w="810"/>
            <w:gridCol w:w="945"/>
            <w:gridCol w:w="718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8">
            <w:pPr>
              <w:widowControl w:val="0"/>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9">
            <w:pPr>
              <w:widowControl w:val="0"/>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Und. de Med.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A">
            <w:pPr>
              <w:widowControl w:val="0"/>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Quant.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B">
            <w:pPr>
              <w:widowControl w:val="0"/>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Descrição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C">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D">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E">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widowControl w:val="0"/>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Acessório Para Radiologia. Tipo: Colgadura. Material: Aço Inoxidável. Características Adicionais: Individual.</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0">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1">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Caixa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2">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widowControl w:val="0"/>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Posicionador de filme Para Radiologia. Tipo: Posicionador Filme. Componentes: Conjunto Completo. Características Adicionais: Até 4 Unidades. Esterilidade: Autoclavável. Tamanho: Adulto.</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4">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5">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6">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widowControl w:val="0"/>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Caixa para esterilização. Aplicação: P/ Esterilização De Limas Endodônticas. Material: Aço Inoxidável. Apresentação*: Placa De Alumínio Cerca De 20x10x05cm 72 Furos. Tipo Uso 1: Esterilizável.</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8">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9">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A">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widowControl w:val="0"/>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Alavanca Odontológica. Material: Aço Inoxidável. Tipo: Seldin. Características Adicionais: Direita. Referência: Nº 1. Esterilidade: Autoclavável,</w:t>
            </w:r>
          </w:p>
        </w:tc>
      </w:tr>
      <w:tr>
        <w:trPr>
          <w:cantSplit w:val="0"/>
          <w:trHeight w:val="805.957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C">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D">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3E">
            <w:pPr>
              <w:widowControl w:val="0"/>
              <w:spacing w:after="0"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widowControl w:val="0"/>
              <w:spacing w:after="0" w:line="240"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Alavanca Odontológica. Material: Aço Inoxidável. Tipo: Seldin. Características Adicionais: Direita. Tamanho: Infantil. Referência: Nº 1. Esterilidade: Autoclavável.</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7. Estimativa de Valor da Contratação</w:t>
      </w:r>
      <w:r w:rsidDel="00000000" w:rsidR="00000000" w:rsidRPr="00000000">
        <w:rPr>
          <w:rtl w:val="0"/>
        </w:rPr>
      </w:r>
    </w:p>
    <w:p w:rsidR="00000000" w:rsidDel="00000000" w:rsidP="00000000" w:rsidRDefault="00000000" w:rsidRPr="00000000" w14:paraId="00000042">
      <w:pPr>
        <w:spacing w:after="0" w:line="276" w:lineRule="auto"/>
        <w:ind w:left="5" w:right="-1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7.1. A estimativa do valor total da contratação  referente </w:t>
      </w:r>
      <w:r w:rsidDel="00000000" w:rsidR="00000000" w:rsidRPr="00000000">
        <w:rPr>
          <w:rFonts w:ascii="Arial" w:cs="Arial" w:eastAsia="Arial" w:hAnsi="Arial"/>
          <w:color w:val="000000"/>
          <w:shd w:fill="fff2cc" w:val="clear"/>
          <w:rtl w:val="0"/>
        </w:rPr>
        <w:t xml:space="preserve">aos insumos</w:t>
      </w:r>
      <w:r w:rsidDel="00000000" w:rsidR="00000000" w:rsidRPr="00000000">
        <w:rPr>
          <w:rFonts w:ascii="Arial" w:cs="Arial" w:eastAsia="Arial" w:hAnsi="Arial"/>
          <w:color w:val="000000"/>
          <w:rtl w:val="0"/>
        </w:rPr>
        <w:t xml:space="preserve"> foi realizada mediante pesquisa realizada na </w:t>
      </w:r>
      <w:r w:rsidDel="00000000" w:rsidR="00000000" w:rsidRPr="00000000">
        <w:rPr>
          <w:rFonts w:ascii="Arial" w:cs="Arial" w:eastAsia="Arial" w:hAnsi="Arial"/>
          <w:color w:val="000000"/>
          <w:shd w:fill="fff2cc" w:val="clear"/>
          <w:rtl w:val="0"/>
        </w:rPr>
        <w:t xml:space="preserve">empresa GABRYELLE COSTA ESTANISLAU PEREIRA 10909403430, localizada no município de Arapiraca - AL, cujo valor total estipulado é R$ 1.897.870,10 (um milhão, oitocentos e noventa e sete mil,oitocentos e setenta reais e dez  centavos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43">
      <w:pPr>
        <w:spacing w:after="0" w:line="276" w:lineRule="auto"/>
        <w:ind w:left="0" w:right="-1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7.2. Todos os documentos que comprovam os valores informados como base para a estimativa da contratação estão nos autos deste processo.</w:t>
      </w:r>
    </w:p>
    <w:p w:rsidR="00000000" w:rsidDel="00000000" w:rsidP="00000000" w:rsidRDefault="00000000" w:rsidRPr="00000000" w14:paraId="00000044">
      <w:pPr>
        <w:spacing w:after="0" w:before="0" w:line="276" w:lineRule="auto"/>
        <w:ind w:left="0" w:right="-1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8. Justificativa para o Parcelamento ou não da Solução</w:t>
      </w:r>
      <w:r w:rsidDel="00000000" w:rsidR="00000000" w:rsidRPr="00000000">
        <w:rPr>
          <w:rtl w:val="0"/>
        </w:rPr>
      </w:r>
    </w:p>
    <w:p w:rsidR="00000000" w:rsidDel="00000000" w:rsidP="00000000" w:rsidRDefault="00000000" w:rsidRPr="00000000" w14:paraId="00000046">
      <w:pPr>
        <w:spacing w:after="0" w:before="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b w:val="0"/>
          <w:bCs w:val="0"/>
          <w:color w:val="000000"/>
          <w:shd w:fill="auto" w:val="clear"/>
          <w:rtl w:val="0"/>
        </w:rPr>
        <w:t xml:space="preserve">8.1. </w:t>
      </w:r>
      <w:r w:rsidDel="00000000" w:rsidR="00000000" w:rsidRPr="00000000">
        <w:rPr>
          <w:rFonts w:ascii="Arial" w:cs="Arial" w:eastAsia="Arial" w:hAnsi="Arial"/>
          <w:shd w:fill="fff2cc" w:val="clear"/>
          <w:rtl w:val="0"/>
        </w:rPr>
        <w:t xml:space="preserve">A presente contratação se dará de forma parcelada. O parcelamento traz benefícios significativos à execução da solução como um todo ao permitir maior flexibilidade na aquisição e distribuição dos produtos necessários.</w:t>
      </w:r>
      <w:r w:rsidDel="00000000" w:rsidR="00000000" w:rsidRPr="00000000">
        <w:rPr>
          <w:rtl w:val="0"/>
        </w:rPr>
      </w:r>
    </w:p>
    <w:p w:rsidR="00000000" w:rsidDel="00000000" w:rsidP="00000000" w:rsidRDefault="00000000" w:rsidRPr="00000000" w14:paraId="00000047">
      <w:pPr>
        <w:spacing w:after="0" w:before="0" w:line="276" w:lineRule="auto"/>
        <w:ind w:left="5" w:right="-10" w:hanging="15"/>
        <w:jc w:val="both"/>
        <w:rPr>
          <w:rFonts w:ascii="Arial" w:cs="Arial" w:eastAsia="Arial" w:hAnsi="Arial"/>
          <w:b w:val="0"/>
          <w:bCs w:val="0"/>
          <w:color w:val="000000"/>
        </w:rPr>
      </w:pPr>
      <w:r w:rsidDel="00000000" w:rsidR="00000000" w:rsidRPr="00000000">
        <w:rPr>
          <w:rtl w:val="0"/>
        </w:rPr>
      </w:r>
    </w:p>
    <w:p w:rsidR="00000000" w:rsidDel="00000000" w:rsidP="00000000" w:rsidRDefault="00000000" w:rsidRPr="00000000" w14:paraId="00000048">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9. Contratações Correlatas e/ou Interdependente</w:t>
      </w:r>
      <w:r w:rsidDel="00000000" w:rsidR="00000000" w:rsidRPr="00000000">
        <w:rPr>
          <w:rtl w:val="0"/>
        </w:rPr>
      </w:r>
    </w:p>
    <w:p w:rsidR="00000000" w:rsidDel="00000000" w:rsidP="00000000" w:rsidRDefault="00000000" w:rsidRPr="00000000" w14:paraId="00000049">
      <w:pPr>
        <w:spacing w:after="0" w:before="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b w:val="0"/>
          <w:bCs w:val="0"/>
          <w:color w:val="000000"/>
          <w:shd w:fill="auto" w:val="clear"/>
          <w:rtl w:val="0"/>
        </w:rPr>
        <w:t xml:space="preserve">9.1. </w:t>
      </w:r>
      <w:r w:rsidDel="00000000" w:rsidR="00000000" w:rsidRPr="00000000">
        <w:rPr>
          <w:rFonts w:ascii="Arial" w:cs="Arial" w:eastAsia="Arial" w:hAnsi="Arial"/>
          <w:color w:val="000000"/>
          <w:shd w:fill="fff2cc" w:val="clear"/>
          <w:rtl w:val="0"/>
        </w:rPr>
        <w:t xml:space="preserve">Não se aplica.</w:t>
      </w:r>
    </w:p>
    <w:p w:rsidR="00000000" w:rsidDel="00000000" w:rsidP="00000000" w:rsidRDefault="00000000" w:rsidRPr="00000000" w14:paraId="0000004A">
      <w:pPr>
        <w:spacing w:after="0" w:before="0" w:line="276" w:lineRule="auto"/>
        <w:ind w:left="0" w:right="-10" w:firstLine="0"/>
        <w:jc w:val="both"/>
        <w:rPr>
          <w:rFonts w:ascii="Arial" w:cs="Arial" w:eastAsia="Arial" w:hAnsi="Arial"/>
          <w:b w:val="0"/>
          <w:bCs w:val="0"/>
          <w:color w:val="000000"/>
        </w:rPr>
      </w:pPr>
      <w:r w:rsidDel="00000000" w:rsidR="00000000" w:rsidRPr="00000000">
        <w:rPr>
          <w:rtl w:val="0"/>
        </w:rPr>
      </w:r>
    </w:p>
    <w:p w:rsidR="00000000" w:rsidDel="00000000" w:rsidP="00000000" w:rsidRDefault="00000000" w:rsidRPr="00000000" w14:paraId="0000004B">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10. Alinhamento com o Plano de Contratações Anual – PCA</w:t>
      </w:r>
      <w:r w:rsidDel="00000000" w:rsidR="00000000" w:rsidRPr="00000000">
        <w:rPr>
          <w:rtl w:val="0"/>
        </w:rPr>
      </w:r>
    </w:p>
    <w:p w:rsidR="00000000" w:rsidDel="00000000" w:rsidP="00000000" w:rsidRDefault="00000000" w:rsidRPr="00000000" w14:paraId="0000004C">
      <w:pPr>
        <w:spacing w:after="0" w:before="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b w:val="0"/>
          <w:bCs w:val="0"/>
          <w:color w:val="000000"/>
          <w:shd w:fill="auto" w:val="clear"/>
          <w:rtl w:val="0"/>
        </w:rPr>
        <w:t xml:space="preserve">10.1. </w:t>
      </w:r>
      <w:r w:rsidDel="00000000" w:rsidR="00000000" w:rsidRPr="00000000">
        <w:rPr>
          <w:rFonts w:ascii="Arial" w:cs="Arial" w:eastAsia="Arial" w:hAnsi="Arial"/>
          <w:color w:val="000000"/>
          <w:shd w:fill="fff2cc" w:val="clear"/>
          <w:rtl w:val="0"/>
        </w:rPr>
        <w:t xml:space="preserve">De acordo com o Decreto Municipal n° 2901/2024, a elaboração do Plano de Contratações Anual é obrigatória para 2025. Considerando que a execução do PCA ocorre no exercício subsequente à sua elaboração, não há, portanto, neste exercício, instrumento competente para alinhamento.</w:t>
      </w:r>
    </w:p>
    <w:p w:rsidR="00000000" w:rsidDel="00000000" w:rsidP="00000000" w:rsidRDefault="00000000" w:rsidRPr="00000000" w14:paraId="0000004D">
      <w:pPr>
        <w:spacing w:after="0" w:before="0" w:line="276" w:lineRule="auto"/>
        <w:ind w:left="0" w:right="-10" w:firstLine="0"/>
        <w:jc w:val="both"/>
        <w:rPr>
          <w:rFonts w:ascii="Arial" w:cs="Arial" w:eastAsia="Arial" w:hAnsi="Arial"/>
          <w:b w:val="0"/>
          <w:bCs w:val="0"/>
          <w:color w:val="000000"/>
        </w:rPr>
      </w:pPr>
      <w:r w:rsidDel="00000000" w:rsidR="00000000" w:rsidRPr="00000000">
        <w:rPr>
          <w:rtl w:val="0"/>
        </w:rPr>
      </w:r>
    </w:p>
    <w:p w:rsidR="00000000" w:rsidDel="00000000" w:rsidP="00000000" w:rsidRDefault="00000000" w:rsidRPr="00000000" w14:paraId="0000004E">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11. Demonstrativo dos Resultados Pretendidos</w:t>
      </w:r>
      <w:r w:rsidDel="00000000" w:rsidR="00000000" w:rsidRPr="00000000">
        <w:rPr>
          <w:rtl w:val="0"/>
        </w:rPr>
      </w:r>
    </w:p>
    <w:p w:rsidR="00000000" w:rsidDel="00000000" w:rsidP="00000000" w:rsidRDefault="00000000" w:rsidRPr="00000000" w14:paraId="0000004F">
      <w:pPr>
        <w:spacing w:after="0" w:before="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b w:val="0"/>
          <w:bCs w:val="0"/>
          <w:color w:val="000000"/>
          <w:shd w:fill="auto" w:val="clear"/>
          <w:rtl w:val="0"/>
        </w:rPr>
        <w:t xml:space="preserve">11.1. </w:t>
      </w:r>
      <w:r w:rsidDel="00000000" w:rsidR="00000000" w:rsidRPr="00000000">
        <w:rPr>
          <w:rFonts w:ascii="Arial" w:cs="Arial" w:eastAsia="Arial" w:hAnsi="Arial"/>
          <w:color w:val="000000"/>
          <w:shd w:fill="fff2cc" w:val="clear"/>
          <w:rtl w:val="0"/>
        </w:rPr>
        <w:t xml:space="preserve">Com a aquisição dos equipamentos odontológicos, espera-se elevar significativamente a qualidade e a resolutividade dos serviços de saúde bucal oferecidos à população de Arapiraca, garantindo eficiência, segurança e atendimento humanizado, em conformidade com as diretrizes do SUS e com a política municipal de saúde.</w:t>
      </w:r>
    </w:p>
    <w:p w:rsidR="00000000" w:rsidDel="00000000" w:rsidP="00000000" w:rsidRDefault="00000000" w:rsidRPr="00000000" w14:paraId="00000050">
      <w:pPr>
        <w:spacing w:after="0" w:before="0" w:line="276" w:lineRule="auto"/>
        <w:ind w:left="5" w:right="-10" w:hanging="15"/>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1">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12. Providências prévias ao Contrato</w:t>
      </w:r>
      <w:r w:rsidDel="00000000" w:rsidR="00000000" w:rsidRPr="00000000">
        <w:rPr>
          <w:rtl w:val="0"/>
        </w:rPr>
      </w:r>
    </w:p>
    <w:p w:rsidR="00000000" w:rsidDel="00000000" w:rsidP="00000000" w:rsidRDefault="00000000" w:rsidRPr="00000000" w14:paraId="00000052">
      <w:pPr>
        <w:spacing w:after="0" w:before="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b w:val="0"/>
          <w:bCs w:val="0"/>
          <w:color w:val="000000"/>
          <w:shd w:fill="auto" w:val="clear"/>
          <w:rtl w:val="0"/>
        </w:rPr>
        <w:t xml:space="preserve">12.1. </w:t>
      </w:r>
      <w:r w:rsidDel="00000000" w:rsidR="00000000" w:rsidRPr="00000000">
        <w:rPr>
          <w:rFonts w:ascii="Arial" w:cs="Arial" w:eastAsia="Arial" w:hAnsi="Arial"/>
          <w:b w:val="0"/>
          <w:bCs w:val="0"/>
          <w:color w:val="000000"/>
          <w:shd w:fill="fff2cc" w:val="clear"/>
          <w:rtl w:val="0"/>
        </w:rPr>
        <w:t xml:space="preserve">Não se aplica. Não se vislumbra </w:t>
      </w:r>
      <w:r w:rsidDel="00000000" w:rsidR="00000000" w:rsidRPr="00000000">
        <w:rPr>
          <w:rFonts w:ascii="Arial" w:cs="Arial" w:eastAsia="Arial" w:hAnsi="Arial"/>
          <w:color w:val="000000"/>
          <w:shd w:fill="fff2cc" w:val="clear"/>
          <w:rtl w:val="0"/>
        </w:rPr>
        <w:t xml:space="preserve">necessidade</w:t>
      </w:r>
      <w:r w:rsidDel="00000000" w:rsidR="00000000" w:rsidRPr="00000000">
        <w:rPr>
          <w:rFonts w:ascii="Arial" w:cs="Arial" w:eastAsia="Arial" w:hAnsi="Arial"/>
          <w:b w:val="0"/>
          <w:bCs w:val="0"/>
          <w:color w:val="000000"/>
          <w:shd w:fill="fff2cc" w:val="clear"/>
          <w:rtl w:val="0"/>
        </w:rPr>
        <w:t xml:space="preserve"> de tomada de providências de adequações para a solução contratada.</w:t>
      </w:r>
      <w:r w:rsidDel="00000000" w:rsidR="00000000" w:rsidRPr="00000000">
        <w:rPr>
          <w:rtl w:val="0"/>
        </w:rPr>
      </w:r>
    </w:p>
    <w:p w:rsidR="00000000" w:rsidDel="00000000" w:rsidP="00000000" w:rsidRDefault="00000000" w:rsidRPr="00000000" w14:paraId="00000053">
      <w:pPr>
        <w:spacing w:after="0" w:before="0" w:line="276" w:lineRule="auto"/>
        <w:ind w:left="5" w:right="-10" w:hanging="15"/>
        <w:jc w:val="both"/>
        <w:rPr>
          <w:rFonts w:ascii="Arial" w:cs="Arial" w:eastAsia="Arial" w:hAnsi="Arial"/>
          <w:b w:val="0"/>
          <w:bCs w:val="0"/>
          <w:color w:val="000000"/>
        </w:rPr>
      </w:pPr>
      <w:r w:rsidDel="00000000" w:rsidR="00000000" w:rsidRPr="00000000">
        <w:rPr>
          <w:rtl w:val="0"/>
        </w:rPr>
      </w:r>
    </w:p>
    <w:p w:rsidR="00000000" w:rsidDel="00000000" w:rsidP="00000000" w:rsidRDefault="00000000" w:rsidRPr="00000000" w14:paraId="00000054">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13. Impactos Ambientais</w:t>
      </w:r>
      <w:r w:rsidDel="00000000" w:rsidR="00000000" w:rsidRPr="00000000">
        <w:rPr>
          <w:rtl w:val="0"/>
        </w:rPr>
      </w:r>
    </w:p>
    <w:p w:rsidR="00000000" w:rsidDel="00000000" w:rsidP="00000000" w:rsidRDefault="00000000" w:rsidRPr="00000000" w14:paraId="00000055">
      <w:pPr>
        <w:spacing w:after="0" w:before="0" w:line="276" w:lineRule="auto"/>
        <w:ind w:left="5" w:right="-10" w:hanging="15"/>
        <w:jc w:val="both"/>
        <w:rPr>
          <w:rFonts w:ascii="Arial" w:cs="Arial" w:eastAsia="Arial" w:hAnsi="Arial"/>
          <w:color w:val="000000"/>
          <w:shd w:fill="fff2cc" w:val="clear"/>
        </w:rPr>
      </w:pPr>
      <w:r w:rsidDel="00000000" w:rsidR="00000000" w:rsidRPr="00000000">
        <w:rPr>
          <w:rFonts w:ascii="Arial" w:cs="Arial" w:eastAsia="Arial" w:hAnsi="Arial"/>
          <w:b w:val="0"/>
          <w:bCs w:val="0"/>
          <w:color w:val="000000"/>
          <w:shd w:fill="auto" w:val="clear"/>
          <w:rtl w:val="0"/>
        </w:rPr>
        <w:t xml:space="preserve">13. </w:t>
      </w:r>
      <w:r w:rsidDel="00000000" w:rsidR="00000000" w:rsidRPr="00000000">
        <w:rPr>
          <w:rFonts w:ascii="Arial" w:cs="Arial" w:eastAsia="Arial" w:hAnsi="Arial"/>
          <w:color w:val="000000"/>
          <w:shd w:fill="fff2cc" w:val="clear"/>
          <w:rtl w:val="0"/>
        </w:rPr>
        <w:t xml:space="preserve">A aquisição de equipamentos odontológicos para a Secretaria Municipal de Saúde de Arapiraca deverá observar critérios que minimizem impactos ambientais, em consonância com as diretrizes de sustentabilidade previstas na Lei Federal nº 14.133/2021, no Decreto nº 10.936/2022 (Política Nacional de Resíduos Sólidos) e demais normas aplicáveis.</w:t>
      </w:r>
    </w:p>
    <w:p w:rsidR="00000000" w:rsidDel="00000000" w:rsidP="00000000" w:rsidRDefault="00000000" w:rsidRPr="00000000" w14:paraId="00000056">
      <w:pPr>
        <w:spacing w:after="240" w:before="240" w:line="276" w:lineRule="auto"/>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O processo licitatório buscará priorizar fornecedores e produtos que:</w:t>
      </w:r>
    </w:p>
    <w:p w:rsidR="00000000" w:rsidDel="00000000" w:rsidP="00000000" w:rsidRDefault="00000000" w:rsidRPr="00000000" w14:paraId="00000057">
      <w:pPr>
        <w:numPr>
          <w:ilvl w:val="0"/>
          <w:numId w:val="1"/>
        </w:numPr>
        <w:spacing w:after="0" w:before="240" w:line="276" w:lineRule="auto"/>
        <w:ind w:left="720" w:hanging="36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Possuam certificações ambientais ou atendam a normas técnicas que garantam menor impacto ambiental no processo produtivo;</w:t>
        <w:br w:type="textWrapping"/>
      </w:r>
    </w:p>
    <w:p w:rsidR="00000000" w:rsidDel="00000000" w:rsidP="00000000" w:rsidRDefault="00000000" w:rsidRPr="00000000" w14:paraId="00000058">
      <w:pPr>
        <w:numPr>
          <w:ilvl w:val="0"/>
          <w:numId w:val="1"/>
        </w:numPr>
        <w:spacing w:after="0" w:before="0" w:line="276" w:lineRule="auto"/>
        <w:ind w:left="720" w:hanging="36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Utilizem materiais recicláveis ou de menor impacto ambiental em sua fabricação, embalagem e transporte;</w:t>
        <w:br w:type="textWrapping"/>
      </w:r>
    </w:p>
    <w:p w:rsidR="00000000" w:rsidDel="00000000" w:rsidP="00000000" w:rsidRDefault="00000000" w:rsidRPr="00000000" w14:paraId="00000059">
      <w:pPr>
        <w:numPr>
          <w:ilvl w:val="0"/>
          <w:numId w:val="1"/>
        </w:numPr>
        <w:spacing w:after="0" w:before="0" w:line="276" w:lineRule="auto"/>
        <w:ind w:left="720" w:hanging="36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Ofereçam equipamentos com maior eficiência energética, reduzindo o consumo de energia elétrica durante a operação;</w:t>
        <w:br w:type="textWrapping"/>
      </w:r>
    </w:p>
    <w:p w:rsidR="00000000" w:rsidDel="00000000" w:rsidP="00000000" w:rsidRDefault="00000000" w:rsidRPr="00000000" w14:paraId="0000005A">
      <w:pPr>
        <w:numPr>
          <w:ilvl w:val="0"/>
          <w:numId w:val="1"/>
        </w:numPr>
        <w:spacing w:after="0" w:before="0" w:line="276" w:lineRule="auto"/>
        <w:ind w:left="720" w:hanging="36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Disponham de plano de logística reversa para destinação adequada de peças, baterias, componentes eletrônicos e embalagens, conforme previsto na legislação ambiental;</w:t>
        <w:br w:type="textWrapping"/>
      </w:r>
    </w:p>
    <w:p w:rsidR="00000000" w:rsidDel="00000000" w:rsidP="00000000" w:rsidRDefault="00000000" w:rsidRPr="00000000" w14:paraId="0000005B">
      <w:pPr>
        <w:numPr>
          <w:ilvl w:val="0"/>
          <w:numId w:val="1"/>
        </w:numPr>
        <w:spacing w:after="240" w:before="0" w:line="276" w:lineRule="auto"/>
        <w:ind w:left="720" w:hanging="36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Apresentem durabilidade e facilidade de manutenção, reduzindo a necessidade de substituições frequentes e, consequentemente, a geração de resíduos.</w:t>
      </w:r>
    </w:p>
    <w:p w:rsidR="00000000" w:rsidDel="00000000" w:rsidP="00000000" w:rsidRDefault="00000000" w:rsidRPr="00000000" w14:paraId="0000005C">
      <w:pPr>
        <w:spacing w:after="240" w:before="240" w:line="276" w:lineRule="auto"/>
        <w:ind w:left="0" w:firstLine="0"/>
        <w:jc w:val="both"/>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A adoção desses critérios contribuirá para reduzir a emissão de poluentes, otimizar o uso de recursos naturais, prolongar a vida útil dos equipamentos e promover a destinação final ambientalmente adequada dos resíduos gerados, alinhando as ações da Secretaria Municipal de Saúde às políticas públicas de sustentabilidade e preservação ambiental.</w:t>
      </w:r>
    </w:p>
    <w:p w:rsidR="00000000" w:rsidDel="00000000" w:rsidP="00000000" w:rsidRDefault="00000000" w:rsidRPr="00000000" w14:paraId="0000005D">
      <w:pPr>
        <w:spacing w:after="0" w:before="0" w:line="276" w:lineRule="auto"/>
        <w:ind w:left="0" w:right="-10" w:firstLine="0"/>
        <w:jc w:val="both"/>
        <w:rPr>
          <w:rFonts w:ascii="Arial" w:cs="Arial" w:eastAsia="Arial" w:hAnsi="Arial"/>
          <w:b w:val="0"/>
          <w:bCs w:val="0"/>
          <w:color w:val="000000"/>
        </w:rPr>
      </w:pPr>
      <w:r w:rsidDel="00000000" w:rsidR="00000000" w:rsidRPr="00000000">
        <w:rPr>
          <w:rtl w:val="0"/>
        </w:rPr>
      </w:r>
    </w:p>
    <w:p w:rsidR="00000000" w:rsidDel="00000000" w:rsidP="00000000" w:rsidRDefault="00000000" w:rsidRPr="00000000" w14:paraId="0000005E">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14. Manifestação conclusiva sobre a adequação da contratação para o atendimento da necessidade a que se destina</w:t>
      </w:r>
      <w:r w:rsidDel="00000000" w:rsidR="00000000" w:rsidRPr="00000000">
        <w:rPr>
          <w:rtl w:val="0"/>
        </w:rPr>
      </w:r>
    </w:p>
    <w:p w:rsidR="00000000" w:rsidDel="00000000" w:rsidP="00000000" w:rsidRDefault="00000000" w:rsidRPr="00000000" w14:paraId="0000005F">
      <w:pPr>
        <w:spacing w:after="0" w:before="0" w:line="276" w:lineRule="auto"/>
        <w:ind w:left="5" w:right="-10" w:hanging="15"/>
        <w:jc w:val="both"/>
        <w:rPr>
          <w:rFonts w:ascii="Arial" w:cs="Arial" w:eastAsia="Arial" w:hAnsi="Arial"/>
          <w:color w:val="000000"/>
        </w:rPr>
      </w:pPr>
      <w:r w:rsidDel="00000000" w:rsidR="00000000" w:rsidRPr="00000000">
        <w:rPr>
          <w:rFonts w:ascii="Arial" w:cs="Arial" w:eastAsia="Arial" w:hAnsi="Arial"/>
          <w:b w:val="0"/>
          <w:bCs w:val="0"/>
          <w:color w:val="000000"/>
          <w:shd w:fill="auto" w:val="clear"/>
          <w:rtl w:val="0"/>
        </w:rPr>
        <w:t xml:space="preserve">14.1. </w:t>
      </w:r>
      <w:r w:rsidDel="00000000" w:rsidR="00000000" w:rsidRPr="00000000">
        <w:rPr>
          <w:rFonts w:ascii="Arial" w:cs="Arial" w:eastAsia="Arial" w:hAnsi="Arial"/>
          <w:color w:val="000000"/>
          <w:rtl w:val="0"/>
        </w:rPr>
        <w:t xml:space="preserve">Este Estudo Técnico Preliminar evidencia que a contratação de empresas especializadas </w:t>
      </w:r>
      <w:r w:rsidDel="00000000" w:rsidR="00000000" w:rsidRPr="00000000">
        <w:rPr>
          <w:rFonts w:ascii="Arial" w:cs="Arial" w:eastAsia="Arial" w:hAnsi="Arial"/>
          <w:color w:val="000000"/>
          <w:shd w:fill="fff2cc" w:val="clear"/>
          <w:rtl w:val="0"/>
        </w:rPr>
        <w:t xml:space="preserve">no fornecimento de equipamentos odontológicos, para atender a demanda na Secretaria Municipal de Saúde</w:t>
      </w:r>
      <w:r w:rsidDel="00000000" w:rsidR="00000000" w:rsidRPr="00000000">
        <w:rPr>
          <w:rFonts w:ascii="Arial" w:cs="Arial" w:eastAsia="Arial" w:hAnsi="Arial"/>
          <w:color w:val="000000"/>
          <w:rtl w:val="0"/>
        </w:rPr>
        <w:t xml:space="preserve">, mostra-se necessária e viável tecnicamente.</w:t>
      </w:r>
    </w:p>
    <w:p w:rsidR="00000000" w:rsidDel="00000000" w:rsidP="00000000" w:rsidRDefault="00000000" w:rsidRPr="00000000" w14:paraId="00000060">
      <w:pPr>
        <w:spacing w:after="0" w:before="0" w:line="276" w:lineRule="auto"/>
        <w:ind w:left="5" w:right="-10" w:hanging="15"/>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spacing w:after="0" w:before="0" w:line="240" w:lineRule="auto"/>
        <w:jc w:val="center"/>
        <w:rPr>
          <w:rFonts w:ascii="Arial" w:cs="Arial" w:eastAsia="Arial" w:hAnsi="Arial"/>
          <w:color w:val="000000"/>
        </w:rPr>
      </w:pPr>
      <w:r w:rsidDel="00000000" w:rsidR="00000000" w:rsidRPr="00000000">
        <w:rPr>
          <w:rFonts w:ascii="Arial" w:cs="Arial" w:eastAsia="Arial" w:hAnsi="Arial"/>
          <w:b w:val="0"/>
          <w:bCs w:val="0"/>
          <w:i w:val="0"/>
          <w:iCs w:val="0"/>
          <w:color w:val="000000"/>
          <w:u w:val="none"/>
          <w:shd w:fill="auto" w:val="clear"/>
          <w:rtl w:val="0"/>
        </w:rPr>
        <w:t xml:space="preserve">Arapiraca</w:t>
      </w:r>
      <w:r w:rsidDel="00000000" w:rsidR="00000000" w:rsidRPr="00000000">
        <w:rPr>
          <w:rFonts w:ascii="Arial" w:cs="Arial" w:eastAsia="Arial" w:hAnsi="Arial"/>
          <w:b w:val="0"/>
          <w:bCs w:val="0"/>
          <w:i w:val="0"/>
          <w:iCs w:val="0"/>
          <w:color w:val="000000"/>
          <w:u w:val="none"/>
          <w:rtl w:val="0"/>
        </w:rPr>
        <w:t xml:space="preserve">,</w:t>
      </w:r>
      <w:r w:rsidDel="00000000" w:rsidR="00000000" w:rsidRPr="00000000">
        <w:rPr>
          <w:rFonts w:ascii="Arial" w:cs="Arial" w:eastAsia="Arial" w:hAnsi="Arial"/>
          <w:b w:val="0"/>
          <w:bCs w:val="0"/>
          <w:i w:val="0"/>
          <w:iCs w:val="0"/>
          <w:color w:val="000000"/>
          <w:u w:val="none"/>
          <w:shd w:fill="fff2cc" w:val="clear"/>
          <w:rtl w:val="0"/>
        </w:rPr>
        <w:t xml:space="preserve"> </w:t>
      </w:r>
      <w:r w:rsidDel="00000000" w:rsidR="00000000" w:rsidRPr="00000000">
        <w:rPr>
          <w:rFonts w:ascii="Arial" w:cs="Arial" w:eastAsia="Arial" w:hAnsi="Arial"/>
          <w:color w:val="000000"/>
          <w:shd w:fill="fff2cc" w:val="clear"/>
          <w:rtl w:val="0"/>
        </w:rPr>
        <w:t xml:space="preserve">30</w:t>
      </w:r>
      <w:r w:rsidDel="00000000" w:rsidR="00000000" w:rsidRPr="00000000">
        <w:rPr>
          <w:rFonts w:ascii="Arial" w:cs="Arial" w:eastAsia="Arial" w:hAnsi="Arial"/>
          <w:b w:val="0"/>
          <w:bCs w:val="0"/>
          <w:i w:val="0"/>
          <w:iCs w:val="0"/>
          <w:color w:val="000000"/>
          <w:u w:val="none"/>
          <w:shd w:fill="fff2cc" w:val="clear"/>
          <w:rtl w:val="0"/>
        </w:rPr>
        <w:t xml:space="preserve"> de </w:t>
      </w:r>
      <w:r w:rsidDel="00000000" w:rsidR="00000000" w:rsidRPr="00000000">
        <w:rPr>
          <w:rFonts w:ascii="Arial" w:cs="Arial" w:eastAsia="Arial" w:hAnsi="Arial"/>
          <w:color w:val="000000"/>
          <w:shd w:fill="fff2cc" w:val="clear"/>
          <w:rtl w:val="0"/>
        </w:rPr>
        <w:t xml:space="preserve">agosto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0"/>
          <w:bCs w:val="0"/>
          <w:i w:val="0"/>
          <w:iCs w:val="0"/>
          <w:color w:val="000000"/>
          <w:u w:val="none"/>
          <w:shd w:fill="auto" w:val="clear"/>
          <w:rtl w:val="0"/>
        </w:rPr>
        <w:t xml:space="preserve">de 202</w:t>
      </w:r>
      <w:r w:rsidDel="00000000" w:rsidR="00000000" w:rsidRPr="00000000">
        <w:rPr>
          <w:rFonts w:ascii="Arial" w:cs="Arial" w:eastAsia="Arial" w:hAnsi="Arial"/>
          <w:color w:val="000000"/>
          <w:rtl w:val="0"/>
        </w:rPr>
        <w:t xml:space="preserve">6</w:t>
      </w:r>
    </w:p>
    <w:p w:rsidR="00000000" w:rsidDel="00000000" w:rsidP="00000000" w:rsidRDefault="00000000" w:rsidRPr="00000000" w14:paraId="00000062">
      <w:pPr>
        <w:spacing w:after="0" w:before="0" w:line="24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spacing w:after="0" w:before="0" w:line="24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spacing w:after="0" w:before="0" w:line="24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widowControl w:val="0"/>
        <w:spacing w:after="0" w:line="276" w:lineRule="auto"/>
        <w:ind w:left="-10" w:right="-10" w:firstLine="0"/>
        <w:jc w:val="center"/>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Fernanda Fonseca Mafra</w:t>
        <w:br w:type="textWrapping"/>
        <w:t xml:space="preserve">Coordenadora Geral de Saúde Bucal</w:t>
      </w:r>
      <w:r w:rsidDel="00000000" w:rsidR="00000000" w:rsidRPr="00000000">
        <w:rPr>
          <w:rFonts w:ascii="Arial" w:cs="Arial" w:eastAsia="Arial" w:hAnsi="Arial"/>
          <w:color w:val="000000"/>
          <w:rtl w:val="0"/>
        </w:rPr>
        <w:br w:type="textWrapping"/>
        <w:t xml:space="preserve">Secretaria Municipal de Saúde - SMS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bookmarkStart w:colFirst="0" w:colLast="0" w:name="_1fob9te" w:id="0"/>
      <w:bookmarkEnd w:id="0"/>
      <w:r w:rsidDel="00000000" w:rsidR="00000000" w:rsidRPr="00000000">
        <w:rPr>
          <w:rtl w:val="0"/>
        </w:rPr>
      </w:r>
    </w:p>
    <w:sectPr>
      <w:headerReference r:id="rId6" w:type="default"/>
      <w:footerReference r:id="rId7" w:type="default"/>
      <w:pgSz w:h="16838" w:w="11906" w:orient="portrait"/>
      <w:pgMar w:bottom="964" w:top="1701" w:left="1701" w:right="1021" w:header="426"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Página    </w:t>
    </w:r>
    <w:r w:rsidDel="00000000" w:rsidR="00000000" w:rsidRPr="00000000">
      <w:rPr>
        <w:rFonts w:ascii="Arial" w:cs="Arial" w:eastAsia="Arial" w:hAnsi="Arial"/>
        <w:i w:val="0"/>
        <w:iCs w:val="0"/>
        <w:smallCaps w:val="0"/>
        <w:strike w:val="0"/>
        <w:color w:val="00000a"/>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 de </w:t>
    </w:r>
    <w:r w:rsidDel="00000000" w:rsidR="00000000" w:rsidRPr="00000000">
      <w:rPr>
        <w:rFonts w:ascii="Arial" w:cs="Arial" w:eastAsia="Arial" w:hAnsi="Arial"/>
        <w:sz w:val="16"/>
        <w:szCs w:val="16"/>
        <w:rtl w:val="0"/>
      </w:rPr>
      <w:t xml:space="preserve">11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05195" cy="86995"/>
              <wp:effectExtent b="0" l="0" r="0" t="0"/>
              <wp:wrapNone/>
              <wp:docPr id="4" name=""/>
              <a:graphic>
                <a:graphicData uri="http://schemas.microsoft.com/office/word/2010/wordprocessingShape">
                  <wps:wsp>
                    <wps:cNvSpPr/>
                    <wps:cNvPr id="5" name="Shape 5"/>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6005195" cy="8699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05195" cy="86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719138</wp:posOffset>
              </wp:positionH>
              <wp:positionV relativeFrom="paragraph">
                <wp:posOffset>7938</wp:posOffset>
              </wp:positionV>
              <wp:extent cx="4215130" cy="560705"/>
              <wp:effectExtent b="0" l="0" r="0" t="0"/>
              <wp:wrapNone/>
              <wp:docPr id="5" name=""/>
              <a:graphic>
                <a:graphicData uri="http://schemas.microsoft.com/office/word/2010/wordprocessingShape">
                  <wps:wsp>
                    <wps:cNvSpPr/>
                    <wps:cNvPr id="6" name="Shape 6"/>
                    <wps:spPr>
                      <a:xfrm>
                        <a:off x="3262320" y="3523500"/>
                        <a:ext cx="4167360" cy="513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719138</wp:posOffset>
              </wp:positionH>
              <wp:positionV relativeFrom="paragraph">
                <wp:posOffset>7938</wp:posOffset>
              </wp:positionV>
              <wp:extent cx="4215130" cy="56070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215130" cy="560705"/>
                      </a:xfrm>
                      <a:prstGeom prst="rect"/>
                      <a:ln/>
                    </pic:spPr>
                  </pic:pic>
                </a:graphicData>
              </a:graphic>
            </wp:anchor>
          </w:drawing>
        </mc:Fallback>
      </mc:AlternateContent>
    </w:r>
    <w:r w:rsidDel="00000000" w:rsidR="00000000" w:rsidRPr="00000000">
      <mc:AlternateContent>
        <mc:Choice Requires="wpg">
          <w:drawing>
            <wp:anchor allowOverlap="1" behindDoc="0" distB="50165" distT="45085" distL="113665" distR="117475" hidden="0" layoutInCell="1" locked="0" relativeHeight="0" simplePos="0">
              <wp:simplePos x="0" y="0"/>
              <wp:positionH relativeFrom="column">
                <wp:posOffset>1493203</wp:posOffset>
              </wp:positionH>
              <wp:positionV relativeFrom="paragraph">
                <wp:posOffset>9997123</wp:posOffset>
              </wp:positionV>
              <wp:extent cx="4215130" cy="560705"/>
              <wp:effectExtent b="0" l="0" r="0" t="0"/>
              <wp:wrapSquare wrapText="bothSides" distB="50165" distT="45085" distL="113665" distR="117475"/>
              <wp:docPr id="1" name=""/>
              <a:graphic>
                <a:graphicData uri="http://schemas.microsoft.com/office/word/2010/wordprocessingShape">
                  <wps:wsp>
                    <wps:cNvSpPr/>
                    <wps:cNvPr id="2" name="Shape 2"/>
                    <wps:spPr>
                      <a:xfrm>
                        <a:off x="3262320" y="3523500"/>
                        <a:ext cx="4167360" cy="513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50165" distT="45085" distL="113665" distR="117475" hidden="0" layoutInCell="1" locked="0" relativeHeight="0" simplePos="0">
              <wp:simplePos x="0" y="0"/>
              <wp:positionH relativeFrom="column">
                <wp:posOffset>1493203</wp:posOffset>
              </wp:positionH>
              <wp:positionV relativeFrom="paragraph">
                <wp:posOffset>9997123</wp:posOffset>
              </wp:positionV>
              <wp:extent cx="4215130" cy="560705"/>
              <wp:effectExtent b="0" l="0" r="0" t="0"/>
              <wp:wrapSquare wrapText="bothSides" distB="50165" distT="45085" distL="113665" distR="117475"/>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215130" cy="5607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drawing>
        <wp:inline distB="0" distT="0" distL="0" distR="0">
          <wp:extent cx="1960880" cy="68453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2065338</wp:posOffset>
              </wp:positionH>
              <wp:positionV relativeFrom="paragraph">
                <wp:posOffset>249238</wp:posOffset>
              </wp:positionV>
              <wp:extent cx="3764915" cy="365760"/>
              <wp:effectExtent b="0" l="0" r="0" t="0"/>
              <wp:wrapNone/>
              <wp:docPr id="2" name=""/>
              <a:graphic>
                <a:graphicData uri="http://schemas.microsoft.com/office/word/2010/wordprocessingShape">
                  <wps:wsp>
                    <wps:cNvSpPr/>
                    <wps:cNvPr id="3" name="Shape 3"/>
                    <wps:spPr>
                      <a:xfrm>
                        <a:off x="3487320" y="3620880"/>
                        <a:ext cx="3717360" cy="31824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2065338</wp:posOffset>
              </wp:positionH>
              <wp:positionV relativeFrom="paragraph">
                <wp:posOffset>249238</wp:posOffset>
              </wp:positionV>
              <wp:extent cx="3764915" cy="36576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764915" cy="365760"/>
                      </a:xfrm>
                      <a:prstGeom prst="rect"/>
                      <a:ln/>
                    </pic:spPr>
                  </pic:pic>
                </a:graphicData>
              </a:graphic>
            </wp:anchor>
          </w:drawing>
        </mc:Fallback>
      </mc:AlternateConten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20638</wp:posOffset>
              </wp:positionV>
              <wp:extent cx="6005195" cy="86995"/>
              <wp:effectExtent b="0" l="0" r="0" t="0"/>
              <wp:wrapNone/>
              <wp:docPr id="3" name=""/>
              <a:graphic>
                <a:graphicData uri="http://schemas.microsoft.com/office/word/2010/wordprocessingShape">
                  <wps:wsp>
                    <wps:cNvSpPr/>
                    <wps:cNvPr id="4" name="Shape 4"/>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20638</wp:posOffset>
              </wp:positionV>
              <wp:extent cx="6005195" cy="86995"/>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005195" cy="8699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