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2cc" w:val="clear"/>
          <w:vertAlign w:val="baseline"/>
          <w:rtl w:val="0"/>
        </w:rPr>
        <w:t xml:space="preserve">SAS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Nº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fff2cc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f2cc" w:val="clear"/>
          <w:rtl w:val="0"/>
        </w:rPr>
        <w:t xml:space="preserve">0762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Arapiraca,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f2cc" w:val="clear"/>
          <w:rtl w:val="0"/>
        </w:rPr>
        <w:t xml:space="preserve">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fff2cc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f2cc" w:val="clear"/>
          <w:rtl w:val="0"/>
        </w:rPr>
        <w:t xml:space="preserve">setembro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de 202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À Senhora,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jc w:val="left"/>
        <w:rPr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rtl w:val="0"/>
        </w:rPr>
        <w:t xml:space="preserve">Rafaella Souza Albuquerque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Secretária Municipal de Saúde –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Assunto: Aquisição de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Equipamentos Odontológicos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Senhora Secretária,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left="5" w:right="-10" w:hanging="15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Considerando a necessidade de manter a qualidade e a continuidade dos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serviços odontológicos prestados à população de Arapiraca, por meio das Unidades Básicas de Saúde, Centros de Especialidades Odontológicas e demais serviços vinculados.</w:t>
      </w:r>
    </w:p>
    <w:p w:rsidR="00000000" w:rsidDel="00000000" w:rsidP="00000000" w:rsidRDefault="00000000" w:rsidRPr="00000000" w14:paraId="0000000D">
      <w:pPr>
        <w:spacing w:after="0" w:line="360" w:lineRule="auto"/>
        <w:ind w:left="5" w:right="-10" w:hanging="15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Considerando que, embora o município mantenha convênio com o Consórcio Intermunicipal do Sul de Alagoas – CONISUL, é recorrente que determinados itens resultem fracassados ou cancelados nos processos licitatórios, ou, quando disponíveis, apresentem qualidade inferior ao padrão técnico exigido pela Secretaria Municipal de Saúde.</w:t>
      </w:r>
    </w:p>
    <w:p w:rsidR="00000000" w:rsidDel="00000000" w:rsidP="00000000" w:rsidRDefault="00000000" w:rsidRPr="00000000" w14:paraId="0000000E">
      <w:pPr>
        <w:spacing w:after="0" w:line="360" w:lineRule="auto"/>
        <w:ind w:left="5" w:right="-10" w:hanging="15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Considerando a importância de garantir equipamentos modernos, seguros e compatíveis com as normas técnicas da Agência Nacional de Vigilância Sanitária (ANVISA) e do Conselho Federal de Odontologia (CFO), de forma a assegurar eficiência operacional, segurança para profissionais e pacientes e maior resolutividade no atendimento.</w:t>
      </w:r>
    </w:p>
    <w:p w:rsidR="00000000" w:rsidDel="00000000" w:rsidP="00000000" w:rsidRDefault="00000000" w:rsidRPr="00000000" w14:paraId="0000000F">
      <w:pPr>
        <w:spacing w:after="0" w:line="360" w:lineRule="auto"/>
        <w:ind w:left="5" w:right="-10" w:hanging="15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Solicitamos a abertura de processo administrativo para </w:t>
      </w:r>
      <w:r w:rsidDel="00000000" w:rsidR="00000000" w:rsidRPr="00000000">
        <w:rPr>
          <w:rFonts w:ascii="Arial" w:cs="Arial" w:eastAsia="Arial" w:hAnsi="Arial"/>
          <w:b w:val="1"/>
          <w:bCs w:val="1"/>
          <w:shd w:fill="fff2cc" w:val="clear"/>
          <w:rtl w:val="0"/>
        </w:rPr>
        <w:t xml:space="preserve">aquisição de equipamentos odontológicos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,com base nas especificações técnicas e quantitativos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serão apresentados no Documento de Formalização de Demanda - DFD, Estudo Técnico Preliminar - ETP e a Análise de Riscos, que seguem em anexo a esta solicitação.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Atenciosamente,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="276" w:lineRule="auto"/>
        <w:ind w:left="5" w:right="-10" w:hanging="15"/>
        <w:jc w:val="center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Laura Rossana Acioly de Carvalho Rios</w:t>
        <w:br w:type="textWrapping"/>
        <w:t xml:space="preserve">Superintendente de Atenção à Saúde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  <w:t xml:space="preserve">Secretaria Municipal de Saúde -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bookmarkStart w:colFirst="0" w:colLast="0" w:name="_1fob9te" w:id="0"/>
      <w:bookmarkEnd w:id="0"/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95670" cy="7747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95670" cy="7747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5670" cy="774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681038</wp:posOffset>
              </wp:positionH>
              <wp:positionV relativeFrom="paragraph">
                <wp:posOffset>58738</wp:posOffset>
              </wp:positionV>
              <wp:extent cx="4510405" cy="64198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681038</wp:posOffset>
              </wp:positionH>
              <wp:positionV relativeFrom="paragraph">
                <wp:posOffset>58738</wp:posOffset>
              </wp:positionV>
              <wp:extent cx="4510405" cy="64198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0405" cy="6419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2078038</wp:posOffset>
              </wp:positionH>
              <wp:positionV relativeFrom="paragraph">
                <wp:posOffset>261938</wp:posOffset>
              </wp:positionV>
              <wp:extent cx="3755390" cy="3562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2078038</wp:posOffset>
              </wp:positionH>
              <wp:positionV relativeFrom="paragraph">
                <wp:posOffset>261938</wp:posOffset>
              </wp:positionV>
              <wp:extent cx="3755390" cy="35623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55390" cy="3562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33338</wp:posOffset>
              </wp:positionV>
              <wp:extent cx="5995670" cy="7747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33338</wp:posOffset>
              </wp:positionV>
              <wp:extent cx="5995670" cy="7747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5670" cy="774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