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SMS/EXTER nº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2645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auto" w:val="clear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11 de abril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Ao Senhor,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Fábio Roberto Lessa Queiroz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JOSÉ ERNESTO DE SOUSA – AJES</w:t>
      </w:r>
    </w:p>
    <w:p w:rsidR="00000000" w:rsidDel="00000000" w:rsidP="00000000" w:rsidRDefault="00000000" w:rsidRPr="00000000" w14:paraId="00000006">
      <w:pPr>
        <w:widowControl w:val="0"/>
        <w:spacing w:after="160" w:before="0" w:line="259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Rod AL 220, 141</w:t>
        <w:br w:type="textWrapping"/>
        <w:t xml:space="preserve">Bairro Capim,</w:t>
      </w:r>
      <w:r w:rsidDel="00000000" w:rsidR="00000000" w:rsidRPr="00000000">
        <w:rPr>
          <w:rFonts w:ascii="Arial" w:cs="Arial" w:eastAsia="Arial" w:hAnsi="Arial"/>
          <w:rtl w:val="0"/>
        </w:rPr>
        <w:t xml:space="preserve"> Arapiraca-AL</w:t>
      </w:r>
    </w:p>
    <w:p w:rsidR="00000000" w:rsidDel="00000000" w:rsidP="00000000" w:rsidRDefault="00000000" w:rsidRPr="00000000" w14:paraId="00000007">
      <w:pPr>
        <w:spacing w:after="0" w:before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Convocação de apresentação de documentos para celebração de parceria.</w:t>
      </w:r>
    </w:p>
    <w:p w:rsidR="00000000" w:rsidDel="00000000" w:rsidP="00000000" w:rsidRDefault="00000000" w:rsidRPr="00000000" w14:paraId="00000009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 Presidente, </w:t>
      </w:r>
    </w:p>
    <w:p w:rsidR="00000000" w:rsidDel="00000000" w:rsidP="00000000" w:rsidRDefault="00000000" w:rsidRPr="00000000" w14:paraId="0000000B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Secretaria Municipal de Saúde vem por meio deste instrumento convocar Vossa Senhoria 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apresentar os documentos abaixo descritos, bem como o preenchimento dos anexos (I – PLANO DE TRABALHO, II – DADOS CADASTRAIS, III –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DECLARAÇÃO DE QUE A ORGANIZAÇÃO NÃO DEVE PRESTAÇÕES DE CONTAS A QUAISQUER ÓRGÃOS FEDERAIS, ESTADUAIS E MUNICIPAIS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 IV –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DECLARAÇÃO DA NÃO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OCORRÊNCIA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DE VEDAÇÕES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), desta convocação.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Informamos que um dos anexos, o ANEXO I – PLANO DE TRABALHO, deverá ser  preenchido somente nos campos em branco, os quais são destinados à OSC.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 documentos e anexos deverão ser entregues entre 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dias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 das  08h às 12h, das 14h às 17h,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junto à Comissão de Avaliação e Monitoramento,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mais precisamente na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Coordenação da Rede de Cuidados à Pessoa com Deficiênci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a, que fica localizada na Secretaria Municipal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Segue os documentos que deverão ser apresentados pela OSC: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Cópia do Estatuto Social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contemple: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Possuir objetivos voltados à promoção de atividades e finalidades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relevância pública e social;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 caso de dissolução da entidade, que o respectivo patrimônio líquido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seja transferido a outra pessoa jurídica de igual natureza que preencha os requisitos desta Lei e cujo objeto social seja, preferencialmente, o mesmo da entidade extinta;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Possuir, no mínimo, um, dois ou três anos de existência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com cadastro ativo, comprovados por meio de documentação emitida pela Secretaria da Receita Federal do Brasil, com base no Cadastro Nacional da Pessoa Jurídica – CNPJ, conforme, respectivamente, a parceria seja celebrada no âmbito dos Municípios, do Distrito Federal ou dos Estados e da União, admitida a redução desses prazos por ato específico de cada ente na hipótese de nenhuma organização atingi-los.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Cópia da Ata de eleição e posse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do quadro diretivo, devidamente registrada;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Relação nominal atualizada dos dirigentes da entidade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, com endereço, número e órgão expedidor da carteira de identidade e número de registro no Cadastro de Pessoas Físicas – CPF da Secretaria da Receita Federal do Brasil – RFB de cada um deles;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Registro da Organização da Sociedade Civil em Conselho Municipal, Estadual ou Federal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, quando a legislação assim condicionar sua capacitação para atuar ou de firmar parceria com a administração pública;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Comprovação de experiência prévia na realização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, com efetividade, do objetivo da parceria ou de natureza semelhante mediante apresentação de quaisquer dos seguintes documentos (art. 35, XVII c/c art. 27 do decreto nº 2.574/19):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Instrumento de parceria firmado com órgãos e entidades da administração pública, cooperação internacional, empresas ou com outras organizações da sociedade civil;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Relatório de atividades desenvolvidas;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Notícias veiculadas na mídia em diferentes suportes sobre atividades desenvolvidas;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Publicações e pesquisas realizadas ou outras formas de produção de conhecimento;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Currículo de profissional ou responsável;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Declarações de experiência prévia emitidas por redes, organizações da sociedade civil, movimentos sociais, empresas públicas ou privadas, conselhos de políticas públicas e membros de órgãos públicos ou universidades;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Prêmios locais ou internacionais recebidos e/ou;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Atestados de capacidade técnica emitidos por redes, organizações da sociedade civil, movimentos sociais, empresas públicas ou privadas, conselhos de política públicas e membros de órgãos públicos ou universidades.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Comprovação que possui instalações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, condições materiais e capacidade técnica e operacional para o desenvolvimento das atividades ou projetos previstos na parceria e o cumprimento das metas estabelecidas.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Certidão de Existência Jurídica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expedida pelo Cartório de Registro Civil;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CNPJ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, comprovante de inscrição estadual ou municipal;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Certidão de regularidade fiscal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junto à fazenda municipal;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Certidão de regularidade fiscal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junto à fazenda estadual;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Certidão conjunta de regularidade fiscal,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contribuições sociais e de dívida ativa junto à fazenda Federal;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Certidão de regularidade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junto ao FGTS;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Certidão Negativa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de Débitos Trabalhistas;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Certidão Negativa Civil Judicial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Certidão Negativa de Falência e Concordata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Escrituração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de acordo com os princípios fundamentais de contabilidade e com as Normas Brasileiras de Contabilidade;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Comprovante de endereço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da instituição (cópia de contas de água, energia, telefonia);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Alvará de Localização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e Funcionamento;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Declarações previstas nos incisos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XX, XXI, XXII do Art. 35, do Decreto Municipal nº 2.574/19, em conformidade com os anexos III, IV, V e VI, respectivamente.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Plano de Trabalho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(Anexo V do Decreto Municipal nº 2.574/19), preenchido com as informações pertinentes, descrevendo de forma clara e objetiva no campo 2.3 (justificativa) o que se pretende fazer, os resultados esperados com as atividades específicas a serem desenvolvidas e benefícios econômicos, sociais e ambientais gerados à comunidade.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Atenciosamente,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395"/>
        </w:tabs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– SMS </w:t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718503</wp:posOffset>
              </wp:positionH>
              <wp:positionV relativeFrom="paragraph">
                <wp:posOffset>78423</wp:posOffset>
              </wp:positionV>
              <wp:extent cx="4491355" cy="6229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718503</wp:posOffset>
              </wp:positionH>
              <wp:positionV relativeFrom="paragraph">
                <wp:posOffset>78423</wp:posOffset>
              </wp:positionV>
              <wp:extent cx="4491355" cy="6229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Letter"/>
      <w:lvlText w:val="%3)"/>
      <w:lvlJc w:val="left"/>
      <w:pPr>
        <w:ind w:left="1440" w:hanging="360"/>
      </w:pPr>
      <w:rPr/>
    </w:lvl>
    <w:lvl w:ilvl="3">
      <w:start w:val="1"/>
      <w:numFmt w:val="lowerLetter"/>
      <w:lvlText w:val="%4)"/>
      <w:lvlJc w:val="left"/>
      <w:pPr>
        <w:ind w:left="1800" w:hanging="360"/>
      </w:pPr>
      <w:rPr/>
    </w:lvl>
    <w:lvl w:ilvl="4">
      <w:start w:val="1"/>
      <w:numFmt w:val="lowerLetter"/>
      <w:lvlText w:val="%5)"/>
      <w:lvlJc w:val="left"/>
      <w:pPr>
        <w:ind w:left="2160" w:hanging="360"/>
      </w:pPr>
      <w:rPr/>
    </w:lvl>
    <w:lvl w:ilvl="5">
      <w:start w:val="1"/>
      <w:numFmt w:val="lowerLetter"/>
      <w:lvlText w:val="%6)"/>
      <w:lvlJc w:val="left"/>
      <w:pPr>
        <w:ind w:left="2520" w:hanging="360"/>
      </w:pPr>
      <w:rPr/>
    </w:lvl>
    <w:lvl w:ilvl="6">
      <w:start w:val="1"/>
      <w:numFmt w:val="lowerLetter"/>
      <w:lvlText w:val="%7)"/>
      <w:lvlJc w:val="left"/>
      <w:pPr>
        <w:ind w:left="2880" w:hanging="360"/>
      </w:pPr>
      <w:rPr/>
    </w:lvl>
    <w:lvl w:ilvl="7">
      <w:start w:val="1"/>
      <w:numFmt w:val="lowerLetter"/>
      <w:lvlText w:val="%8)"/>
      <w:lvlJc w:val="left"/>
      <w:pPr>
        <w:ind w:left="3240" w:hanging="360"/>
      </w:pPr>
      <w:rPr/>
    </w:lvl>
    <w:lvl w:ilvl="8">
      <w:start w:val="1"/>
      <w:numFmt w:val="lowerLetter"/>
      <w:lvlText w:val="%9)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Letter"/>
      <w:lvlText w:val="%3)"/>
      <w:lvlJc w:val="left"/>
      <w:pPr>
        <w:ind w:left="1440" w:hanging="360"/>
      </w:pPr>
      <w:rPr/>
    </w:lvl>
    <w:lvl w:ilvl="3">
      <w:start w:val="1"/>
      <w:numFmt w:val="lowerLetter"/>
      <w:lvlText w:val="%4)"/>
      <w:lvlJc w:val="left"/>
      <w:pPr>
        <w:ind w:left="1800" w:hanging="360"/>
      </w:pPr>
      <w:rPr/>
    </w:lvl>
    <w:lvl w:ilvl="4">
      <w:start w:val="1"/>
      <w:numFmt w:val="lowerLetter"/>
      <w:lvlText w:val="%5)"/>
      <w:lvlJc w:val="left"/>
      <w:pPr>
        <w:ind w:left="2160" w:hanging="360"/>
      </w:pPr>
      <w:rPr/>
    </w:lvl>
    <w:lvl w:ilvl="5">
      <w:start w:val="1"/>
      <w:numFmt w:val="lowerLetter"/>
      <w:lvlText w:val="%6)"/>
      <w:lvlJc w:val="left"/>
      <w:pPr>
        <w:ind w:left="2520" w:hanging="360"/>
      </w:pPr>
      <w:rPr/>
    </w:lvl>
    <w:lvl w:ilvl="6">
      <w:start w:val="1"/>
      <w:numFmt w:val="lowerLetter"/>
      <w:lvlText w:val="%7)"/>
      <w:lvlJc w:val="left"/>
      <w:pPr>
        <w:ind w:left="2880" w:hanging="360"/>
      </w:pPr>
      <w:rPr/>
    </w:lvl>
    <w:lvl w:ilvl="7">
      <w:start w:val="1"/>
      <w:numFmt w:val="lowerLetter"/>
      <w:lvlText w:val="%8)"/>
      <w:lvlJc w:val="left"/>
      <w:pPr>
        <w:ind w:left="3240" w:hanging="360"/>
      </w:pPr>
      <w:rPr/>
    </w:lvl>
    <w:lvl w:ilvl="8">
      <w:start w:val="1"/>
      <w:numFmt w:val="lowerLetter"/>
      <w:lvlText w:val="%9)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