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MINUTA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36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TERMO DE FOMENTO Nº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XXX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QUE ENTRE SI CELEBRAM O MUNICÍPIO DE ARAPIRACA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A ASSOCIAÇÃO HUMANITÁRIA DE PROTEÇÃO DE ANIMAIS DE RUA (AHPAR)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PARA OS FINS QUE SE ESPECIFICA.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Município de Arapiraca/AL,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pessoa jurídica de direito público interno, inscrito no CNPJ sob nº 12.198.693/0001-58, com sede no centro Administrativo, situado à Rua Samaritana, nº 1.185 – Bairro Santa Edwiges, nesta cidade, neste ato devidamente representado pelo Prefeito, Sr, JOSÉ LUCIANO BARBOSA DA SILVA, brasileiro, portador do CPF nº 296.681.744-53 e RG nº 299387 SEDS/AL, com o supracitado endereço profissional, no exercício de suas atribuições legais e regulamentares, por intermédio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Fundo Municipal de Saúde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inscrito CNPJ sob nº 21.013.754/0001-56, representado pela Secretária Municipal de Saúde, Sra. Rafaella Souza Albuquerque inscrita no CPF sob o nº 048.666.034-61, doravante denominado Administração Pública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a entidade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Associação Humanitária de Proteção de Animais de Rua – AHPAR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, inscrita no CNPJ sob nº 11.513.219/0001-00, situada na Rua Paulo VI, 689, Primavera, Arapiraca-AL, CEP 57.304-240, nesta cidade de Arapiraca/AL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doravante denominado proponente, neste 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representado por sua Diretora Social, Tânia Maria Sales portadora do RG n° 381121 SSP/AL e CPF/MF n° 239.342.044-49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com fundamento na Lei Federal nº 13.019/2014, bem como nos princípios que regem a Administração Pública e demais normas pertinentes, celebram este Termo de Fomento, na forma e condições estabelecidas nas seguintes cláusulas: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CLÁUSULA PRIMEIRA – DO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O presente Termo de Fomento tem por objeto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Projeto de Castração de Fêmeas (cães e gatos) da População carente e de situação de Abandono de Arapiraca –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 prestação dos serviços obedecerá ao previsto no Plano de Trabalho apresentado pela instituição e aprovado pela Secretaria Municipal de Saúde, o qual faz parte integrante do presente Termo de Fomento.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CLÁUSULA SEGUNDA – DA TRANSFERÊNCIA FINANCEIRA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2.1 A Administração Pública repassará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a"/>
          <w:shd w:fill="fff2cc" w:val="clear"/>
          <w:rtl w:val="0"/>
        </w:rPr>
        <w:t xml:space="preserve">à Associação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Humanitária de Proteção de Animais de Rua – AHPAR o valor global de R$ </w:t>
      </w:r>
      <w:r w:rsidDel="00000000" w:rsidR="00000000" w:rsidRPr="00000000">
        <w:rPr>
          <w:rFonts w:ascii="Arial" w:cs="Arial" w:eastAsia="Arial" w:hAnsi="Arial"/>
          <w:color w:val="00000a"/>
          <w:shd w:fill="fff2cc" w:val="clear"/>
          <w:rtl w:val="0"/>
        </w:rPr>
        <w:t xml:space="preserve">765.000,00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a"/>
          <w:shd w:fill="fff2cc" w:val="clear"/>
          <w:rtl w:val="0"/>
        </w:rPr>
        <w:t xml:space="preserve">Setecentos e sessenta e cinco mil reai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), conforme cronograma de desembolso, constante no Plano de Trabalho anexo a este Termo de Fomento.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Os recursos serão repassados em </w:t>
      </w:r>
      <w:r w:rsidDel="00000000" w:rsidR="00000000" w:rsidRPr="00000000">
        <w:rPr>
          <w:rFonts w:ascii="Arial" w:cs="Arial" w:eastAsia="Arial" w:hAnsi="Arial"/>
          <w:color w:val="00000a"/>
          <w:shd w:fill="fff2cc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a"/>
          <w:shd w:fill="fff2cc" w:val="clear"/>
          <w:rtl w:val="0"/>
        </w:rPr>
        <w:t xml:space="preserve">doze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) parcelas mensais de até R$ 63.750,00 (Sessenta e três mil e setecentos e cinquenta reais).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2.3 Os recursos financeiros para a execução do objeto deste Termo de Fomento correrão por conta do Programa de Trabalho 07.70.10.305.</w:t>
      </w:r>
      <w:r w:rsidDel="00000000" w:rsidR="00000000" w:rsidRPr="00000000">
        <w:rPr>
          <w:rFonts w:ascii="Arial" w:cs="Arial" w:eastAsia="Arial" w:hAnsi="Arial"/>
          <w:color w:val="00000a"/>
          <w:shd w:fill="fff2cc" w:val="clear"/>
          <w:rtl w:val="0"/>
        </w:rPr>
        <w:t xml:space="preserve">1011.1020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a"/>
          <w:shd w:fill="fff2cc" w:val="clear"/>
          <w:rtl w:val="0"/>
        </w:rPr>
        <w:t xml:space="preserve">Promover, ampliar e integrar as ações de vigilância em Saúde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– Elemento de Despesa 3.3.50.41.00.00.00.0000.015001001002 – Contribuições, no valor global de R$</w:t>
      </w:r>
      <w:r w:rsidDel="00000000" w:rsidR="00000000" w:rsidRPr="00000000">
        <w:rPr>
          <w:rFonts w:ascii="Arial" w:cs="Arial" w:eastAsia="Arial" w:hAnsi="Arial"/>
          <w:color w:val="00000a"/>
          <w:shd w:fill="fff2cc" w:val="clear"/>
          <w:rtl w:val="0"/>
        </w:rPr>
        <w:t xml:space="preserve">  765.000,00 (Setecentos e sessenta e cinco mil reais)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, como mencionado no Inciso I desta cláusula.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2.4 Em caso de celebração de aditivos, deverão ser indicados nos mesmos, os créditos e empenhos para cobertura de cada parcela da despesa a ser transferida.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2.5 Na ocorrência de cancelamento de Restos a Pagar, o quantitativo poderá ser reduzido até a etapa que apresente funcionalidade, mediante aprovação prévia da Administração Pública.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CLÁUSULA TERCEIRA – DOS DEVERES DOS PARTÍCIPES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3.1 – Compete 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Administração Pública: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Coordenar tecnicamente a execução dos serviços e a definição do projeto;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Apoiar tecnicamente a BENEFICIÁRIA na execução das atividades previstas no Plano de Trabalho;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Repassar à OSC, em tempo hábil, os recursos financeiros correspondentes à sua participação nas despesas objeto deste Termo de Fomento, obedecendo ao Cronograma de Desembolso constante do Plano de Trabalho e às leis orçamentárias;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Aprovar, excepcionalmente, alteração da programação de execução deste Termo de Fomento, mediante proposta da OSC, fundamentada em razões concretas que a justifique;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Monitorar, supervisionar, avaliar e fiscalizar todos os serviços objeto deste Termo de Fomento, realizando vistorias, sempre que julgar conveniente, com vistas ao fiel cumprimento do ajuste;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Fornecer a OSC as instruções para prestação de contas dos recursos do Termo de Fomento;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Analisar e aprovar as prestações de contas dos recursos aplicados na consecução do objeto deste Termo de Fomento;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Prorrogar a vigência do Termo de Fomento, quando houver atraso na liberação dos recursos, limitada à prorrogação ao exato período do atraso verificado;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3.2 – Compete 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OSC: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Disponibilizar equipe multiprofissional para atendimento dos animais, responsabilizando-se por todas as obrigações trabalhistas decorrentes;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Responder exclusivamente pelo pagamento dos encargos trabalhistas, previdenciários, fiscais e comerciais relativos ao funcionamento da instituição e ao adimplemento deste Termo de Fomento, não se caracterizando responsabilidade solidária ou subsidiária da Administração Pública pelos respectivos pagamentos, nem qualquer oneração do objeto da 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parceria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ou restrição à sua execução;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Organizar e regular o acesso dos animais que necessitem dos serviços oferecidos pelo Projeto de Castração de Fêmeas (cães e gatos) da População carente e de situação de Abandono de Arapiraca – AL;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Indicar ao menos 1(um) dirigente que se responsabilizará, de forma solidária, pela execução das atividades e cumprimento das metas pactuadas na 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parceria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Executar as ações objeto desta parceria com qualidade, atendendo o público de modo gratuito, universal e igualitário;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Responder, com exclusividade, pela capacidade e orientações técnicas de toda a mão de obra necessária à fiel e perfeita execução 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deste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Termo de Fomento;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Manter contrato de trabalho que assegure direitos trabalhistas, sociais e previdenciários aos seus trabalhadores e prestadores de serviços;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Responsabilizar-se, com os recursos provenientes do Termo de Fomento, pela indenização de dano causado aos animais, decorrentes de ação ou omissão;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Responsabilizar-se por cobrança indevida feita ao público, por profissional empregado ou preposto, em razão da execução desse Termo de Fomento;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Disponibilizar todas as suas instalações e insumos necessários para as castrações, responsabilizando-se pela sua manutenção e perfeito funcionamento;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Disponibilizar documentos dos profissionais que compõe a equipe técnica, tais como: diplomas dos profissionais, registro junto aos respectivos conselhos e contrato de trabalho;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Garantir o livre acesso dos agentes públicos, em especial aos designados para a comissão de monitoramento e avaliação, ao gestor da parceria, do controle interno e do Tribunal de Contas relativamente aos processos, aos documentos e às informações referentes a este Termo de Fomento, bem como aos locais de execução do objeto;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Aplicar os recursos recebidos e eventuais saldos financeiros enquanto não utilizados, obrigatoriamente, em instituição financeira oficial indicada pela Administração Pública, assim como as receitas decorrentes, que serão obrigatoriamente computadas a crédito deste Termo de Fomento e aplicadas, exclusivamente, no objeto de sua finalidade, devendo constar de demonstrativo específico que integrará as prestações de contas;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Restituir à Administração Pública os recursos recebidos quando a prestação de contas for avaliada como irregular, depois de exaurida a fase recursal, se mantida a decisão, caso em que a OSC poderá solicitar autorização para que o ressarcimento ao erário seja promovido por meio de ações compensatórias de interesse público, mediante a apresentação de novo plano de trabalho, conforme o objeto descrito no neste Termo de Fomento e a área de atuação da organização, cuja mensuração econômica será feita a partir do plano de trabalho original, desde que não tenha havido dolo ou fraude e não seja o caso de restituição integral dos recursos;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 OSC tem responsabilidade exclusiva pelo gerenciamento administrativo e financeiro dos recursos recebidos, inclusive no que diz respeito às despesas de custeio, de investimento e de pessoal.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Metas qualitativas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2"/>
          <w:szCs w:val="22"/>
          <w:u w:val="none"/>
          <w:shd w:fill="auto" w:val="clear"/>
          <w:vertAlign w:val="baseline"/>
          <w:rtl w:val="0"/>
        </w:rPr>
        <w:t xml:space="preserve">Proporcionar condições para o bem-estar dos animais acolhidos, bem como para que possa promover a esterilização destes animais, que posteriormente serão encaminhados para adoção, com a consequente diminuição da procriação destes pelas ruas da cidade e a redução dos diversos transtornos sociais (ataques a pessoas nas ruas, acidentes automobilísticos, animais rasgando lixos domésticos para se alimentarem, transmissão de zoonoses e etc.)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Metas quantitativas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4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Será realizada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triagem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100 (cem)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animais por mês, com custo unitário de R$ 37,50 (trinta e sete reais e cinquenta centavos), totalizando o valor de R$ 3.750,00 (três mil setecentos e cinquenta reais) por mês, onde: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06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Os locais e data de cada triagem ficará a cargo da equipe Administrativa da Secretaria Municipal de Saúde de Arapiraca;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06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A partir do momento que o tutor do animal ou o servidor público do Centro de Controle de Zoonoses – CCZ concordar com o ato cirúrgico, ele assinará um termo de responsabilidade, constando o risco que o animal estará sujeito em decorrência deste ato;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276" w:lineRule="auto"/>
        <w:ind w:left="106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O controle do número de procedimentos cirúrgicos realizados através do projeto ficará sob responsabilidade da AHPAR, com a realização de relatórios mensais para a verificação do cumprimento do Plano de Trabalho;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6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06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Na fase de cadastro dos tutores que demonstrarem interesse em submeter seu(s) animal(is) ao processo de esterilização cirúrgica, alguns cuidados e critérios devem ser considerados a fim de que a campanha, ao tempo em que se mostra eficaz e abrangente, possa assumir uma postura ética e justificar o seu caráter seletivo, evitando a vulgarização do ato cirúrgico e um eventual desconforto entre os profissionais da classe médico veterinária;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06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Para a consecução dos objetivos propostos, o projeto estabelece que os tutores interessados sejam submetidos a uma avaliação socioeconômica, prevê também a avaliação das condições físicas do(s) animal(is) inscrito(s), realizada por um Médico Veterinário, estando previsto, também a possibilidade de visitação domiciliar;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06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Operacionalmente, estão descritas, abaixo, as condições propostas para a seleção: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778" w:right="0" w:hanging="283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Ser de tutela ou encaminhado pelo Centro de Zoonoses ou;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" w:line="276" w:lineRule="auto"/>
        <w:ind w:left="1778" w:right="0" w:hanging="283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Residência fixa no município de Arapiraca;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0" w:line="276" w:lineRule="auto"/>
        <w:ind w:left="1778" w:right="0" w:hanging="283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Idade animal mínima de 6 meses;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" w:line="276" w:lineRule="auto"/>
        <w:ind w:left="1778" w:right="0" w:hanging="283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Condição física animal aparentemente satisfatória;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0" w:line="276" w:lineRule="auto"/>
        <w:ind w:left="1778" w:right="0" w:hanging="283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Animal livre de ectoparasitas (pulgas, carrapatos, ácaros, piolhos e etc);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" w:line="276" w:lineRule="auto"/>
        <w:ind w:left="1778" w:right="0" w:hanging="283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Não está no período de cio.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b) Serão realizados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100 (cem)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procedimentos cirúrgicos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por mês, com custo unitário de R$ 500,00 (quinhentos reais), totalizando o valor de R$ 50.000,00 (Cinquenta mil reais) por mês, onde constará: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I. Consulta Pré-operatória com realização de hemograma;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II. Procedimento cirúrgico de castração com anestesia inalatória;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III. Internamento pós-operatório imediato, com monitoramento e medicações injetáveis. Acompanhamento pós-operatório (revisão e retirada de pontos).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c) Serão realizadas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guardas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40 (quarenta)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animais, com o custo unitário de R$ 250,00 (duzentos e cinquenta reais), totalizando o valor de R$ 10.000,00 (dez mil reais) por mês, onde estas guardas consistirá: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I. Na guarda de 40 (quarenta) animais após os procedimentos cirúrgicos, onde terão cuidados médicos, higienização, administração de medicações, troca de curativos, alimentação até a alta cirúrgica.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d) Serão 100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(cem)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animais atendidos por mês, onde 40 (quarenta) animais passarão pela triagem, pelos procedimentos cirúrgicos e pela guarda, custando unitariamente R$ 787,50 (Setecentos e oitenta e sete reais e cinquenta centavos), totalizando o valor de R$ 31.500,00 (Trinta e um mil e quinhentos reais). E 60 (sessenta) animais passarão pela triagem e pelos procedimentos cirúrgicos, custando unitariamente R$ 537,50 (Quinhentos e trinta e sete reais e cinquenta centavos), totalizando o valor de R$ 32.2500,00 (Trinta e dois mil e quinhentos reais);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e) O custo mensal será a soma dos dois grupos informados no subitem “d”, ou seja, será a soma do valor R$ 31.500,00 (Trinta e um mil e quinhentos reais), mais o valor R$ 32.250,00 (Trinta e dois mil e duzentos e cinquenta reais), totalizando o valor de R$ 63.750,00 (Sessenta e três mil e setecentos e cinquenta reais).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f) Serão 800 (Oitocentos) animais atendidos até o final do projeto;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CLÁUSULA QUARTA – DA APLICAÇÃO DOS RECURSOS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4.1 O Plano de Trabalho deverá ser executado com estrita observância das cláusulas pactuadas neste Termo de Fomento, sendo vedado: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- Pagar, a qualquer título, servidor ou empregado público com recursos vinculados à parceria;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- Modificar o objeto, exceto no caso de ampliação de metas, desde que seja previamente aprovada a adequação do plano de trabalho pela Administração Pública;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c) - Utilizar, ainda que em caráter emergencial, recursos para finalidade diversa da estabelecida no plano de trabalho;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d) - Pagar despesa realizada em data anterior à vigência da parceria;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e) - Efetuar pagamento em data posterior à vigência da parceria, salvo quando o fato gerador da despesa tiver ocorrido durante sua vigência;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f) - Realizar despesas com: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f.1 Multas, juros ou correção monetária, inclusive referentes a pagamentos ou a recolhimentos fora dos prazos, salvo se decorrentes de atrasos da Administração Pública na liberação de recursos financeiros;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f.2 Publicidade, salvo as previstas no plano de trabalho e diretamente vinculadas ao objeto da parceria, de caráter educativo, informativo ou de orientação social, das quais não constem nomes, símbolos ou imagens que caracterizem promoção pessoal;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 de pessoal contratado pela OSC que não atendam às exigências do art. 46 da Lei Federal nº 13.019/2014.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Os recursos recebidos em decorrência da parceria deverão ser depositados em conta corrente específica na instituição financeira pública determinada pela Administração Pública.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Os rendimentos de ativos financeiros serão aplicados no objeto da parceria, estando sujeitos às mesmas condições de prestação de contas exigidas para os recursos transferidos.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Por ocasião da conclusão, denúncia, rescisão ou extinção da parceria, os saldos financeiros remanescentes, inclusive os provenientes das receitas obtidas das aplicações financeiras realizadas, serão devolvidos à Administração Pública no prazo improrrogável de 30 (trinta) dias, sob pena de imediata instauração de tomada de contas especial do responsável, providenciada pela autoridade competente da Administração Pública.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 Toda a movimentação de recursos no âmbito da parceria será realizada mediante transferência eletrônica sujeita à identificação do beneficiário final e à obrigatoriedade de depósito em sua conta bancária.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 Os pagamentos deverão ser realizados mediante crédito na conta bancária de titularidade dos fornecedores e prestadores de serviços, exceto se demonstrada a impossibilidade física de pagamento mediante transferência eletrônica, caso em que se admitirá a realização de pagamentos em espécie.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QUINTA – DA PRESTAÇÃO DE CONTAS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5.1 Os recursos da Administração Pública destinados à execução do objeto deste Termo de Fomento, serão liberados de acordo com o Cronograma de Desembolso constante do Plano de Trabalho, em nome da OSC.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A prestação de contas final dos recursos recebidos, deverá ser apresentada com os seguintes relatórios: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- Relatório de Execução do Objeto, assinado pelo seu representante legal, contendo as atividades desenvolvidas para o cumprimento do objeto e o comparativo de metas propostas com os resultados alcançados, a partir do cronograma acordado, anexando- se documentos de comprovação da realização das ações;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- Relatório de Execução Financeira, assinado pelo seu representante legal, com a descrição das despesas e receitas efetivamente realizadas;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- Original ou </w:t>
      </w:r>
      <w:r w:rsidDel="00000000" w:rsidR="00000000" w:rsidRPr="00000000">
        <w:rPr>
          <w:rFonts w:ascii="Arial" w:cs="Arial" w:eastAsia="Arial" w:hAnsi="Arial"/>
          <w:rtl w:val="0"/>
        </w:rPr>
        <w:t xml:space="preserve">cópias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reprográficas dos comprovantes da despesa devidamente autenticadas em cartório ou por servidor da administração, devendo ser devolvidos os originais após autenticação das cópias;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- Extrato bancário de conta específica e/ou de aplicação financeira, no qual deverá estar evidenciado o ingresso e a saída dos recursos, devidamente acompanhado da Conciliação Bancária, quando for o caso;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- Demonstrativo de Execução de Receita e Despesa, devidamente acompanhado dos comprovantes das despesas realizadas e assinado pelo dirigente e responsável financeiro da OSC;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 - Relatório circunstanciado das atividades desenvolvidas pela OSC no exercício e das metas alcançadas.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Comprovação dos atendimentos realizados na triagem, no procedimento cirúrgico e na guarda, quando houver. Tais comprovações devem constar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termo de responsabilidade assinado pelo tutor ou por servidor público do Centro de Controle de Zoonoses – CCZ.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5.3 No caso de prestação de contas parcial, os relatórios exigidos e os documentos referidos no item 5.2 deverão ser apresentados.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CLÁUSULA SEXTA – DA VIGÊNCIA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6.1 O presente Termo de Fomento vigorará por </w:t>
      </w:r>
      <w:r w:rsidDel="00000000" w:rsidR="00000000" w:rsidRPr="00000000">
        <w:rPr>
          <w:rFonts w:ascii="Arial" w:cs="Arial" w:eastAsia="Arial" w:hAnsi="Arial"/>
          <w:color w:val="00000a"/>
          <w:shd w:fill="fff2cc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a"/>
          <w:shd w:fill="fff2cc" w:val="clear"/>
          <w:rtl w:val="0"/>
        </w:rPr>
        <w:t xml:space="preserve">doze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) meses a contar da data de sua publicação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e será admitida prorrogação nos termos da legislação em vigor, mediante celebração do Termo Aditivo, persistindo as obrigações, especialmente as decorrentes da garantia.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CLÁUSULA SÉTIMA – DO ACOMPANHAMENTO, CONTROLE E FISCALIZAÇÃO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7.1 A Administração Pública promoverá o monitoramento e a avaliação do cumprimento do objeto da parceria, podendo valer-se do apoio técnico de terceiros, delegar competência ou firmar parcerias com órgãos ou entidades públicas.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CLÁUSULA OITAVA – DO GESTOR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8.1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A Gestora deste Termo de Fomento será a servidora Ruana Silva de Paula, matrícula nº 107926, CPF 059.281.984-18, a qual terá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entre outras, as seguintes atribuições: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Acompanhar e fiscalizar a execução deste Termo de Fomento;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Emitir parecer conclusivo de análise da prestação de contas mensal e final, com base no relatório técnico de monitoramento e avaliação de que trata o art. 59 da Lei federal nº 13.019/2014;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Solicitar à Administração a aplicação de penalidades por descumprimento de Cláusulas Contratuais;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Atestar as notas fiscais resultantes da prestação dos serviços, lavrando Parecer de Aceitação e Aprovação.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8.2 A execução também será acompanhada 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pela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Comissão de Monitoramento e Avaliação, especialmente designada.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8.3 A Administração Pública emitirá relatório técnico de monitoramento e avaliação da parceria e o submeterá à Comissão de Monitoramento e Avaliação designada, que o homologará, independentemente da obrigatoriedade de apresentação da prestação de contas pela OSC.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 O relatório técnico de monitoramento e avaliação da parceria, sem prejuízo de outros elementos, conterá: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- Descrição sumária das atividades e metas estabelecidas;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- Análise das atividades realizadas, do cumprimento das metas e do impacto do benefício social obtido em razão da execução do objeto até o período, com base nos indicadores estabelecidos e aprovados no plano de trabalho;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 - Valores efetivamente transferidos pela Administração Pública;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 - Análise dos documentos comprobatórios das despesas apresentados pela OSC na prestação de contas, quando não for comprovado o alcance das metas e resultados estabelecidos neste Termo de Fomento.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- Análise de eventuais auditorias realizadas pelos controles interno e externo, no âmbito da fiscalização preventiva, bem como de suas conclusões e das medidas que tomaram em decorrência dessas auditorias.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8.5 No exercício de suas atribuições a gestora e os integrantes da Comissão de Monitoramento e Avaliação poderão realizar visita in loco, da qual será emitido relatório.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8.6 Sem prejuízo da fiscalização pela Administração Pública e pelos órgãos de controle, a execução da parceria será acompanhada e fiscalizada pelo conselho de política pública correspondente.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8.7 Comprovada a paralisação ou ocorrência de fato relevante, que possa colocar em risco a execução do plano de trabalho, a Administração Pública tem a prerrogativa de assumir ou transferir a responsabilidade pela execução do objeto, de forma a evitar sua descontinuidade.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CLÁUSULA NONA – DA RESCISÃO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9.1 É facultado aos parceiros rescindir este Termo de Fomento, devendo comunicar essa intenção no prazo mínimo de 60 (sessenta) dias de antecedência, sendo-lhes imputadas as responsabilidades das obrigações e creditados os benefícios no período em que este tenha vigido.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9.2 A Administração poderá rescindir unilateralmente este Termo de Fomento quando da constatação das seguintes situações: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Utilização dos recursos em desacordo com o Plano de Trabalho aprovado;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Retardamento injustificado na realização da execução do objeto deste Termo de Fomento;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Descumprimento de cláusula constante deste Termo de Fomento.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DÉCIMA – DA RESPONSABILIZAÇÃO E DAS SANÇÕES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10.1 O presente Termo de Fomento deverá ser executado fielmente pelos parceiros, de acordo com as cláusulas pactuadas e a legislação pertinente, respondendo cada um pelas consequências de sua inexecução total ou parcial.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 Pela execução da parceria em desacordo com o plano de trabalho, a Administração poderá, garantida a prévia defesa, aplicar à OSC da sociedade civil as seguintes sanções: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Advertência, nos seguintes casos;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Suspensão temporária da participação em chamamento público e impedimento de celebrar parceria ou contrato com órgãos e OSCs da esfera de governo da Administração Pública sancionadora, nos seguintes casos;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Declaração de inidoneidade para participar de chamamento público ou celebrar parceria ou contrato com órgãos e OSCs de todas as esferas de governo, enquanto perdurarem os motivos determinantes da punição ou até que seja promovida a reabilitação perante a própria autoridade que aplicou a penalidade, que será concedida sempre que a OSC ressarcir a Administração Pública pelos prejuízos resultantes e depois de decorrido o prazo da sanção aplicada com base no inciso II, nos seguintes casos;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Ressarcimento dos valores aplicados em dissonância ao presente Termo de Fomento.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CLÁUSULA DÉCIMA PRIMEIRA – DO FORO E DA SOLUÇÃO ADMINISTRATIVA DE CONFLITOS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11.1 Para dirimir quaisquer dúvidas, casos omissos ou quaisquer questões oriundas do presente Termo de Fomento, que não possam ser resolvidas pela mediação administrativa, os partícipes elegem o Foro do Município de Arapiraca do Estado de Alagoas.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11.2 Antes de promover a ação judicial competente, as partes, obrigatoriamente, farão tratativas para prévia tentativa de solução administrativa. Referidas tratativas serão realizadas em reunião, com a participação da Procuradoria/Assessoria do Município, da qual será lavrada ata, ou por meio de documentos expressos, sobre os quais se manifestará a Procuradoria/Assessoria do Município.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DÉCIMA SEGUNDA – DA PUBLICAÇÃO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12.1 Este Termo de Fomento será publicado no mural da Prefeitura Municipal de Arapiraca e no Diário Oficial dos Municípios. Este Termo de Fomento entra em vigor na data de sua publicação.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CLÁUSULA DÉCIMA TERCEIRA – DISPOSIÇÕES GERAIS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13.1 Faz parte integrante e indissociável deste Termo de Fomento o plano de trabalho anexo.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13.2 E, por estarem acordes, firmam os parceiros o presente Termo de Fomento, em 03 (três) vias de igual teor e forma, para todos os efeitos legais.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Ind w:w="-28.0" w:type="dxa"/>
        <w:tblLayout w:type="fixed"/>
        <w:tblLook w:val="0000"/>
      </w:tblPr>
      <w:tblGrid>
        <w:gridCol w:w="4660"/>
        <w:gridCol w:w="4694"/>
        <w:tblGridChange w:id="0">
          <w:tblGrid>
            <w:gridCol w:w="4660"/>
            <w:gridCol w:w="469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JOSÉ LUCIANO BARBOSA DA SILVA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Prefeito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RAFAELLA SOUZA ALBUQUERQUE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Secretária Municipal de Saúde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Secretaria Municipal de Saúde – SMS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TÂNIA MARIA SALES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Presidente da Instituição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RUANA SILVA DE PAULA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Gestora do Termo de Fomento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2693" w:left="1701" w:right="851" w:header="1701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4597400</wp:posOffset>
              </wp:positionH>
              <wp:positionV relativeFrom="paragraph">
                <wp:posOffset>-1828799</wp:posOffset>
              </wp:positionV>
              <wp:extent cx="3148459" cy="4736344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 rot="-3727200">
                        <a:off x="2977200" y="3227940"/>
                        <a:ext cx="4737600" cy="1104120"/>
                      </a:xfrm>
                      <a:prstGeom prst="rect">
                        <a:avLst/>
                      </a:prstGeom>
                      <a:solidFill>
                        <a:srgbClr val="26985A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4597400</wp:posOffset>
              </wp:positionH>
              <wp:positionV relativeFrom="paragraph">
                <wp:posOffset>-1828799</wp:posOffset>
              </wp:positionV>
              <wp:extent cx="3148459" cy="4736344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48459" cy="47363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4025900</wp:posOffset>
              </wp:positionH>
              <wp:positionV relativeFrom="paragraph">
                <wp:posOffset>-2717799</wp:posOffset>
              </wp:positionV>
              <wp:extent cx="3197330" cy="6229074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 rot="-3725400">
                        <a:off x="1864620" y="3767220"/>
                        <a:ext cx="6962760" cy="25560"/>
                      </a:xfrm>
                      <a:prstGeom prst="rect">
                        <a:avLst/>
                      </a:prstGeom>
                      <a:solidFill>
                        <a:srgbClr val="2D2E83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4025900</wp:posOffset>
              </wp:positionH>
              <wp:positionV relativeFrom="paragraph">
                <wp:posOffset>-2717799</wp:posOffset>
              </wp:positionV>
              <wp:extent cx="3197330" cy="6229074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97330" cy="622907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949950" cy="317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6180" y="3769200"/>
                        <a:ext cx="5939640" cy="216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949950" cy="317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99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1657350</wp:posOffset>
          </wp:positionH>
          <wp:positionV relativeFrom="paragraph">
            <wp:posOffset>78740</wp:posOffset>
          </wp:positionV>
          <wp:extent cx="169545" cy="169545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" cy="16954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CENTRO ADMINISTRATIVO ANTÔNIO ROCHA</w:t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Rua Samaritana, nº 1.185 – Bairro Santa Edwiges – CEP 57.311-180</w:t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CNPJ nº 21.013.754/0001-56</w:t>
    </w:r>
  </w:p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sz w:val="15"/>
        <w:szCs w:val="15"/>
      </w:rPr>
    </w:pPr>
    <w:r w:rsidDel="00000000" w:rsidR="00000000" w:rsidRPr="00000000">
      <w:rPr>
        <w:rFonts w:ascii="Arial" w:cs="Arial" w:eastAsia="Arial" w:hAnsi="Arial"/>
        <w:sz w:val="15"/>
        <w:szCs w:val="15"/>
        <w:rtl w:val="0"/>
      </w:rPr>
      <w:t xml:space="preserve">1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sz w:val="15"/>
        <w:szCs w:val="15"/>
        <w:rtl w:val="0"/>
      </w:rPr>
      <w:t xml:space="preserve">11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66040</wp:posOffset>
          </wp:positionH>
          <wp:positionV relativeFrom="paragraph">
            <wp:posOffset>-116204</wp:posOffset>
          </wp:positionV>
          <wp:extent cx="1800225" cy="65405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5204" r="7457" t="0"/>
                  <a:stretch>
                    <a:fillRect/>
                  </a:stretch>
                </pic:blipFill>
                <pic:spPr>
                  <a:xfrm>
                    <a:off x="0" y="0"/>
                    <a:ext cx="1800225" cy="6540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59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940"/>
      </w:tabs>
      <w:spacing w:after="160" w:before="0" w:line="259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SECRETARIA MUNICIPAL DE SAÚDE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-114299</wp:posOffset>
              </wp:positionH>
              <wp:positionV relativeFrom="paragraph">
                <wp:posOffset>203200</wp:posOffset>
              </wp:positionV>
              <wp:extent cx="6090920" cy="4000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05620" y="3765060"/>
                        <a:ext cx="6080760" cy="298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-114299</wp:posOffset>
              </wp:positionH>
              <wp:positionV relativeFrom="paragraph">
                <wp:posOffset>203200</wp:posOffset>
              </wp:positionV>
              <wp:extent cx="6090920" cy="4000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0920" cy="400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4">
    <w:lvl w:ilvl="0">
      <w:start w:val="3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5">
    <w:lvl w:ilvl="0">
      <w:start w:val="4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6">
    <w:lvl w:ilvl="0">
      <w:start w:val="5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7">
    <w:lvl w:ilvl="0">
      <w:start w:val="7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8">
    <w:lvl w:ilvl="0">
      <w:start w:val="8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9">
    <w:lvl w:ilvl="0">
      <w:start w:val="9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0">
    <w:lvl w:ilvl="0">
      <w:start w:val="10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1">
    <w:lvl w:ilvl="0">
      <w:start w:val="1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3">
    <w:lvl w:ilvl="0">
      <w:start w:val="12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4">
    <w:lvl w:ilvl="0">
      <w:start w:val="13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5">
    <w:lvl w:ilvl="0">
      <w:start w:val="14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6">
    <w:lvl w:ilvl="0">
      <w:start w:val="15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0">
    <w:lvl w:ilvl="0">
      <w:start w:val="2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1">
    <w:lvl w:ilvl="0">
      <w:start w:val="3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2">
    <w:lvl w:ilvl="0">
      <w:start w:val="4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3">
    <w:lvl w:ilvl="0">
      <w:start w:val="5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4">
    <w:lvl w:ilvl="0">
      <w:start w:val="6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5">
    <w:lvl w:ilvl="0">
      <w:start w:val="7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6">
    <w:lvl w:ilvl="0">
      <w:start w:val="8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lpwstr>8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