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color w:val="2563EB"/>
        </w:rPr>
        <w:t>ДОБРОСЕРВИС Digital — One-Pager</w:t>
      </w:r>
    </w:p>
    <w:p>
      <w:pPr>
        <w:jc w:val="center"/>
      </w:pPr>
      <w:r>
        <w:rPr>
          <w:rFonts w:ascii="Calibri" w:hAnsi="Calibri"/>
          <w:color w:val="4B5563"/>
          <w:sz w:val="22"/>
        </w:rPr>
        <w:t>Резюме позиционирования · 12 марта 2026</w:t>
      </w:r>
    </w:p>
    <w:p/>
    <w:p>
      <w:pPr>
        <w:pStyle w:val="Heading1"/>
      </w:pPr>
      <w:r>
        <w:rPr>
          <w:rFonts w:ascii="Calibri" w:hAnsi="Calibri"/>
          <w:color w:val="2563EB"/>
        </w:rPr>
        <w:t>Сегменты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Сегмент</w:t>
            </w:r>
          </w:p>
        </w:tc>
        <w:tc>
          <w:tcPr>
            <w:tcW w:type="dxa" w:w="1417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ЛПР</w:t>
            </w:r>
          </w:p>
        </w:tc>
        <w:tc>
          <w:tcPr>
            <w:tcW w:type="dxa" w:w="1134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Приоритет</w:t>
            </w:r>
          </w:p>
        </w:tc>
        <w:tc>
          <w:tcPr>
            <w:tcW w:type="dxa" w:w="255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Что подтверждено</w:t>
            </w:r>
          </w:p>
        </w:tc>
        <w:tc>
          <w:tcPr>
            <w:tcW w:type="dxa" w:w="2268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Что проверяем</w:t>
            </w:r>
          </w:p>
        </w:tc>
      </w:tr>
      <w:tr>
        <w:tc>
          <w:tcPr>
            <w:tcW w:type="dxa" w:w="2268"/>
            <w:shd w:fill="ECFDF5"/>
          </w:tcPr>
          <w:p>
            <w:r>
              <w:rPr>
                <w:rFonts w:ascii="Calibri" w:hAnsi="Calibri"/>
                <w:sz w:val="18"/>
              </w:rPr>
              <w:t>Промышленность Свердловской обл., 500-1500 чел.</w:t>
            </w:r>
          </w:p>
        </w:tc>
        <w:tc>
          <w:tcPr>
            <w:tcW w:type="dxa" w:w="1417"/>
            <w:shd w:fill="ECFDF5"/>
          </w:tcPr>
          <w:p>
            <w:r>
              <w:rPr>
                <w:rFonts w:ascii="Calibri" w:hAnsi="Calibri"/>
                <w:sz w:val="18"/>
              </w:rPr>
              <w:t>PR/GR-директор</w:t>
            </w:r>
          </w:p>
        </w:tc>
        <w:tc>
          <w:tcPr>
            <w:tcW w:type="dxa" w:w="1134"/>
            <w:shd w:fill="ECFDF5"/>
          </w:tcPr>
          <w:p>
            <w:r>
              <w:rPr>
                <w:rFonts w:ascii="Calibri" w:hAnsi="Calibri"/>
                <w:sz w:val="18"/>
              </w:rPr>
              <w:t>Приоритет 1</w:t>
            </w:r>
          </w:p>
        </w:tc>
        <w:tc>
          <w:tcPr>
            <w:tcW w:type="dxa" w:w="2551"/>
            <w:shd w:fill="ECFDF5"/>
          </w:tcPr>
          <w:p>
            <w:r>
              <w:rPr>
                <w:rFonts w:ascii="Calibri" w:hAnsi="Calibri"/>
                <w:sz w:val="18"/>
              </w:rPr>
              <w:t>40-60 компаний, 0 конкурентов, GR-повод, цена под тендер</w:t>
            </w:r>
          </w:p>
        </w:tc>
        <w:tc>
          <w:tcPr>
            <w:tcW w:type="dxa" w:w="2268"/>
            <w:shd w:fill="ECFDF5"/>
          </w:tcPr>
          <w:p>
            <w:r>
              <w:rPr>
                <w:rFonts w:ascii="Calibri" w:hAnsi="Calibri"/>
                <w:sz w:val="18"/>
              </w:rPr>
              <w:t>PR/GR быстрее принимает решение чем HR</w:t>
            </w:r>
          </w:p>
        </w:tc>
      </w:tr>
      <w:tr>
        <w:tc>
          <w:tcPr>
            <w:tcW w:type="dxa" w:w="2268"/>
            <w:shd w:fill="ECFDF5"/>
          </w:tcPr>
          <w:p>
            <w:r>
              <w:rPr>
                <w:rFonts w:ascii="Calibri" w:hAnsi="Calibri"/>
                <w:sz w:val="18"/>
              </w:rPr>
              <w:t>Промышленность Свердловской обл., 500-1500 чел.</w:t>
            </w:r>
          </w:p>
        </w:tc>
        <w:tc>
          <w:tcPr>
            <w:tcW w:type="dxa" w:w="1417"/>
            <w:shd w:fill="ECFDF5"/>
          </w:tcPr>
          <w:p>
            <w:r>
              <w:rPr>
                <w:rFonts w:ascii="Calibri" w:hAnsi="Calibri"/>
                <w:sz w:val="18"/>
              </w:rPr>
              <w:t>HR-директор</w:t>
            </w:r>
          </w:p>
        </w:tc>
        <w:tc>
          <w:tcPr>
            <w:tcW w:type="dxa" w:w="1134"/>
            <w:shd w:fill="ECFDF5"/>
          </w:tcPr>
          <w:p>
            <w:r>
              <w:rPr>
                <w:rFonts w:ascii="Calibri" w:hAnsi="Calibri"/>
                <w:sz w:val="18"/>
              </w:rPr>
              <w:t>Приоритет 1</w:t>
            </w:r>
          </w:p>
        </w:tc>
        <w:tc>
          <w:tcPr>
            <w:tcW w:type="dxa" w:w="2551"/>
            <w:shd w:fill="ECFDF5"/>
          </w:tcPr>
          <w:p>
            <w:r>
              <w:rPr>
                <w:rFonts w:ascii="Calibri" w:hAnsi="Calibri"/>
                <w:sz w:val="18"/>
              </w:rPr>
              <w:t>Дефицит 100K рабочих, травматизм +14.7%, 59% расширяют well-being</w:t>
            </w:r>
          </w:p>
        </w:tc>
        <w:tc>
          <w:tcPr>
            <w:tcW w:type="dxa" w:w="2268"/>
            <w:shd w:fill="ECFDF5"/>
          </w:tcPr>
          <w:p>
            <w:r>
              <w:rPr>
                <w:rFonts w:ascii="Calibri" w:hAnsi="Calibri"/>
                <w:sz w:val="18"/>
              </w:rPr>
              <w:t>HR готов тратить при урезанном бюджете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Строительство Свердловской обл., 200-1000 чел.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Генеральный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Приоритет 2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Травматизм, низкая квалификация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ГД готов тратить на соцпрограмму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1FAE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Стратегия: A/B-тест на одних и тех же компаниях</w:t>
            </w:r>
          </w:p>
          <w:p>
            <w:r>
              <w:rPr>
                <w:rFonts w:ascii="Calibri" w:hAnsi="Calibri"/>
                <w:sz w:val="20"/>
              </w:rPr>
              <w:t>Те же самые предприятия, два разных ЛПР. Цель: первые ответы, discovery-звонки, приглашения на конференцию 24.03.</w:t>
            </w:r>
          </w:p>
        </w:tc>
      </w:tr>
    </w:tbl>
    <w:p/>
    <w:p>
      <w:pPr>
        <w:pBdr>
          <w:bottom w:val="single" w:sz="6" w:space="1" w:color="D1D5DB"/>
        </w:pBdr>
      </w:pPr>
    </w:p>
    <w:p/>
    <w:p>
      <w:pPr>
        <w:pStyle w:val="Heading1"/>
      </w:pPr>
      <w:r>
        <w:rPr>
          <w:rFonts w:ascii="Calibri" w:hAnsi="Calibri"/>
          <w:color w:val="2563EB"/>
        </w:rPr>
        <w:t>Elevator Pitches</w:t>
      </w:r>
    </w:p>
    <w:p>
      <w:r>
        <w:rPr>
          <w:rFonts w:ascii="Calibri" w:hAnsi="Calibri"/>
          <w:b/>
          <w:color w:val="4B5563"/>
          <w:sz w:val="18"/>
        </w:rPr>
        <w:t>PR/GR — однострочник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i/>
                <w:sz w:val="22"/>
              </w:rPr>
              <w:t>Готовый GR-инфоповод и соцпрограмма для сотрудников — подключение за дни, от 150 тыс./год.</w:t>
            </w:r>
          </w:p>
        </w:tc>
      </w:tr>
    </w:tbl>
    <w:p/>
    <w:p>
      <w:r>
        <w:rPr>
          <w:rFonts w:ascii="Calibri" w:hAnsi="Calibri"/>
          <w:b/>
          <w:color w:val="4B5563"/>
          <w:sz w:val="18"/>
        </w:rPr>
        <w:t>HR — однострочник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i/>
                <w:sz w:val="22"/>
              </w:rPr>
              <w:t>Цифровая программа поддержки сотрудников: 9 направлений, от 300 руб./чел./год, без тендера.</w:t>
            </w:r>
          </w:p>
        </w:tc>
      </w:tr>
    </w:tbl>
    <w:p/>
    <w:p>
      <w:r>
        <w:rPr>
          <w:rFonts w:ascii="Calibri" w:hAnsi="Calibri"/>
          <w:b/>
          <w:color w:val="4B5563"/>
          <w:sz w:val="18"/>
        </w:rPr>
        <w:t>Расширенный (PR/GR)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i/>
                <w:sz w:val="20"/>
              </w:rPr>
              <w:t>Промышленные предприятия на 500-1500 человек в регионах тратят на ДМС миллионы, но у сотрудников нет поддержки по юридическим, финансовым и психологическим вопросам. Собственную программу разработать — дорого и долго. Полноценные EAP (типа «Понимаю») стоят от 600 тыс. и требуют тендера.</w:t>
            </w:r>
          </w:p>
          <w:p>
            <w:r>
              <w:rPr>
                <w:rFonts w:ascii="Calibri" w:hAnsi="Calibri"/>
                <w:i/>
                <w:sz w:val="20"/>
              </w:rPr>
              <w:t>ДОБРОСЕРВИС Digital — полностью цифровая программа поддержки за 150-500 тыс./год. 9 направлений: робот-юрист, психолог-бот, финансовый консультант, гайды по жизненным ситуациям. Основана на 19-летней базе знаний ЕЮС — тех самых специалистов, которые обслуживают Северсталь, Газпромбанк и Ленту. Подключение за дни, без тендера. Бонус — участие в госпрограмме повышения качества труда с признанием от губернатора.</w:t>
            </w:r>
          </w:p>
        </w:tc>
      </w:tr>
    </w:tbl>
    <w:p/>
    <w:p/>
    <w:p>
      <w:pPr>
        <w:jc w:val="center"/>
      </w:pPr>
      <w:r>
        <w:rPr>
          <w:rFonts w:ascii="Calibri" w:hAnsi="Calibri"/>
          <w:color w:val="4B5563"/>
          <w:sz w:val="18"/>
        </w:rPr>
        <w:t>ДОБРОСЕРВИС Digital · FirstLeads · 12 марта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