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24 October 2026 (updated after the full re-run of 22-23 October)</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24 Oct fixes).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b/>
        </w:rPr>
        <w:t>Phase 4 asks why.</w:t>
      </w:r>
      <w:r>
        <w:t xml:space="preserve"> Exclusive pairs sit in the same biological pathway; a third of interactions change between cancer types; part of a famous </w:t>
      </w:r>
      <w:r>
        <w:rPr>
          <w:i/>
        </w:rPr>
        <w:t>KRAS</w:t>
      </w:r>
      <w:r>
        <w:t xml:space="preserve"> association is explained by smoking. It also exposed a blind spot in our own method.</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 xml:space="preserve">Searched Europe PMC (PubMed, PubMed Central and preprints), the Firecrawl research index and tool documentation between 30 Sep and 22 Oct 2026. It is a </w:t>
            </w:r>
            <w:r>
              <w:rPr>
                <w:b/>
                <w:sz w:val="20"/>
              </w:rPr>
              <w:t>narrative, single-reviewer review</w:t>
            </w:r>
            <w:r>
              <w:rPr>
                <w:sz w:val="20"/>
              </w:rPr>
              <w:t xml:space="preserve"> (not a formal systematic review) with 41 references, each checked against Europe PMC metadata. Where full text was unavailable (for example van de Haar 2019 and Scharpf 2022), claims are limited to the abstracts.</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199;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07 (</w:t>
      </w:r>
      <w:r>
        <w:rPr>
          <w:rFonts w:ascii="Menlo" w:hAnsi="Menlo" w:eastAsia="Menlo"/>
          <w:sz w:val="18"/>
        </w:rPr>
        <w:t>07_phase2_deep_dive.ipynb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07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notebooks/07_phase2_deep_dive.ipynb,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199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1.97x to 1.73x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t>9.3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i/>
          <w:color w:val="555B66"/>
          <w:sz w:val="17"/>
        </w:rPr>
        <w:t>Source files for this part:</w:t>
      </w:r>
      <w:r>
        <w:rPr>
          <w:color w:val="555B66"/>
          <w:sz w:val="17"/>
        </w:rPr>
        <w:t xml:space="preserve"> notebooks/04_phase4_insight.ipynb; git commits 7ee854f and c35130f; scripts/analyses/11_novel_insights.py and 12_burden_adjusted_retest.py.</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07: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07</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07, </w:t>
            </w:r>
            <w:r>
              <w:rPr>
                <w:rFonts w:ascii="Menlo" w:hAnsi="Menlo" w:eastAsia="Menlo"/>
                <w:sz w:val="20"/>
              </w:rPr>
              <w:t>mechanism_pairs_checked.parquet</w:t>
            </w:r>
            <w:r>
              <w:rPr>
                <w:sz w:val="20"/>
              </w:rPr>
              <w:t xml:space="preserve"> and this guide.</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notebooks/07_phase2_deep_dive.ipynb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behind each design decision (01-18); run from the repo root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 xml:space="preserve">Select that kernel and run notebooks 01 → 02 → 03 → 04 in order. The scripts in </w:t>
      </w:r>
      <w:r>
        <w:rPr>
          <w:rFonts w:ascii="Menlo" w:hAnsi="Menlo" w:eastAsia="Menlo"/>
          <w:sz w:val="18"/>
        </w:rPr>
        <w:t>scripts/analyses/</w:t>
      </w:r>
      <w:r>
        <w:t xml:space="preserve"> (the TCGA download and the null simulations take minutes to hours) feed notebook 05, which only reads their saved outputs.</w:t>
      </w:r>
    </w:p>
    <w:p>
      <w:pPr>
        <w:pStyle w:val="ListNumber"/>
        <w:spacing w:after="60"/>
        <w:numPr>
          <w:ilvl w:val="0"/>
          <w:numId w:val="14"/>
        </w:numPr>
      </w:pPr>
      <w:r>
        <w:t xml:space="preserve">Run scripts from the repo root. </w:t>
      </w:r>
      <w:r>
        <w:rPr>
          <w:rFonts w:ascii="Menlo" w:hAnsi="Menlo" w:eastAsia="Menlo"/>
          <w:sz w:val="18"/>
        </w:rPr>
        <w:t>scripts/validation/build_msk468_matrix.py</w:t>
      </w:r>
      <w:r>
        <w:t xml:space="preserve"> comes first; </w:t>
      </w:r>
      <w:r>
        <w:rPr>
          <w:rFonts w:ascii="Menlo" w:hAnsi="Menlo" w:eastAsia="Menlo"/>
          <w:sz w:val="18"/>
        </w:rPr>
        <w:t>rediscover_run.R</w:t>
      </w:r>
      <w:r>
        <w:t xml:space="preserve"> needs R and the Rediscover package.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re-run and rewritten; count fixes in README, notebook 01 and literature review; obsolete PLAN.md deleted; all committed</w:t>
            </w:r>
          </w:p>
        </w:tc>
      </w:tr>
    </w:tbl>
    <w:p>
      <w:pPr>
        <w:spacing w:after="40"/>
      </w:pPr>
    </w:p>
    <w:p>
      <w:pPr>
        <w:pStyle w:val="Heading1"/>
      </w:pPr>
      <w:r>
        <w:t>Appendix C: Key references</w:t>
      </w:r>
    </w:p>
    <w:p>
      <w:r>
        <w:rPr>
          <w:sz w:val="20"/>
        </w:rPr>
        <w:t xml:space="preserve">Full list of 41 references with DOIs is in </w:t>
      </w:r>
      <w:r>
        <w:rPr>
          <w:rFonts w:ascii="Menlo" w:hAnsi="Menlo" w:eastAsia="Menlo"/>
          <w:sz w:val="20"/>
        </w:rPr>
        <w:t>docs/literature_review.md</w:t>
      </w:r>
      <w:r>
        <w:rPr>
          <w:sz w:val="20"/>
        </w:rPr>
        <w:t>.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