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27 October 2026 (latest additions listed in the box below)</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Development paused for reading. Everything has run and is committed; numbers in this guide match the final outputs. Open items are in Part 11; repository improvements are scheduled for November.</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What's new since the first version (24 Oct)</w:t>
            </w:r>
          </w:p>
          <w:p>
            <w:pPr>
              <w:spacing w:after="60"/>
            </w:pPr>
            <w:r>
              <w:rPr>
                <w:b/>
                <w:sz w:val="20"/>
              </w:rPr>
              <w:t>•  Part 3:</w:t>
            </w:r>
            <w:r>
              <w:rPr>
                <w:b w:val="0"/>
                <w:sz w:val="20"/>
              </w:rPr>
              <w:t xml:space="preserve"> the closest recent atlas, SelectSim (Nature Genetics 2026), and corrected descriptions of van de Haar 2019 and Scharpf 2022 (checked against their full texts).</w:t>
            </w:r>
          </w:p>
          <w:p>
            <w:pPr>
              <w:spacing w:after="60"/>
            </w:pPr>
            <w:r>
              <w:rPr>
                <w:b/>
                <w:sz w:val="20"/>
              </w:rPr>
              <w:t>•  Part 9.3:</w:t>
            </w:r>
            <w:r>
              <w:rPr>
                <w:b w:val="0"/>
                <w:sz w:val="20"/>
              </w:rPr>
              <w:t xml:space="preserve"> a novelty audit -- is anything here new? (short answer: not at the driver-pair level; the distinct contribution is elsewhere).</w:t>
            </w:r>
          </w:p>
          <w:p>
            <w:pPr>
              <w:spacing w:after="60"/>
            </w:pPr>
            <w:r>
              <w:rPr>
                <w:b/>
                <w:sz w:val="20"/>
              </w:rPr>
              <w:t>•  Part 9.4:</w:t>
            </w:r>
            <w:r>
              <w:rPr>
                <w:b w:val="0"/>
                <w:sz w:val="20"/>
              </w:rPr>
              <w:t xml:space="preserve"> the publication figures, also shown inside each notebook.</w:t>
            </w:r>
          </w:p>
          <w:p>
            <w:pPr>
              <w:spacing w:after="60"/>
            </w:pPr>
            <w:r>
              <w:rPr>
                <w:b/>
                <w:sz w:val="20"/>
              </w:rPr>
              <w:t>•  Part 10.4:</w:t>
            </w:r>
            <w:r>
              <w:rPr>
                <w:b w:val="0"/>
                <w:sz w:val="20"/>
              </w:rPr>
              <w:t xml:space="preserve"> SELECT re-implemented from its published methods and added to the benchmark.</w:t>
            </w:r>
          </w:p>
          <w:p>
            <w:pPr>
              <w:spacing w:after="60"/>
            </w:pPr>
            <w:r>
              <w:rPr>
                <w:b/>
                <w:sz w:val="20"/>
              </w:rPr>
              <w:t>•  Part 10.6:</w:t>
            </w:r>
            <w:r>
              <w:rPr>
                <w:b w:val="0"/>
                <w:sz w:val="20"/>
              </w:rPr>
              <w:t xml:space="preserve"> van de Haar's mutation-load confounding check -- why the non-hypermutated split matters.</w:t>
            </w:r>
          </w:p>
          <w:p>
            <w:pPr>
              <w:spacing w:after="60"/>
            </w:pPr>
            <w:r>
              <w:rPr>
                <w:b/>
                <w:sz w:val="20"/>
              </w:rPr>
              <w:t>•  Parts 11-12:</w:t>
            </w:r>
            <w:r>
              <w:rPr>
                <w:b w:val="0"/>
                <w:sz w:val="20"/>
              </w:rPr>
              <w:t xml:space="preserve"> status, decisions, the November plan, the repository map, and the removal of individual-level GENIE data from the public repository (27 Oct).</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figures in R, organised by phase with one figure per key step (results/figures/phase1_data/ ... validation/; rebuild everything with bash scripts/figures/run_all.sh). Each notebook shows its figures right after the step they come from, with a one-line caption. Each figure is saved as a PDF for the thesis and a PNG for slides. Colours: green = co-occurring, purple = exclusive.</w:t>
      </w:r>
    </w:p>
    <w:p>
      <w:pPr>
        <w:keepNext/>
        <w:jc w:val="center"/>
      </w:pPr>
      <w:r>
        <w:drawing>
          <wp:inline xmlns:a="http://schemas.openxmlformats.org/drawingml/2006/main" xmlns:pic="http://schemas.openxmlformats.org/drawingml/2006/picture">
            <wp:extent cx="5577840" cy="2896037"/>
            <wp:docPr id="10" name="Picture 10"/>
            <wp:cNvGraphicFramePr>
              <a:graphicFrameLocks noChangeAspect="1"/>
            </wp:cNvGraphicFramePr>
            <a:graphic>
              <a:graphicData uri="http://schemas.openxmlformats.org/drawingml/2006/picture">
                <pic:pic>
                  <pic:nvPicPr>
                    <pic:cNvPr id="0" name="4.1_pathway_structure.png"/>
                    <pic:cNvPicPr/>
                  </pic:nvPicPr>
                  <pic:blipFill>
                    <a:blip r:embed="rId21"/>
                    <a:stretch>
                      <a:fillRect/>
                    </a:stretch>
                  </pic:blipFill>
                  <pic:spPr>
                    <a:xfrm>
                      <a:off x="0" y="0"/>
                      <a:ext cx="5577840" cy="2896037"/>
                    </a:xfrm>
                    <a:prstGeom prst="rect"/>
                  </pic:spPr>
                </pic:pic>
              </a:graphicData>
            </a:graphic>
          </wp:inline>
        </w:drawing>
      </w:r>
    </w:p>
    <w:p>
      <w:pPr>
        <w:jc w:val="center"/>
      </w:pPr>
      <w:r>
        <w:rPr>
          <w:color w:val="555B66"/>
          <w:sz w:val="18"/>
        </w:rPr>
        <w:t>Figure 7. Pathway structure (results/figures/phase4_biology/4.1). Genes in the same pathway avoid each other far more often than genes in different pathways.</w:t>
      </w:r>
    </w:p>
    <w:p>
      <w:pPr>
        <w:keepNext/>
        <w:jc w:val="center"/>
      </w:pPr>
      <w:r>
        <w:drawing>
          <wp:inline xmlns:a="http://schemas.openxmlformats.org/drawingml/2006/main" xmlns:pic="http://schemas.openxmlformats.org/drawingml/2006/picture">
            <wp:extent cx="5577840" cy="2436595"/>
            <wp:docPr id="11" name="Picture 11"/>
            <wp:cNvGraphicFramePr>
              <a:graphicFrameLocks noChangeAspect="1"/>
            </wp:cNvGraphicFramePr>
            <a:graphic>
              <a:graphicData uri="http://schemas.openxmlformats.org/drawingml/2006/picture">
                <pic:pic>
                  <pic:nvPicPr>
                    <pic:cNvPr id="0" name="2.6_lung_oncoprint.png"/>
                    <pic:cNvPicPr/>
                  </pic:nvPicPr>
                  <pic:blipFill>
                    <a:blip r:embed="rId22"/>
                    <a:stretch>
                      <a:fillRect/>
                    </a:stretch>
                  </pic:blipFill>
                  <pic:spPr>
                    <a:xfrm>
                      <a:off x="0" y="0"/>
                      <a:ext cx="5577840" cy="2436595"/>
                    </a:xfrm>
                    <a:prstGeom prst="rect"/>
                  </pic:spPr>
                </pic:pic>
              </a:graphicData>
            </a:graphic>
          </wp:inline>
        </w:drawing>
      </w:r>
    </w:p>
    <w:p>
      <w:pPr>
        <w:jc w:val="center"/>
      </w:pPr>
      <w:r>
        <w:rPr>
          <w:color w:val="555B66"/>
          <w:sz w:val="18"/>
        </w:rPr>
        <w:t>Figure 8. Lung cancer oncoprint (results/figures/phase2_pair_test/2.6). Each column is a patient: EGFR, KRAS and ALK/ROS1/RET fusions form a staircase -- most tumours carry only one of them.</w:t>
      </w:r>
    </w:p>
    <w:p>
      <w:r>
        <w:rPr/>
        <w:t>The full set (results/figures/):</w:t>
      </w:r>
    </w:p>
    <w:p>
      <w:pPr>
        <w:pStyle w:val="ListBullet"/>
        <w:spacing w:after="60"/>
      </w:pPr>
      <w:r>
        <w:rPr>
          <w:b/>
        </w:rPr>
        <w:t>Phase 1 (notebook 01):</w:t>
      </w:r>
      <w:r>
        <w:rPr>
          <w:b w:val="0"/>
        </w:rPr>
        <w:t xml:space="preserve"> 1.1 patient flow; 1.2 cohort by cancer type; 1.3 what panels claim vs release; 1.4 alterations per patient.</w:t>
      </w:r>
    </w:p>
    <w:p>
      <w:pPr>
        <w:pStyle w:val="ListBullet"/>
        <w:spacing w:after="60"/>
      </w:pPr>
      <w:r>
        <w:rPr>
          <w:b/>
        </w:rPr>
        <w:t>Phase 2 (notebook 02):</w:t>
      </w:r>
      <w:r>
        <w:rPr>
          <w:b w:val="0"/>
        </w:rPr>
        <w:t xml:space="preserve"> 2.1 why not Fisher; 2.2 filter funnel; 2.3 pair heatmaps; 2.4 all pairs (volcano); 2.5 fusion partners; 2.6 lung oncoprint.</w:t>
      </w:r>
    </w:p>
    <w:p>
      <w:pPr>
        <w:pStyle w:val="ListBullet"/>
        <w:spacing w:after="60"/>
      </w:pPr>
      <w:r>
        <w:rPr>
          <w:b/>
        </w:rPr>
        <w:t>Phase 3 (notebook 03):</w:t>
      </w:r>
      <w:r>
        <w:rPr>
          <w:b w:val="0"/>
        </w:rPr>
        <w:t xml:space="preserve"> 3.1 lookup example; 3.2 exact combinations; 3.3 partner prediction; 3.4 MSK vs other centres.</w:t>
      </w:r>
    </w:p>
    <w:p>
      <w:pPr>
        <w:pStyle w:val="ListBullet"/>
        <w:spacing w:after="60"/>
      </w:pPr>
      <w:r>
        <w:rPr>
          <w:b/>
        </w:rPr>
        <w:t>Phase 4 (notebook 04):</w:t>
      </w:r>
      <w:r>
        <w:rPr>
          <w:b w:val="0"/>
        </w:rPr>
        <w:t xml:space="preserve"> 4.1 pathway structure; 4.2 pairs across cancer types; 4.3 KRAS/TP53 example; 4.4 variants and smoking; 4.5 rare combinations; 4.6 copy-number burden check.</w:t>
      </w:r>
    </w:p>
    <w:p>
      <w:pPr>
        <w:pStyle w:val="ListBullet"/>
        <w:spacing w:after="60"/>
      </w:pPr>
      <w:r>
        <w:rPr>
          <w:b/>
        </w:rPr>
        <w:t>Validation (notebook 05):</w:t>
      </w:r>
      <w:r>
        <w:rPr>
          <w:b w:val="0"/>
        </w:rPr>
        <w:t xml:space="preserve"> 5.1 method benchmark; 5.2 TCGA agreement; 5.3 dN/dS route; 5.4 gene sets; 5.5 mutation-load check.</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4266622"/>
            <wp:docPr id="9" name="Picture 9"/>
            <wp:cNvGraphicFramePr>
              <a:graphicFrameLocks noChangeAspect="1"/>
            </wp:cNvGraphicFramePr>
            <a:graphic>
              <a:graphicData uri="http://schemas.openxmlformats.org/drawingml/2006/picture">
                <pic:pic>
                  <pic:nvPicPr>
                    <pic:cNvPr id="0" name="5.1_method_benchmark.png"/>
                    <pic:cNvPicPr/>
                  </pic:nvPicPr>
                  <pic:blipFill>
                    <a:blip r:embed="rId20"/>
                    <a:stretch>
                      <a:fillRect/>
                    </a:stretch>
                  </pic:blipFill>
                  <pic:spPr>
                    <a:xfrm>
                      <a:off x="0" y="0"/>
                      <a:ext cx="5577840" cy="4266622"/>
                    </a:xfrm>
                    <a:prstGeom prst="rect"/>
                  </pic:spPr>
                </pic:pic>
              </a:graphicData>
            </a:graphic>
          </wp:inline>
        </w:drawing>
      </w:r>
    </w:p>
    <w:p>
      <w:pPr>
        <w:jc w:val="center"/>
      </w:pPr>
      <w:r>
        <w:rPr>
          <w:color w:val="555B66"/>
          <w:sz w:val="18"/>
        </w:rPr>
        <w:t>Figure 6. Method benchmark (results/figures/validation/5.1). Top: p-values on data with no real links (flat = honest). Bottom: false positives and replication in TCGA for each method.</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p>
      <w:pPr>
        <w:pStyle w:val="Heading2"/>
      </w:pPr>
      <w:r>
        <w:t>10.6  Mutation-load confounding: van de Haar's diagnostic</w:t>
      </w:r>
    </w:p>
    <w:p>
      <w:r>
        <w:rPr>
          <w:rFonts w:ascii="Menlo" w:hAnsi="Menlo" w:eastAsia="Menlo"/>
          <w:sz w:val="18"/>
        </w:rPr>
        <w:t>21_mutation_load_confounding.py</w:t>
      </w:r>
      <w:r>
        <w:t xml:space="preserve"> runs the check van de Haar et al. (2019) used to show that most published mutual exclusivity is confounded by mutation load. Each gene gets a mutation load association (MLA): is it altered more in low-load or high-load tumours? On exome data, every method they tested called far more exclusive pairs for low-MLA genes (correlation r = -0.60 to -0.87).</w:t>
      </w:r>
    </w:p>
    <w:p>
      <w:pPr>
        <w:pStyle w:val="ListBullet"/>
        <w:spacing w:after="60"/>
      </w:pPr>
      <w:r>
        <w:rPr>
          <w:b/>
        </w:rPr>
        <w:t xml:space="preserve">Not seen on GENIE panels in our design. </w:t>
      </w:r>
      <w:r>
        <w:rPr>
          <w:b w:val="0"/>
        </w:rPr>
        <w:t>With non-hypermutated tumours only, the correlation is slightly positive for every method (Fisher +0.09, DISCOVER-style +0.19, SELECT +0.07, ours +0.13).</w:t>
      </w:r>
    </w:p>
    <w:p>
      <w:pPr>
        <w:pStyle w:val="ListBullet"/>
        <w:spacing w:after="60"/>
      </w:pPr>
      <w:r>
        <w:rPr>
          <w:b/>
        </w:rPr>
        <w:t xml:space="preserve">A weak version appears once hypermutated tumours are included </w:t>
      </w:r>
      <w:r>
        <w:rPr>
          <w:b w:val="0"/>
        </w:rPr>
        <w:t>(Fisher -0.24, ours -0.23): our test alone does not remove it.</w:t>
      </w:r>
    </w:p>
    <w:p>
      <w:pPr>
        <w:pStyle w:val="ListBullet"/>
        <w:spacing w:after="60"/>
      </w:pPr>
      <w:r>
        <w:rPr>
          <w:b/>
        </w:rPr>
        <w:t xml:space="preserve">So the split removes it. </w:t>
      </w:r>
      <w:r>
        <w:rPr>
          <w:b w:val="0"/>
        </w:rPr>
        <w:t>Analysing non-hypermutated tumours separately (Prof. Wong's suggestion) is what protects against load confounding; the conditional test protects calibration. They fix different problems, which is why the design keeps both.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Mutation-load confounding (van de Haar) is removed by analysing non-hypermutated tumours separately, not by the choice of test.</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and 21_*.py,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SELECT re-implemented from its methods (26 Oct); results in Part 10</w:t>
            </w:r>
            <w:r>
              <w:rPr>
                <w:rFonts w:ascii="Menlo" w:hAnsi="Menlo" w:eastAsia="Menlo"/>
                <w:sz w:val="18"/>
              </w:rPr>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42 references; key papers checked against full text (26 Oct)</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figure per key step, organised by phase and shown in each notebook;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new driver pair survives; full agreement in direction with SelectSim</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Mutation-load check (21)</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load confounding in the non-hypermutated design (Part 10.6)</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Data privacy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Fixed 27 Oct</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Repository improvements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Planned, November</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Tests, automatic checks, Phase 2 functions as a module, shorter README, release tag</w:t>
            </w:r>
          </w:p>
        </w:tc>
      </w:tr>
    </w:tbl>
    <w:p>
      <w:pPr>
        <w:spacing w:after="40"/>
      </w:pPr>
    </w:p>
    <w:p>
      <w:pPr>
        <w:pStyle w:val="Heading2"/>
      </w:pPr>
      <w:r>
        <w:t>11.2  Decisions that need Prof. Wong's view</w:t>
      </w:r>
    </w:p>
    <w:p>
      <w:pPr>
        <w:pStyle w:val="ListNumber"/>
        <w:spacing w:after="60"/>
        <w:numPr>
          <w:ilvl w:val="0"/>
          <w:numId w:val="12"/>
        </w:numPr>
      </w:pPr>
      <w:r>
        <w:rPr>
          <w:b/>
        </w:rPr>
        <w:t>Positioning against SelectSim</w:t>
      </w:r>
      <w:r>
        <w:rPr>
          <w:b w:val="0"/>
        </w:rPr>
        <w:t xml:space="preserve"> (Nature Genetics 2026), which covers mutation-driven pairs in MSK and DFCI: should the thesis lead with what it does not cover -- copy-number and fusion partners, all-centre panel-aware statistics, artefact audits and the tool?</w:t>
      </w:r>
    </w:p>
    <w:p>
      <w:pPr>
        <w:pStyle w:val="ListNumber"/>
        <w:spacing w:after="60"/>
        <w:numPr>
          <w:ilvl w:val="0"/>
          <w:numId w:val="12"/>
        </w:numPr>
      </w:pPr>
      <w:r>
        <w:rPr>
          <w:b/>
        </w:rPr>
        <w:t>Main analysis = non-hypermutated patients.</w:t>
      </w:r>
      <w:r>
        <w:rPr>
          <w:b w:val="0"/>
        </w:rPr>
        <w:t xml:space="preserve"> Agree that hypermutated tumours are reported descriptively only? (Replication and the mutation-load check both support it.)</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p>
            <w:pPr>
              <w:spacing w:after="60"/>
            </w:pPr>
            <w:r>
              <w:rPr>
                <w:sz w:val="20"/>
              </w:rPr>
              <w:t>•  A first, simplified “SELECT-style” score was withdrawn on 26 Oct because it was not SELECT; the benchmark now uses a faithful re-implementation (Part 10.4).</w:t>
            </w:r>
          </w:p>
          <w:p>
            <w:pPr>
              <w:spacing w:after="60"/>
            </w:pPr>
            <w:r>
              <w:rPr>
                <w:sz w:val="20"/>
              </w:rPr>
              <w:t>•  The repository history was rewritten on 27 Oct to remove individual-level GENIE data, so every commit hash changed; notes written before then cite the old hashes.</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six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November: repository improvements as small weekly commits (tests, automatic checks, Phase 2 functions moved into a module, README quick start, release tag at submission).</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 README.md (Status), docs/supervisor_summary.md, git log and status of 27 Oct 2026, results/logs/.</w:t>
      </w:r>
      <w:r>
        <w:rPr>
          <w:color w:val="555B66"/>
          <w:sz w:val="17"/>
        </w:rPr>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Tables produced by the notebooks and scripts; aggregate tables are tracked, individual-level ones (clinical_tidy, alterations_long, putative_biallelic_tsg_events) are not</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 script per phase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by phase (phase1_data/ ... validation/), one per key step, PDF and PNG; tracked in git; each is shown in its notebook at the step it comes from</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hypermutated / ultramutated</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TMB 10-100 / TMB &gt;= 100 mutations per million DNA letters (usually mismatch-repair or POLE defects); analysed separately / excluded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interaction candidate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significant pair (q &lt; 0.05) that is not explained by one shared copy-number event</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curveball shuffle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randomisation that swaps alterations between pairs of tumours while keeping every tumour's and every gene's count; used to make data with no real links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effect size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far an observed pattern is from what chance predicts (here observed/expected; for SELECT, weighted mutual information above its null)</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empirical FDR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false discovery rate estimated by counting how many calls the method makes on shuffled data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Mina et al. 2017: scores pairs by weighted mutual information against a shuffled null; re-implemented here for the benchmark</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SelectSim</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Iyer et al. 2026: the closest recent co-mutation atlas (GENIE MSK + DFCI and TCGA, mutations only)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MLA (mutation load association)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van de Haar 2019: does a gene tend to be altered in low-load or high-load tumours? Strongly negative values signal load confounding</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Checking every robust pair against the literature and the SelectSim atlas before calling anything new</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oncoprint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grid with genes as rows and patients as columns, coloured by alteration type; shows exclusivity as a staircase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UpSet plot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bar chart of how many patients carry each exact combination of alterations</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27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 notebook 01 shows table schemas instead of rows; this guide updated; development paused for reading</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