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25 October 2026 (adds R figures, a novelty screen and a comparison with the SelectSim atlas)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25 Oct additions).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92e8234).</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92e8234).</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Where full text was unavailable (for example van de Haar 2019 and Scharpf 2022), claims are limited to the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borrowed: ranks no better than p-values (Part 10);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 published exclusivity is explained by subtype and mutation load, not pathways</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model adjusting for TMB and signatures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 xml:space="preserve">Same database, same concern with mutation load. </w:t>
            </w:r>
            <w:r>
              <w:rPr>
                <w:b/>
                <w:sz w:val="20"/>
              </w:rPr>
              <w:t>Differences:</w:t>
            </w:r>
            <w:r>
              <w:rPr>
                <w:sz w:val="20"/>
              </w:rPr>
              <w:t xml:space="preserve"> it covers RAS genes only; it models mutation load with a Bayesian model rather than an exact conditional test; it does not correct copy-number or panel-testing gaps; and it offers no lookup tool.</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199;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92e8234),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92e8234)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199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1.97x to 1.73x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7ee854f and c35130f; scripts/analyses/11_novel_insights.py and 12_burden_adjusted_retest.py;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t xml:space="preserve"> ran each family on </w:t>
      </w:r>
      <w:r>
        <w:rPr>
          <w:b/>
        </w:rPr>
        <w:t>identical patients and pairs</w:t>
      </w:r>
      <w:r>
        <w:t xml:space="preserve"> (9 cancer types, 2,553 pairs, panels covering every gene used) and scored it two ways: false positives on null data that keep every patient's alteration count and every gene's frequency but destroy gene-gene links, and replication of each method's significant calls in TCGA.</w:t>
      </w:r>
    </w:p>
    <w:p>
      <w:pPr>
        <w:keepNext/>
        <w:jc w:val="center"/>
      </w:pPr>
      <w:r>
        <w:drawing>
          <wp:inline xmlns:a="http://schemas.openxmlformats.org/drawingml/2006/main" xmlns:pic="http://schemas.openxmlformats.org/drawingml/2006/picture">
            <wp:extent cx="5580000" cy="2087504"/>
            <wp:docPr id="6" name="Picture 6"/>
            <wp:cNvGraphicFramePr>
              <a:graphicFrameLocks noChangeAspect="1"/>
            </wp:cNvGraphicFramePr>
            <a:graphic>
              <a:graphicData uri="http://schemas.openxmlformats.org/drawingml/2006/picture">
                <pic:pic>
                  <pic:nvPicPr>
                    <pic:cNvPr id="0" name="fig7_benchmark.png"/>
                    <pic:cNvPicPr/>
                  </pic:nvPicPr>
                  <pic:blipFill>
                    <a:blip r:embed="rId16"/>
                    <a:stretch>
                      <a:fillRect/>
                    </a:stretch>
                  </pic:blipFill>
                  <pic:spPr>
                    <a:xfrm>
                      <a:off x="0" y="0"/>
                      <a:ext cx="5580000" cy="2087504"/>
                    </a:xfrm>
                    <a:prstGeom prst="rect"/>
                  </pic:spPr>
                </pic:pic>
              </a:graphicData>
            </a:graphic>
          </wp:inline>
        </w:drawing>
      </w:r>
    </w:p>
    <w:p>
      <w:pPr>
        <w:jc w:val="center"/>
      </w:pPr>
      <w:r>
        <w:rPr>
          <w:color w:val="555B66"/>
          <w:sz w:val="18"/>
        </w:rPr>
        <w:t>Figure 6. Left: share of null pairs called at p &lt; 0.05 (target 5%). Right: share of each method's significant calls that replicate in TCGA.</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t>Only the conditional test is calibrated.</w:t>
      </w:r>
      <w:r>
        <w:t xml:space="preserve"> Fisher over-calls; the DISCOVER-style plug-in is worst, with 18% of null pairs surviving FDR, all as false exclusivity.</w:t>
      </w:r>
    </w:p>
    <w:p>
      <w:pPr>
        <w:pStyle w:val="ListBullet"/>
        <w:spacing w:after="60"/>
      </w:pPr>
      <w:r>
        <w:rPr>
          <w:b/>
        </w:rPr>
        <w:t>Its calls replicate best</w:t>
      </w:r>
      <w:r>
        <w:t xml:space="preserve"> (37% vs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t>SELECT-style weighted information</w:t>
      </w:r>
      <w:r>
        <w:t xml:space="preserve"> ranks worst beyond the top 50: a score without a load-aware null does not separate interactions from gene frequency.</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xml:space="preserve">•  </w:t>
            </w:r>
            <w:r>
              <w:rPr>
                <w:b/>
                <w:sz w:val="20"/>
              </w:rPr>
              <w:t>Borrowed but not adopted:</w:t>
            </w:r>
            <w:r>
              <w:rPr>
                <w:sz w:val="20"/>
              </w:rPr>
              <w:t xml:space="preserve"> shrinkage (small gain, blurs specificity) and SELECT-style ranking (no better than p-values).</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 new driver pair survives; full agreement in direction with SelectSim</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92e8234</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behind each design decision (01-18); run from the repo root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 xml:space="preserve">Select that kernel and run notebooks 01 → 02 → 03 → 04 in order. The scripts in </w:t>
      </w:r>
      <w:r>
        <w:rPr>
          <w:rFonts w:ascii="Menlo" w:hAnsi="Menlo" w:eastAsia="Menlo"/>
          <w:sz w:val="18"/>
        </w:rPr>
        <w:t>scripts/analyses/</w:t>
      </w:r>
      <w:r>
        <w:t xml:space="preserve"> (the TCGA download and the null simulations take minutes to hours) feed notebook 05, which only reads their saved outputs.</w:t>
      </w:r>
    </w:p>
    <w:p>
      <w:pPr>
        <w:pStyle w:val="ListNumber"/>
        <w:spacing w:after="60"/>
        <w:numPr>
          <w:ilvl w:val="0"/>
          <w:numId w:val="14"/>
        </w:numPr>
      </w:pPr>
      <w:r>
        <w:t xml:space="preserve">Run scripts from the repo root. </w:t>
      </w:r>
      <w:r>
        <w:rPr>
          <w:rFonts w:ascii="Menlo" w:hAnsi="Menlo" w:eastAsia="Menlo"/>
          <w:sz w:val="18"/>
        </w:rPr>
        <w:t>scripts/validation/build_msk468_matrix.py</w:t>
      </w:r>
      <w:r>
        <w:t xml:space="preserve"> comes first; </w:t>
      </w:r>
      <w:r>
        <w:rPr>
          <w:rFonts w:ascii="Menlo" w:hAnsi="Menlo" w:eastAsia="Menlo"/>
          <w:sz w:val="18"/>
        </w:rPr>
        <w:t>rediscover_run.R</w:t>
      </w:r>
      <w:r>
        <w:t xml:space="preserve"> needs R and the Rediscover package.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10a5c99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92e8234)</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06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comparison with the SelectSim atlas; this guide updated</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