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25 October 2026 (adds R figures, a novelty screen and a comparison with the SelectSim atlas)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Everything has finished running and is committed (including the 25 Oct additions). Numbers in this guide match the final outputs. Open items are listed in Part 11.</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(05)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92e8234).</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92e8234).</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Where full text was unavailable (for example van de Haar 2019 and Scharpf 2022), claims are limited to the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borrowed: ranks no better than p-values (Part 10);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 published exclusivity is explained by subtype and mutation load, not pathways</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model adjusting for TMB and signatures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 xml:space="preserve">Same database, same concern with mutation load. </w:t>
            </w:r>
            <w:r>
              <w:rPr>
                <w:b/>
                <w:sz w:val="20"/>
              </w:rPr>
              <w:t>Differences:</w:t>
            </w:r>
            <w:r>
              <w:rPr>
                <w:sz w:val="20"/>
              </w:rPr>
              <w:t xml:space="preserve"> it covers RAS genes only; it models mutation load with a Bayesian model rather than an exact conditional test; it does not correct copy-number or panel-testing gaps; and it offers no lookup tool.</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201;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92e8234),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92e8234)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w:t>
      </w:r>
      <w:r>
        <w:t xml:space="preserve"> </w:t>
      </w:r>
      <w:r>
        <w:rPr>
          <w:rFonts w:ascii="Menlo" w:hAnsi="Menlo" w:eastAsia="Menlo"/>
          <w:sz w:val="18"/>
        </w:rPr>
        <w:t>notebooks/02_phase2_comutation_matrix.ipynb</w:t>
      </w:r>
      <w:r>
        <w:t xml:space="preserve">   </w:t>
      </w:r>
      <w:r>
        <w:rPr>
          <w:b/>
        </w:rPr>
        <w:t>Output:</w:t>
      </w:r>
      <w:r>
        <w:t xml:space="preserve"> </w:t>
      </w:r>
      <w:r>
        <w:rPr>
          <w:rFonts w:ascii="Menlo" w:hAnsi="Menlo" w:eastAsia="Menlo"/>
          <w:sz w:val="18"/>
        </w:rPr>
        <w:t>comutation_pairs.parquet</w:t>
      </w:r>
      <w:r>
        <w:t xml:space="preserve"> and companions</w:t>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 xml:space="preserve">A small q-value says </w:t>
      </w:r>
      <w:r>
        <w:rPr>
          <w:i/>
        </w:rPr>
        <w:t>not chance</w:t>
      </w:r>
      <w:r>
        <w:t xml:space="preserve">. It does not say </w:t>
      </w:r>
      <w:r>
        <w:rPr>
          <w:i/>
        </w:rPr>
        <w:t>gene-gene interaction</w:t>
      </w:r>
      <w:r>
        <w:t>. Notebook 06 (</w:t>
      </w:r>
      <w:r>
        <w:rPr>
          <w:rFonts w:ascii="Menlo" w:hAnsi="Menlo" w:eastAsia="Menlo"/>
          <w:sz w:val="18"/>
        </w:rPr>
        <w:t>06_phase2_deep_dive.ipynb</w:t>
      </w:r>
      <w:r>
        <w:t>, re-run on the final Phase 2 outputs on 24 Oct) re-examines all 687 significant cross-mechanism hits (313 co-occurring, 374 exclusive) for four other explanations. Its headline findings:</w:t>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notebooks/06_phase2_deep_dive.ipynb,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201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2.00x to 1.74x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All results are drawn as publication figures in R (scripts/figures/; rebuild everything with bash scripts/figures/run_all.sh). Each is saved as a vector PDF for the thesis and a 300-dpi PNG for slides in results/figures/. Figure types follow the co-mutation literature (GENIE 2017, DISCOVER, maftools, Sanchez-Vega 2018, Park &amp; Lehner 2015, van de Haar 2019, SelectSim 2026). Colours: green = co-occurring, purple = exclusive. Each notebook also shows its own figures in a “Publication figures” section just before its Discussion: Fig 1 in notebook 01; Fig 3 and S1 in 02; Fig 6 and S2 in 03; Figs 4, 5 and S4 in 04; Fig 2, S3, S5 and S6 in 05.</w:t>
      </w:r>
    </w:p>
    <w:p>
      <w:pPr>
        <w:keepNext/>
        <w:jc w:val="center"/>
      </w:pPr>
      <w:r>
        <w:drawing>
          <wp:inline xmlns:a="http://schemas.openxmlformats.org/drawingml/2006/main" xmlns:pic="http://schemas.openxmlformats.org/drawingml/2006/picture">
            <wp:extent cx="5577840" cy="6096649"/>
            <wp:docPr id="7" name="Picture 7"/>
            <wp:cNvGraphicFramePr>
              <a:graphicFrameLocks noChangeAspect="1"/>
            </wp:cNvGraphicFramePr>
            <a:graphic>
              <a:graphicData uri="http://schemas.openxmlformats.org/drawingml/2006/picture">
                <pic:pic>
                  <pic:nvPicPr>
                    <pic:cNvPr id="0" name="fig4_biology.png"/>
                    <pic:cNvPicPr/>
                  </pic:nvPicPr>
                  <pic:blipFill>
                    <a:blip r:embed="rId17"/>
                    <a:stretch>
                      <a:fillRect/>
                    </a:stretch>
                  </pic:blipFill>
                  <pic:spPr>
                    <a:xfrm>
                      <a:off x="0" y="0"/>
                      <a:ext cx="5577840" cy="6096649"/>
                    </a:xfrm>
                    <a:prstGeom prst="rect"/>
                  </pic:spPr>
                </pic:pic>
              </a:graphicData>
            </a:graphic>
          </wp:inline>
        </w:drawing>
      </w:r>
    </w:p>
    <w:p>
      <w:pPr>
        <w:jc w:val="center"/>
      </w:pPr>
      <w:r>
        <w:rPr>
          <w:color w:val="555B66"/>
          <w:sz w:val="18"/>
        </w:rPr>
        <w:t>Figure 7. Biology (Figure 4 of the figure set). a, share of tested pairs that are candidates within and between the 10 Sanchez-Vega pathways; b, exclusivity is pathway-bound (35% vs 14%); c, the same pair across cancer types, reversing vs universal; d, copy-number burden check for the 25 copy-number-driven pairs.</w:t>
      </w:r>
    </w:p>
    <w:p>
      <w:pPr>
        <w:keepNext/>
        <w:jc w:val="center"/>
      </w:pPr>
      <w:r>
        <w:drawing>
          <wp:inline xmlns:a="http://schemas.openxmlformats.org/drawingml/2006/main" xmlns:pic="http://schemas.openxmlformats.org/drawingml/2006/picture">
            <wp:extent cx="5577840" cy="5792074"/>
            <wp:docPr id="8" name="Picture 8"/>
            <wp:cNvGraphicFramePr>
              <a:graphicFrameLocks noChangeAspect="1"/>
            </wp:cNvGraphicFramePr>
            <a:graphic>
              <a:graphicData uri="http://schemas.openxmlformats.org/drawingml/2006/picture">
                <pic:pic>
                  <pic:nvPicPr>
                    <pic:cNvPr id="0" name="fig5_fusions_alleles.png"/>
                    <pic:cNvPicPr/>
                  </pic:nvPicPr>
                  <pic:blipFill>
                    <a:blip r:embed="rId18"/>
                    <a:stretch>
                      <a:fillRect/>
                    </a:stretch>
                  </pic:blipFill>
                  <pic:spPr>
                    <a:xfrm>
                      <a:off x="0" y="0"/>
                      <a:ext cx="5577840" cy="5792074"/>
                    </a:xfrm>
                    <a:prstGeom prst="rect"/>
                  </pic:spPr>
                </pic:pic>
              </a:graphicData>
            </a:graphic>
          </wp:inline>
        </w:drawing>
      </w:r>
    </w:p>
    <w:p>
      <w:pPr>
        <w:jc w:val="center"/>
      </w:pPr>
      <w:r>
        <w:rPr>
          <w:color w:val="555B66"/>
          <w:sz w:val="18"/>
        </w:rPr>
        <w:t>Figure 8. Fusions and variants (Figure 5 of the figure set). a, lung cancer oncoprint: EGFR, KRAS and ALK/ROS1/RET fusions form a staircase of mutual exclusivity; b, fusion partners per cancer type; c, KRAS variant partners before and after adjusting for the smoking signature.</w:t>
      </w:r>
    </w:p>
    <w:p>
      <w:r>
        <w:rPr/>
        <w:t>The full set (results/figures/):</w:t>
      </w:r>
    </w:p>
    <w:p>
      <w:pPr>
        <w:pStyle w:val="ListBullet"/>
        <w:spacing w:after="60"/>
      </w:pPr>
      <w:r>
        <w:rPr>
          <w:b/>
        </w:rPr>
        <w:t>Fig 1 Data:</w:t>
      </w:r>
      <w:r>
        <w:rPr/>
        <w:t xml:space="preserve"> patient flow; cohort by centre; panel metadata vs released data; alterations per patient.</w:t>
      </w:r>
    </w:p>
    <w:p>
      <w:pPr>
        <w:pStyle w:val="ListBullet"/>
        <w:spacing w:after="60"/>
      </w:pPr>
      <w:r>
        <w:rPr>
          <w:b/>
        </w:rPr>
        <w:t>Fig 2 Can the test be trusted?</w:t>
      </w:r>
      <w:r>
        <w:rPr/>
        <w:t xml:space="preserve"> null p-value histograms; head-to-head benchmark; GENIE vs TCGA effects.</w:t>
      </w:r>
    </w:p>
    <w:p>
      <w:pPr>
        <w:pStyle w:val="ListBullet"/>
        <w:spacing w:after="60"/>
      </w:pPr>
      <w:r>
        <w:rPr>
          <w:b/>
        </w:rPr>
        <w:t>Fig 3 Landscape:</w:t>
      </w:r>
      <w:r>
        <w:rPr/>
        <w:t xml:space="preserve"> triangle heatmaps (lung, breast, colorectal); volcano of all 6,697 pairs; lung interaction network.</w:t>
      </w:r>
    </w:p>
    <w:p>
      <w:pPr>
        <w:pStyle w:val="ListBullet"/>
        <w:spacing w:after="60"/>
      </w:pPr>
      <w:r>
        <w:rPr>
          <w:b/>
        </w:rPr>
        <w:t>Fig 4 Biology</w:t>
      </w:r>
      <w:r>
        <w:rPr/>
        <w:t xml:space="preserve"> and </w:t>
      </w:r>
      <w:r>
        <w:rPr>
          <w:b/>
        </w:rPr>
        <w:t>Fig 5 Fusions and variants</w:t>
      </w:r>
      <w:r>
        <w:rPr/>
        <w:t xml:space="preserve"> (shown above).</w:t>
      </w:r>
    </w:p>
    <w:p>
      <w:pPr>
        <w:pStyle w:val="ListBullet"/>
        <w:spacing w:after="60"/>
      </w:pPr>
      <w:r>
        <w:rPr>
          <w:b/>
        </w:rPr>
        <w:t>Fig 6 The tool:</w:t>
      </w:r>
      <w:r>
        <w:rPr/>
        <w:t xml:space="preserve"> KRAS G12C partners; partner prediction vs base rates; MSK vs other-centre frequencies.</w:t>
      </w:r>
    </w:p>
    <w:p>
      <w:pPr>
        <w:pStyle w:val="ListBullet"/>
        <w:spacing w:after="60"/>
      </w:pPr>
      <w:r>
        <w:rPr>
          <w:b/>
        </w:rPr>
        <w:t>S1-S6:</w:t>
      </w:r>
      <w:r>
        <w:rPr/>
        <w:t xml:space="preserve"> filter funnel; UpSet of lung drivers; KRAS/TP53 forest plot; rare combinations; dN/dS route; exclusive gene sets.</w:t>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d040be9 and 507ace8; scripts/analyses/12_burden_adjusted_retest.py (script 11, the first check, is retired);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 xml:space="preserve">All results of this part are collected in </w:t>
      </w:r>
      <w:r>
        <w:rPr>
          <w:rFonts w:ascii="Menlo" w:hAnsi="Menlo" w:eastAsia="Menlo"/>
          <w:sz w:val="18"/>
        </w:rPr>
        <w:t>notebooks/05_validation_and_methods.ipynb</w:t>
      </w:r>
      <w:r>
        <w:t xml:space="preserve">. </w:t>
      </w:r>
      <w:r>
        <w:rPr>
          <w:rFonts w:ascii="Menlo" w:hAnsi="Menlo" w:eastAsia="Menlo"/>
          <w:sz w:val="18"/>
        </w:rPr>
        <w:t>scripts/analyses/14_tcga_external_validation.py</w:t>
      </w:r>
      <w:r>
        <w:t xml:space="preserve"> re-tests the same pairs, with the same test, in the TCGA PanCancer Atlas (independent patients, whole-exome sequencing, different centres and calling pipelines, non-hypermutated). Phase 1 rules were applied as closely as the data allow.</w:t>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t xml:space="preserve"> ran each family on </w:t>
      </w:r>
      <w:r>
        <w:rPr>
          <w:b/>
        </w:rPr>
        <w:t>identical patients and pairs</w:t>
      </w:r>
      <w:r>
        <w:t xml:space="preserve"> (9 cancer types, 2,553 pairs, panels covering every gene used) and scored it two ways: false positives on null data that keep every patient's alteration count and every gene's frequency but destroy gene-gene links, and replication of each method's significant calls in TCGA.</w:t>
      </w:r>
    </w:p>
    <w:p>
      <w:pPr>
        <w:keepNext/>
        <w:jc w:val="center"/>
      </w:pPr>
      <w:r>
        <w:drawing>
          <wp:inline xmlns:a="http://schemas.openxmlformats.org/drawingml/2006/main" xmlns:pic="http://schemas.openxmlformats.org/drawingml/2006/picture">
            <wp:extent cx="5580000" cy="2087504"/>
            <wp:docPr id="6" name="Picture 6"/>
            <wp:cNvGraphicFramePr>
              <a:graphicFrameLocks noChangeAspect="1"/>
            </wp:cNvGraphicFramePr>
            <a:graphic>
              <a:graphicData uri="http://schemas.openxmlformats.org/drawingml/2006/picture">
                <pic:pic>
                  <pic:nvPicPr>
                    <pic:cNvPr id="0" name="fig7_benchmark.png"/>
                    <pic:cNvPicPr/>
                  </pic:nvPicPr>
                  <pic:blipFill>
                    <a:blip r:embed="rId16"/>
                    <a:stretch>
                      <a:fillRect/>
                    </a:stretch>
                  </pic:blipFill>
                  <pic:spPr>
                    <a:xfrm>
                      <a:off x="0" y="0"/>
                      <a:ext cx="5580000" cy="2087504"/>
                    </a:xfrm>
                    <a:prstGeom prst="rect"/>
                  </pic:spPr>
                </pic:pic>
              </a:graphicData>
            </a:graphic>
          </wp:inline>
        </w:drawing>
      </w:r>
    </w:p>
    <w:p>
      <w:pPr>
        <w:jc w:val="center"/>
      </w:pPr>
      <w:r>
        <w:rPr>
          <w:color w:val="555B66"/>
          <w:sz w:val="18"/>
        </w:rPr>
        <w:t>Figure 6. Left: share of null pairs called at p &lt; 0.05 (target 5%). Right: share of each method's significant calls that replicate in TCGA.</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t>Only the conditional test is calibrated.</w:t>
      </w:r>
      <w:r>
        <w:t xml:space="preserve"> Fisher over-calls; the DISCOVER-style plug-in is worst, with 18% of null pairs surviving FDR, all as false exclusivity.</w:t>
      </w:r>
    </w:p>
    <w:p>
      <w:pPr>
        <w:pStyle w:val="ListBullet"/>
        <w:spacing w:after="60"/>
      </w:pPr>
      <w:r>
        <w:rPr>
          <w:b/>
        </w:rPr>
        <w:t>Its calls replicate best</w:t>
      </w:r>
      <w:r>
        <w:t xml:space="preserve"> (37% vs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t>SELECT-style weighted information</w:t>
      </w:r>
      <w:r>
        <w:t xml:space="preserve"> ranks worst beyond the top 50: a score without a load-aware null does not separate interactions from gene frequency.</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xml:space="preserve">•  </w:t>
            </w:r>
            <w:r>
              <w:rPr>
                <w:b/>
                <w:sz w:val="20"/>
              </w:rPr>
              <w:t>Borrowed but not adopted:</w:t>
            </w:r>
            <w:r>
              <w:rPr>
                <w:sz w:val="20"/>
              </w:rPr>
              <w:t xml:space="preserve"> shrinkage (small gain, blurs specificity) and SELECT-style ranking (no better than p-values).</w:t>
            </w:r>
          </w:p>
          <w:p>
            <w:pPr>
              <w:spacing w:after="60"/>
            </w:pPr>
            <w:r>
              <w:rPr>
                <w:sz w:val="20"/>
              </w:rPr>
              <w:t xml:space="preserve">All tables of this part are reproduced in </w:t>
            </w:r>
            <w:r>
              <w:rPr>
                <w:rFonts w:ascii="Menlo" w:hAnsi="Menlo" w:eastAsia="Menlo"/>
                <w:sz w:val="20"/>
              </w:rPr>
              <w:t>notebooks/05_validation_and_methods.ipynb</w:t>
            </w:r>
            <w:r>
              <w:rPr>
                <w:sz w:val="20"/>
              </w:rPr>
              <w:t>.</w:t>
            </w:r>
          </w:p>
        </w:tc>
      </w:tr>
    </w:tbl>
    <w:p>
      <w:pPr>
        <w:spacing w:after="40"/>
      </w:pPr>
    </w:p>
    <w:p>
      <w:pPr>
        <w:spacing w:before="120"/>
      </w:pPr>
      <w:r>
        <w:rPr>
          <w:i/>
          <w:color w:val="555B66"/>
          <w:sz w:val="17"/>
        </w:rPr>
        <w:t>Source files for this part:</w:t>
      </w:r>
      <w:r>
        <w:rPr>
          <w:color w:val="555B66"/>
          <w:sz w:val="17"/>
        </w:rPr>
        <w:t xml:space="preserve"> notebooks/05_validation_and_methods.ipynb, results/logs/15-17 logs, scripts/analyses/14-18_*.py,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validation and methods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Collects TCGA validation, benchmark, gene sets, dN/dS, shrinkage, burden, fusions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Results in Part 10; logs in </w:t>
            </w:r>
            <w:r>
              <w:rPr>
                <w:rFonts w:ascii="Menlo" w:hAnsi="Menlo" w:eastAsia="Menlo"/>
                <w:sz w:val="18"/>
              </w:rPr>
              <w:t>results/logs/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Placeholders filled; 41 references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06: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6 main + 6 supplementary;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 new driver pair survives; full agreement in direction with SelectSim</w:t>
            </w:r>
          </w:p>
        </w:tc>
      </w:tr>
    </w:tbl>
    <w:p>
      <w:pPr>
        <w:spacing w:after="40"/>
      </w:pPr>
    </w:p>
    <w:p>
      <w:pPr>
        <w:pStyle w:val="Heading2"/>
      </w:pPr>
      <w:r>
        <w:t>11.2  Decisions that need Prof. Wong's view</w:t>
      </w:r>
    </w:p>
    <w:p>
      <w:pPr>
        <w:pStyle w:val="ListNumber"/>
        <w:spacing w:after="60"/>
        <w:numPr>
          <w:ilvl w:val="0"/>
          <w:numId w:val="12"/>
        </w:numPr>
      </w:pPr>
      <w:r>
        <w:rPr>
          <w:b/>
        </w:rPr>
        <w:t>Main analysis = non-hypermutated patients.</w:t>
      </w:r>
      <w:r>
        <w:t xml:space="preserve"> Agree that hypermutated tumours are reported descriptively only?</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xml:space="preserve">•  </w:t>
            </w:r>
            <w:r>
              <w:rPr>
                <w:b/>
                <w:sz w:val="20"/>
              </w:rPr>
              <w:t>Notebook 06</w:t>
            </w:r>
            <w:r>
              <w:rPr>
                <w:sz w:val="20"/>
              </w:rPr>
              <w:t xml:space="preserve"> was stale in text and code: re-run and rewritten (see Part 7.5), now committed.</w:t>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92e8234</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p>
            <w:pPr>
              <w:spacing w:after="60"/>
            </w:pPr>
            <w:r>
              <w:rPr>
                <w:sz w:val="20"/>
              </w:rPr>
              <w:t>•  Notebook 07 (the Phase 2 deep dive) was renamed 06 on 25 Oct so the run order has no gap; older notes and commits call it 07.</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five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w:t>
      </w:r>
      <w:r>
        <w:rPr>
          <w:color w:val="555B66"/>
          <w:sz w:val="17"/>
        </w:rPr>
        <w:t xml:space="preserve"> README.md (Status), docs/supervisor_summary.md, git log and status of 24 Oct 2026, results/logs/.</w:t>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notebooks/05_validation_and_methods.ipynb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Collects TCGA validation, method benchmark, gene sets, dN/dS, shrinkage, burden and fusion results (reads saved script outputs)</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notebooks/06_phase2_deep_dive.ipynb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01-20 (script 11 retired), each labelled pipeline or design evidence; index and run order in scripts/README.md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w:t>
            </w:r>
            <w:r>
              <w:rPr>
                <w:sz w:val="18"/>
              </w:rPr>
              <w:t xml:space="preserve">, </w:t>
            </w:r>
            <w:r>
              <w:rPr>
                <w:rFonts w:ascii="Menlo" w:hAnsi="Menlo" w:eastAsia="Menlo"/>
                <w:sz w:val="18"/>
              </w:rPr>
              <w:t>scripts/build_notebook05.py</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05</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Cleaned outputs produced by the notebooks (tracked)</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 results/figures/ is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figure scripts plus a Python export step;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Publication figures (PDF and 300-dpi PNG); tracked in git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data/README.md, scripts/README.md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each dataset comes from and what every processed file contains; what every script does and the run order</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LICENSE</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MIT licence for the code (GENIE and other data keep their own terms)</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Select that kernel and follow the run order in scripts/README.md: notebooks 01 → 02, the pipeline scripts in scripts/analyses/ (08, 10, 12, 14-20; the TCGA download and the literature screen need the internet), notebooks 03 → 04, then the read-only summaries 05 and 06.</w:t>
      </w:r>
    </w:p>
    <w:p>
      <w:pPr>
        <w:pStyle w:val="ListNumber"/>
        <w:spacing w:after="60"/>
        <w:numPr>
          <w:ilvl w:val="0"/>
          <w:numId w:val="14"/>
        </w:numPr>
      </w:pPr>
      <w:r>
        <w:t>Run scripts from the repo root. For the figures and the Rediscover check, install R packages once with Rscript scripts/figures/install_r_packages.R, then bash scripts/figures/run_all.sh rebuilds every figure. scripts/validation/build_msk468_matrix.py comes first among the validation scripts.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10a5c99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92e8234)</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(renamed 06 on 25 Oct)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and comparison with the SelectSim atlas; repository organised (data/ and scripts/ READMEs, notebook 07 renamed 06, MIT licence); allele screen and partner models re-run on the final data (KRAS G12C/STK11 2.00x → 1.74x after smoking adjustment; partner prediction unchanged); script 11 retired; this guide updated</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