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199;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07 (</w:t>
      </w:r>
      <w:r>
        <w:rPr>
          <w:rFonts w:ascii="Menlo" w:hAnsi="Menlo" w:eastAsia="Menlo"/>
          <w:sz w:val="18"/>
        </w:rPr>
        <w:t>07_phase2_deep_dive.ipynb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07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notebooks/07_phase2_deep_dive.ipynb,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199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1.97x to 1.73x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7ee854f and c35130f; scripts/analyses/11_novel_insights.py and 12_burden_adjusted_retest.py;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07: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07</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07, </w:t>
            </w:r>
            <w:r>
              <w:rPr>
                <w:rFonts w:ascii="Menlo" w:hAnsi="Menlo" w:eastAsia="Menlo"/>
                <w:sz w:val="20"/>
              </w:rPr>
              <w:t>mechanism_pairs_checked.parquet</w:t>
            </w:r>
            <w:r>
              <w:rPr>
                <w:sz w:val="20"/>
              </w:rPr>
              <w:t xml:space="preserve"> and this guide.</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notebooks/07_phase2_deep_dive.ipynb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behind each design decision (01-18); run from the repo root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 xml:space="preserve">Select that kernel and run notebooks 01 → 02 → 03 → 04 in order. The scripts in </w:t>
      </w:r>
      <w:r>
        <w:rPr>
          <w:rFonts w:ascii="Menlo" w:hAnsi="Menlo" w:eastAsia="Menlo"/>
          <w:sz w:val="18"/>
        </w:rPr>
        <w:t>scripts/analyses/</w:t>
      </w:r>
      <w:r>
        <w:t xml:space="preserve"> (the TCGA download and the null simulations take minutes to hours) feed notebook 05, which only reads their saved outputs.</w:t>
      </w:r>
    </w:p>
    <w:p>
      <w:pPr>
        <w:pStyle w:val="ListNumber"/>
        <w:spacing w:after="60"/>
        <w:numPr>
          <w:ilvl w:val="0"/>
          <w:numId w:val="14"/>
        </w:numPr>
      </w:pPr>
      <w:r>
        <w:t xml:space="preserve">Run scripts from the repo root. </w:t>
      </w:r>
      <w:r>
        <w:rPr>
          <w:rFonts w:ascii="Menlo" w:hAnsi="Menlo" w:eastAsia="Menlo"/>
          <w:sz w:val="18"/>
        </w:rPr>
        <w:t>scripts/validation/build_msk468_matrix.py</w:t>
      </w:r>
      <w:r>
        <w:t xml:space="preserve"> comes first; </w:t>
      </w:r>
      <w:r>
        <w:rPr>
          <w:rFonts w:ascii="Menlo" w:hAnsi="Menlo" w:eastAsia="Menlo"/>
          <w:sz w:val="18"/>
        </w:rPr>
        <w:t>rediscover_run.R</w:t>
      </w:r>
      <w:r>
        <w:t xml:space="preserve"> needs R and the Rediscover package.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comparison with the SelectSim atlas;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