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 Each notebook also shows its own figures in a “Publication figures” section just before its Discussion: Fig 1 in notebook 01; Fig 3 and S1 in 02; Fig 6 and S2 in 03; Figs 4, 5 and S4 in 04; Fig 2, S3, S5 and S6 in 05.</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d040be9 and 507ace8;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rPr>
          <w:b w:val="0"/>
        </w:rPr>
        <w:t xml:space="preserve"> ran each family on identical patients and pairs (9 cancer types, 2,553 pairs, panels covering every gene used) and scored it two ways: false positives on null data that keep every patient's alteration count and every gene's frequency but destroy gene-gene links, and replication of each method's significant calls in TCGA. SELECT (Mina 2017) was re-implemented from its published Methods S1 (weighted mutual information, 1,000 margin-preserving randomisations within subtypes, effect size and empirical FDR); a first simplified “SELECT-style” score without a null was withdrawn because it was not SELECT.</w:t>
      </w:r>
    </w:p>
    <w:p>
      <w:pPr>
        <w:keepNext/>
        <w:jc w:val="center"/>
      </w:pPr>
      <w:r>
        <w:drawing>
          <wp:inline xmlns:a="http://schemas.openxmlformats.org/drawingml/2006/main" xmlns:pic="http://schemas.openxmlformats.org/drawingml/2006/picture">
            <wp:extent cx="5577840" cy="4571196"/>
            <wp:docPr id="9" name="Picture 9"/>
            <wp:cNvGraphicFramePr>
              <a:graphicFrameLocks noChangeAspect="1"/>
            </wp:cNvGraphicFramePr>
            <a:graphic>
              <a:graphicData uri="http://schemas.openxmlformats.org/drawingml/2006/picture">
                <pic:pic>
                  <pic:nvPicPr>
                    <pic:cNvPr id="0" name="fig2_method_validity.png"/>
                    <pic:cNvPicPr/>
                  </pic:nvPicPr>
                  <pic:blipFill>
                    <a:blip r:embed="rId19"/>
                    <a:stretch>
                      <a:fillRect/>
                    </a:stretch>
                  </pic:blipFill>
                  <pic:spPr>
                    <a:xfrm>
                      <a:off x="0" y="0"/>
                      <a:ext cx="5577840" cy="4571196"/>
                    </a:xfrm>
                    <a:prstGeom prst="rect"/>
                  </pic:spPr>
                </pic:pic>
              </a:graphicData>
            </a:graphic>
          </wp:inline>
        </w:drawing>
      </w:r>
    </w:p>
    <w:p>
      <w:pPr>
        <w:jc w:val="center"/>
      </w:pPr>
      <w:r>
        <w:rPr>
          <w:color w:val="555B66"/>
          <w:sz w:val="18"/>
        </w:rPr>
        <w:t>Figure 6. Figure 2 of the figure set. a, p-values on null data with no real gene-gene links (flat = calibrated); b, false positives and TCGA replication per method; c, GENIE vs TCGA effect for every testable pair.</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rPr>
          <w:b/>
        </w:rPr>
        <w:t>Calibration needs a margin-preserving null.</w:t>
      </w:r>
      <w:r>
        <w:rPr>
          <w:b w:val="0"/>
        </w:rPr>
        <w:t xml:space="preserve"> The conditional test (exact) and SELECT (by randomisation) are both calibrated; Fisher over-calls, and the DISCOVER-style plug-in is worst, with 18% of null pairs surviving FDR, all as false exclusivity.</w:t>
      </w:r>
    </w:p>
    <w:p>
      <w:pPr>
        <w:pStyle w:val="ListBullet"/>
        <w:spacing w:after="60"/>
      </w:pPr>
      <w:r>
        <w:rPr>
          <w:b/>
        </w:rPr>
        <w:rPr>
          <w:b/>
        </w:rPr>
        <w:t>Our calls replicate best</w:t>
      </w:r>
      <w:r>
        <w:rPr>
          <w:b w:val="0"/>
        </w:rPr>
        <w:t xml:space="preserve"> (37% vs 34% for SELECT and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rPr>
          <w:b/>
        </w:rPr>
        <w:t>SELECT ranks the very strongest pairs best</w:t>
      </w:r>
      <w:r>
        <w:rPr>
          <w:b w:val="0"/>
        </w:rPr>
        <w:t xml:space="preserve"> (96% of its top 50 and 84% of its top 100 replicate): its effect size is a good ranking score. Our advantage is the precision of the significant list, not the top of the ranking.</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and best at ranking the strongest pairs. Shrinkage was borrowed but not adopted (small gain, blurs specificity).</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 each is also shown in the notebook of its phase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