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d040be9 and 507ace8;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4571196"/>
            <wp:docPr id="9" name="Picture 9"/>
            <wp:cNvGraphicFramePr>
              <a:graphicFrameLocks noChangeAspect="1"/>
            </wp:cNvGraphicFramePr>
            <a:graphic>
              <a:graphicData uri="http://schemas.openxmlformats.org/drawingml/2006/picture">
                <pic:pic>
                  <pic:nvPicPr>
                    <pic:cNvPr id="0" name="fig2_method_validity.png"/>
                    <pic:cNvPicPr/>
                  </pic:nvPicPr>
                  <pic:blipFill>
                    <a:blip r:embed="rId19"/>
                    <a:stretch>
                      <a:fillRect/>
                    </a:stretch>
                  </pic:blipFill>
                  <pic:spPr>
                    <a:xfrm>
                      <a:off x="0" y="0"/>
                      <a:ext cx="5577840" cy="4571196"/>
                    </a:xfrm>
                    <a:prstGeom prst="rect"/>
                  </pic:spPr>
                </pic:pic>
              </a:graphicData>
            </a:graphic>
          </wp:inline>
        </w:drawing>
      </w:r>
    </w:p>
    <w:p>
      <w:pPr>
        <w:jc w:val="center"/>
      </w:pPr>
      <w:r>
        <w:rPr>
          <w:color w:val="555B66"/>
          <w:sz w:val="18"/>
        </w:rPr>
        <w:t>Figure 6. Figure 2 of the figure set. a, p-values on null data with no real gene-gene links (flat = calibrated); b, false positives and TCGA replication per method; c, GENIE vs TCGA effect for every testable pair.</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p>
      <w:pPr>
        <w:pStyle w:val="Heading2"/>
      </w:pPr>
      <w:r>
        <w:t>10.6  Mutation-load confounding: van de Haar's diagnostic</w:t>
      </w:r>
    </w:p>
    <w:p>
      <w:r>
        <w:rPr>
          <w:rFonts w:ascii="Menlo" w:hAnsi="Menlo" w:eastAsia="Menlo"/>
          <w:sz w:val="18"/>
        </w:rPr>
        <w:t>21_mutation_load_confounding.py</w:t>
      </w:r>
      <w:r>
        <w:t xml:space="preserve"> runs the check van de Haar et al. (2019) used to show that most published mutual exclusivity is confounded by mutation load. Each gene gets a mutation load association (MLA): is it altered more in low-load or high-load tumours? On exome data, every method they tested called far more exclusive pairs for low-MLA genes (correlation r = -0.60 to -0.87).</w:t>
      </w:r>
    </w:p>
    <w:p>
      <w:pPr>
        <w:pStyle w:val="ListBullet"/>
        <w:spacing w:after="60"/>
      </w:pPr>
      <w:r>
        <w:rPr>
          <w:b/>
        </w:rPr>
        <w:t xml:space="preserve">Not seen on GENIE panels in our design. </w:t>
      </w:r>
      <w:r>
        <w:rPr>
          <w:b w:val="0"/>
        </w:rPr>
        <w:t>With non-hypermutated tumours only, the correlation is slightly positive for every method (Fisher +0.09, DISCOVER-style +0.19, SELECT +0.07, ours +0.13).</w:t>
      </w:r>
    </w:p>
    <w:p>
      <w:pPr>
        <w:pStyle w:val="ListBullet"/>
        <w:spacing w:after="60"/>
      </w:pPr>
      <w:r>
        <w:rPr>
          <w:b/>
        </w:rPr>
        <w:t xml:space="preserve">A weak version appears once hypermutated tumours are included </w:t>
      </w:r>
      <w:r>
        <w:rPr>
          <w:b w:val="0"/>
        </w:rPr>
        <w:t>(Fisher -0.24, ours -0.23): our test alone does not remove it.</w:t>
      </w:r>
    </w:p>
    <w:p>
      <w:pPr>
        <w:pStyle w:val="ListBullet"/>
        <w:spacing w:after="60"/>
      </w:pPr>
      <w:r>
        <w:rPr>
          <w:b/>
        </w:rPr>
        <w:t xml:space="preserve">So the split removes it. </w:t>
      </w:r>
      <w:r>
        <w:rPr>
          <w:b w:val="0"/>
        </w:rPr>
        <w:t>Analysing non-hypermutated tumours separately (Prof. Wong's suggestion) is what protects against load confounding; the conditional test protects calibration. They fix different problems, which is why the design keeps both.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Mutation-load confounding (van de Haar) is removed by analysing non-hypermutated tumours separately, not by the choice of test.</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and 21_*.py,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 each is also shown in the notebook of its phase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