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27 October 2026 (latest additions listed in the box below)</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Development paused for reading. Everything has run and is committed; numbers in this guide match the final outputs. Open items are in Part 11; repository improvements are scheduled for November.</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What's new since the first version (24 Oct)</w:t>
            </w:r>
          </w:p>
          <w:p>
            <w:pPr>
              <w:spacing w:after="60"/>
            </w:pPr>
            <w:r>
              <w:rPr>
                <w:b/>
                <w:sz w:val="20"/>
              </w:rPr>
              <w:t>•  Part 3:</w:t>
            </w:r>
            <w:r>
              <w:rPr>
                <w:b w:val="0"/>
                <w:sz w:val="20"/>
              </w:rPr>
              <w:t xml:space="preserve"> the closest recent atlas, SelectSim (Nature Genetics 2026), and corrected descriptions of van de Haar 2019 and Scharpf 2022 (checked against their full texts).</w:t>
            </w:r>
          </w:p>
          <w:p>
            <w:pPr>
              <w:spacing w:after="60"/>
            </w:pPr>
            <w:r>
              <w:rPr>
                <w:b/>
                <w:sz w:val="20"/>
              </w:rPr>
              <w:t>•  Part 9.3:</w:t>
            </w:r>
            <w:r>
              <w:rPr>
                <w:b w:val="0"/>
                <w:sz w:val="20"/>
              </w:rPr>
              <w:t xml:space="preserve"> a novelty audit -- is anything here new? (short answer: not at the driver-pair level; the distinct contribution is elsewhere).</w:t>
            </w:r>
          </w:p>
          <w:p>
            <w:pPr>
              <w:spacing w:after="60"/>
            </w:pPr>
            <w:r>
              <w:rPr>
                <w:b/>
                <w:sz w:val="20"/>
              </w:rPr>
              <w:t>•  Part 9.4:</w:t>
            </w:r>
            <w:r>
              <w:rPr>
                <w:b w:val="0"/>
                <w:sz w:val="20"/>
              </w:rPr>
              <w:t xml:space="preserve"> the publication figures, also shown inside each notebook.</w:t>
            </w:r>
          </w:p>
          <w:p>
            <w:pPr>
              <w:spacing w:after="60"/>
            </w:pPr>
            <w:r>
              <w:rPr>
                <w:b/>
                <w:sz w:val="20"/>
              </w:rPr>
              <w:t>•  Part 10 (29 Oct): rewritten around precision and recall -- a simulation with planted links, 29 textbook pairs, and TCGA.</w:t>
            </w:r>
            <w:r>
              <w:rPr>
                <w:b w:val="0"/>
                <w:sz w:val="20"/>
              </w:rPr>
            </w:r>
          </w:p>
          <w:p>
            <w:pPr>
              <w:spacing w:after="60"/>
            </w:pPr>
            <w:r>
              <w:rPr>
                <w:b/>
                <w:sz w:val="20"/>
              </w:rPr>
              <w:t>•  Part 10.6: van de Haar's mutation-load check and the real-data method comparison, now side checks in notebook 02c (trimmed to what later steps use).</w:t>
            </w:r>
            <w:r>
              <w:rPr>
                <w:b w:val="0"/>
                <w:sz w:val="20"/>
              </w:rPr>
            </w:r>
          </w:p>
          <w:p>
            <w:pPr>
              <w:spacing w:after="60"/>
            </w:pPr>
            <w:r>
              <w:rPr>
                <w:b/>
                <w:sz w:val="20"/>
              </w:rPr>
              <w:t>•  Parts 11-12:</w:t>
            </w:r>
            <w:r>
              <w:rPr>
                <w:b w:val="0"/>
                <w:sz w:val="20"/>
              </w:rPr>
              <w:t xml:space="preserve"> status, decisions, the November plan, the repository map, and the removal of individual-level GENIE data from the public repository (27 Oct).</w:t>
            </w:r>
          </w:p>
          <w:p>
            <w:pPr>
              <w:spacing w:after="60"/>
            </w:pPr>
            <w:r>
              <w:rPr>
                <w:b/>
                <w:sz w:val="20"/>
              </w:rPr>
              <w:t>Part 7:</w:t>
            </w:r>
            <w:r>
              <w:rPr>
                <w:b w:val="0"/>
                <w:sz w:val="20"/>
              </w:rPr>
              <w:t xml:space="preserve"> notebook 02 now follows seven plain steps; side analyses moved to notebook 02c, validation is notebook 02b and the deep dive is now notebook 05 (28 Oct). Figures simplified, one per phase.</w:t>
            </w:r>
          </w:p>
          <w:p>
            <w:pPr>
              <w:spacing w:after="60"/>
            </w:pPr>
            <w:r>
              <w:rPr>
                <w:b/>
                <w:sz w:val="20"/>
              </w:rPr>
              <w:t>Part 6.5 (29 Oct): Phase 1 hands Phase 2 three checked tables (cohort, events, testability); new Phase 1 figure showing exactly what Phase 2 receives.</w:t>
            </w:r>
            <w:r>
              <w:rPr>
                <w:b w:val="0"/>
                <w:sz w:val="20"/>
              </w:rPr>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(02b)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7009281).</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7009281).</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 out-of-centre replication for every pair, an independent cohort (TCGA), a simulation where the truth is known, and 29 textbook pairs.</w:t>
      </w:r>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7009281),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7009281)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pStyle w:val="Heading2"/>
      </w:pPr>
      <w:r>
        <w:t>6.5  Hand-off to Phase 2 (added 29 October)</w:t>
      </w:r>
    </w:p>
    <w:p>
      <w:pPr/>
      <w:r>
        <w:t>Phase 1 now ends by writing the only three tables Phase 2 reads, so every decision about patients and data is made here and Phase 2 makes only statistical choices:</w:t>
      </w:r>
    </w:p>
    <w:p>
      <w:pPr>
        <w:pStyle w:val="ListBullet"/>
      </w:pPr>
      <w:r>
        <w:t>cohort -- one row per patient (227,696; one sample each), with what was tested and a TMB group: 159,390 not hypermutated (the Phase 2 analysis), 24,452 hypermutated (TMB 10-100, Phase 2c), 658 ultramutated (TMB &gt;= 100, left out) and 43,196 with TMB unknown (panel under 1 Mb, left out).</w:t>
      </w:r>
    </w:p>
    <w:p>
      <w:pPr>
        <w:pStyle w:val="ListBullet"/>
      </w:pPr>
      <w:r>
        <w:t>events -- their 1,704,134 driver events: mutations, deep copy-number changes in the direction of the gene's role, and driver fusions.</w:t>
      </w:r>
    </w:p>
    <w:p>
      <w:pPr>
        <w:pStyle w:val="ListBullet"/>
      </w:pPr>
      <w:r>
        <w:t>testability -- one table of which panel tests which gene feature for mutation, copy number and fusion.</w:t>
      </w:r>
    </w:p>
    <w:p>
      <w:pPr>
        <w:pStyle w:val="ListBullet"/>
      </w:pPr>
      <w:r>
        <w:t>A check script (scripts/validation/check_phase1_handoff.py) verifies one row per patient, that every event belongs to a cohort patient, and that 99.8% of events were testable on their patient's panel. Phase 2's inputs were confirmed identical before and after the change.</w:t>
      </w:r>
    </w:p>
    <w:p>
      <w:pPr/>
      <w:r>
        <w:drawing>
          <wp:inline xmlns:a="http://schemas.openxmlformats.org/drawingml/2006/main" xmlns:pic="http://schemas.openxmlformats.org/drawingml/2006/picture">
            <wp:extent cx="5760000" cy="6767534"/>
            <wp:docPr id="15" name="Picture 15"/>
            <wp:cNvGraphicFramePr>
              <a:graphicFrameLocks noChangeAspect="1"/>
            </wp:cNvGraphicFramePr>
            <a:graphic>
              <a:graphicData uri="http://schemas.openxmlformats.org/drawingml/2006/picture">
                <pic:pic>
                  <pic:nvPicPr>
                    <pic:cNvPr id="0" name="figure_phase1.png"/>
                    <pic:cNvPicPr/>
                  </pic:nvPicPr>
                  <pic:blipFill>
                    <a:blip r:embed="rId26"/>
                    <a:stretch>
                      <a:fillRect/>
                    </a:stretch>
                  </pic:blipFill>
                  <pic:spPr>
                    <a:xfrm>
                      <a:off x="0" y="0"/>
                      <a:ext cx="5760000" cy="6767534"/>
                    </a:xfrm>
                    <a:prstGeom prst="rect"/>
                  </pic:spPr>
                </pic:pic>
              </a:graphicData>
            </a:graphic>
          </wp:inline>
        </w:drawing>
      </w:r>
    </w:p>
    <w:p>
      <w:pPr/>
      <w:r>
        <w:t>Figure 9. Phase 1 at a glance (results/figures/phase1_data/figure_phase1). a, patient flow -- every filter between GENIE and the Phase 2 cohort; b, TMB groups in the 15 largest cancer types; c, filters per alteration type; d, what Phase 2 receives: 616,817 events for 112,779 patients (mutations 65%, amplifications 24%, deep deletions 10%, fusions 1%).</w:t>
      </w:r>
    </w:p>
    <w:p>
      <w:pPr/>
    </w:p>
    <w:p>
      <w:pPr>
        <w:spacing w:before="120"/>
      </w:pPr>
      <w:r>
        <w:rPr>
          <w:i/>
          <w:color w:val="555B66"/>
          <w:sz w:val="17"/>
        </w:rPr>
        <w:t>Source files for this part: notebooks/01_phase1_preprocessing.ipynb (Section 9: hand-off), scripts/validation/check_phase1_handoff.py, README.md (Phase 1), docs/supervisor_summary.md.</w:t>
      </w:r>
      <w:r>
        <w:rPr>
          <w:color w:val="555B66"/>
          <w:sz w:val="17"/>
        </w:rPr>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 notebooks/02_phase2_comutation_matrix.ipynb, in seven steps: collect the data and keep non-hypermutated patients -&gt; filter cancer types, genes and pairs -&gt; the conditional test (Fisher and DISCOVER-style tests compared as side steps 3b, 3c) -&gt; FDR -&gt; remove one-DNA-event pairs -&gt; results and evaluation -&gt; save. Side analyses (hypermutated tumours, mutations only, fusion screen, burden flag, ...) are in notebooks/02c_phase2_extensions.ipynb.   Output: comutation_pairs.parquet and companions</w:t>
      </w:r>
      <w:r/>
      <w:r>
        <w:rPr>
          <w:rFonts w:ascii="Menlo" w:hAnsi="Menlo" w:eastAsia="Menlo"/>
          <w:sz w:val="18"/>
        </w:rPr>
      </w:r>
      <w:r/>
      <w:r>
        <w:rPr>
          <w:b/>
        </w:rPr>
      </w:r>
      <w:r/>
      <w:r>
        <w:rPr>
          <w:rFonts w:ascii="Menlo" w:hAnsi="Menlo" w:eastAsia="Menlo"/>
          <w:sz w:val="18"/>
        </w:rPr>
      </w:r>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 KRAS/EGFR, KRAS/BRAF, EGFR/IDH1 and PIK3CA/PTEN (breast) exclusive; MDM2 amplification vs TP53 mutation exclusive across cancer types; KEAP1/STK11 co-mutated in lung.</w:t>
      </w:r>
      <w:r/>
      <w:r>
        <w:rPr>
          <w:i/>
        </w:rPr>
      </w:r>
      <w:r/>
      <w:r>
        <w:rPr>
          <w:i/>
        </w:rPr>
      </w:r>
      <w:r/>
      <w:r>
        <w:rPr>
          <w:i/>
        </w:rPr>
      </w:r>
      <w:r/>
      <w:r>
        <w:rPr>
          <w:i/>
        </w:rPr>
      </w:r>
      <w:r/>
      <w:r>
        <w:rPr>
          <w:i/>
        </w:rPr>
      </w:r>
      <w:r/>
      <w:r>
        <w:rPr>
          <w:i/>
        </w:rPr>
      </w:r>
      <w:r/>
      <w:r>
        <w:rPr>
          <w:i/>
        </w:rPr>
      </w:r>
      <w:r/>
      <w:r>
        <w:rPr>
          <w:i/>
        </w:rPr>
      </w:r>
      <w:r/>
      <w:r>
        <w:rPr>
          <w:i/>
        </w:rPr>
      </w:r>
      <w:r/>
      <w:r>
        <w:rPr>
          <w:i/>
        </w:rPr>
      </w:r>
      <w:r/>
      <w:r>
        <w:rPr>
          <w:i/>
        </w:rPr>
      </w:r>
      <w:r/>
      <w:r>
        <w:rPr>
          <w:i/>
        </w:rPr>
      </w:r>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A small q-value says not chance. It does not say gene-gene interaction. Notebook 05 (05_phase2_deep_dive.ipynb, re-run on the final Phase 2 outputs on 24 Oct) re-examines all 687 significant cross-mechanism hits (313 co-occurring, 374 exclusive) for four other explanations. Its headline findings:</w:t>
      </w:r>
      <w:r>
        <w:rPr>
          <w:i/>
        </w:rPr>
      </w:r>
      <w:r/>
      <w:r>
        <w:rPr>
          <w:i/>
        </w:rPr>
      </w:r>
      <w:r/>
      <w:r>
        <w:rPr>
          <w:rFonts w:ascii="Menlo" w:hAnsi="Menlo" w:eastAsia="Menlo"/>
          <w:sz w:val="18"/>
        </w:rPr>
      </w:r>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notebooks/05_phase2_deep_dive.ipynb,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Each phase has one combined figure (up to four panels) whose title states the phase's main message. Each notebook draws its own figure by running the phase's R script from a code cell, so it is always rebuilt from the phase's saved outputs (bash scripts/figures/run_all.sh rebuilds all of them). Saved as PDF for the thesis and PNG for slides in results/figures/&lt;phase&gt;/. Green = co-occurring, purple = exclusive.</w:t>
      </w:r>
    </w:p>
    <w:p>
      <w:pPr>
        <w:keepNext/>
        <w:jc w:val="center"/>
      </w:pPr>
      <w:r>
        <w:drawing>
          <wp:inline xmlns:a="http://schemas.openxmlformats.org/drawingml/2006/main" xmlns:pic="http://schemas.openxmlformats.org/drawingml/2006/picture">
            <wp:extent cx="5577840" cy="5332631"/>
            <wp:docPr id="13" name="Picture 13"/>
            <wp:cNvGraphicFramePr>
              <a:graphicFrameLocks noChangeAspect="1"/>
            </wp:cNvGraphicFramePr>
            <a:graphic>
              <a:graphicData uri="http://schemas.openxmlformats.org/drawingml/2006/picture">
                <pic:pic>
                  <pic:nvPicPr>
                    <pic:cNvPr id="0" name="figure_phase4.png"/>
                    <pic:cNvPicPr/>
                  </pic:nvPicPr>
                  <pic:blipFill>
                    <a:blip r:embed="rId24"/>
                    <a:stretch>
                      <a:fillRect/>
                    </a:stretch>
                  </pic:blipFill>
                  <pic:spPr>
                    <a:xfrm>
                      <a:off x="0" y="0"/>
                      <a:ext cx="5577840" cy="5332631"/>
                    </a:xfrm>
                    <a:prstGeom prst="rect"/>
                  </pic:spPr>
                </pic:pic>
              </a:graphicData>
            </a:graphic>
          </wp:inline>
        </w:drawing>
      </w:r>
    </w:p>
    <w:p>
      <w:pPr>
        <w:jc w:val="center"/>
      </w:pPr>
      <w:r>
        <w:rPr>
          <w:color w:val="555B66"/>
          <w:sz w:val="18"/>
        </w:rPr>
        <w:t>Figure 7. Phase 4 at a glance (results/figures/phase4_biology/figure_phase4). a, exclusivity follows pathways; b, pairs change with the cancer type; c, variant partners and smoking; d, rare combinations.</w:t>
      </w:r>
    </w:p>
    <w:p>
      <w:pPr>
        <w:keepNext/>
        <w:jc w:val="center"/>
      </w:pPr>
      <w:r>
        <w:drawing>
          <wp:inline xmlns:a="http://schemas.openxmlformats.org/drawingml/2006/main" xmlns:pic="http://schemas.openxmlformats.org/drawingml/2006/picture">
            <wp:extent cx="5577840" cy="5639787"/>
            <wp:docPr id="14" name="Picture 14"/>
            <wp:cNvGraphicFramePr>
              <a:graphicFrameLocks noChangeAspect="1"/>
            </wp:cNvGraphicFramePr>
            <a:graphic>
              <a:graphicData uri="http://schemas.openxmlformats.org/drawingml/2006/picture">
                <pic:pic>
                  <pic:nvPicPr>
                    <pic:cNvPr id="0" name="figure_phase2.png"/>
                    <pic:cNvPicPr/>
                  </pic:nvPicPr>
                  <pic:blipFill>
                    <a:blip r:embed="rId25"/>
                    <a:stretch>
                      <a:fillRect/>
                    </a:stretch>
                  </pic:blipFill>
                  <pic:spPr>
                    <a:xfrm>
                      <a:off x="0" y="0"/>
                      <a:ext cx="5577840" cy="5639787"/>
                    </a:xfrm>
                    <a:prstGeom prst="rect"/>
                  </pic:spPr>
                </pic:pic>
              </a:graphicData>
            </a:graphic>
          </wp:inline>
        </w:drawing>
      </w:r>
    </w:p>
    <w:p>
      <w:pPr>
        <w:jc w:val="center"/>
      </w:pPr>
      <w:r>
        <w:rPr>
          <w:color w:val="555B66"/>
          <w:sz w:val="18"/>
        </w:rPr>
        <w:t>Figure 8. Phase 2 at a glance (results/figures/phase2_pair_test/figure_phase2). a, why not Fisher's test; b, from 6,697 pairs to 1,584 candidates; c, the strongest gene pairs; d, replication across centres.</w:t>
      </w:r>
    </w:p>
    <w:p>
      <w:r>
        <w:rPr/>
        <w:t>The full set (results/figures/):</w:t>
      </w:r>
    </w:p>
    <w:p>
      <w:pPr>
        <w:pStyle w:val="ListBullet"/>
        <w:spacing w:after="60"/>
      </w:pPr>
      <w:r>
        <w:rPr>
          <w:b/>
        </w:rPr>
        <w:t>Phase 1 (notebook 01): figure_phase1 -- patient flow and every filter; TMB groups; filters per alteration type; events Phase 2 receives.</w:t>
      </w:r>
      <w:r>
        <w:rPr>
          <w:b w:val="0"/>
        </w:rPr>
      </w:r>
    </w:p>
    <w:p>
      <w:pPr>
        <w:pStyle w:val="ListBullet"/>
        <w:spacing w:after="60"/>
      </w:pPr>
      <w:r>
        <w:rPr>
          <w:b/>
        </w:rPr>
        <w:t>Phase 2 (notebook 02):</w:t>
      </w:r>
      <w:r>
        <w:rPr>
          <w:b w:val="0"/>
        </w:rPr>
        <w:t xml:space="preserve"> figure_phase2 -- why not Fisher; funnel to 1,584 candidates; strongest pairs; replication across centres.</w:t>
      </w:r>
    </w:p>
    <w:p>
      <w:pPr>
        <w:pStyle w:val="ListBullet"/>
        <w:spacing w:after="60"/>
      </w:pPr>
      <w:r>
        <w:rPr>
          <w:b/>
        </w:rPr>
        <w:t>Phase 2b (notebook 02b): figure_phase2b -- precision in the simulation; recall by link strength; precision-recall curves; recall of textbook pairs; GENIE vs TCGA effects.</w:t>
      </w:r>
      <w:r>
        <w:rPr>
          <w:b w:val="0"/>
        </w:rPr>
      </w:r>
    </w:p>
    <w:p>
      <w:pPr>
        <w:pStyle w:val="ListBullet"/>
        <w:spacing w:after="60"/>
      </w:pPr>
      <w:r>
        <w:rPr>
          <w:b/>
        </w:rPr>
        <w:t>Phase 3 (notebook 03):</w:t>
      </w:r>
      <w:r>
        <w:rPr>
          <w:b w:val="0"/>
        </w:rPr>
        <w:t xml:space="preserve"> figure_phase3 -- KRAS G12C partners; partner prediction; MSK vs other centres; exact combinations.</w:t>
      </w:r>
    </w:p>
    <w:p>
      <w:pPr>
        <w:pStyle w:val="ListBullet"/>
        <w:spacing w:after="60"/>
      </w:pPr>
      <w:r>
        <w:rPr>
          <w:b/>
        </w:rPr>
        <w:t>Phase 4 (notebook 04):</w:t>
      </w:r>
      <w:r>
        <w:rPr>
          <w:b w:val="0"/>
        </w:rPr>
        <w:t xml:space="preserve"> figure_phase4 -- pathways; pairs across cancer types; variants and smoking; rare combinations.</w:t>
      </w:r>
    </w:p>
    <w:p>
      <w:pPr>
        <w:pStyle w:val="ListBullet"/>
        <w:spacing w:after="60"/>
      </w:pPr>
      <w:r>
        <w:rPr>
          <w:b/>
        </w:rPr>
        <w:t>Phase 2c (notebook 02c): figure_phase2c -- lung oncoprint; fusion partners.</w:t>
      </w:r>
      <w:r>
        <w:rPr>
          <w:b w:val="0"/>
        </w:rPr>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64e98aa and f7eb0cd;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Highest precision (99% in realistic simulation; 2% of unlinked pairs called), and the most real links found at any given precision.</w:t>
            </w:r>
          </w:p>
          <w:p>
            <w:pPr>
              <w:spacing w:after="60"/>
            </w:pPr>
            <w:r>
              <w:rPr>
                <w:sz w:val="20"/>
              </w:rPr>
              <w:t>•  All methods find the famous pairs; ours misses some weak and exclusive links -- the cost of a stricter test.</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but with 52% precision in realistic simulation; slightly better at ranking the very strongest pairs.</w:t>
            </w:r>
          </w:p>
          <w:p>
            <w:pPr>
              <w:spacing w:after="60"/>
            </w:pPr>
            <w:r>
              <w:rPr>
                <w:sz w:val="20"/>
              </w:rPr>
              <w:t>•  Mutation-load confounding (van de Haar) is removed by analysing non-hypermutated tumours separately, not by the choice of test.</w:t>
            </w:r>
          </w:p>
          <w:p>
            <w:pPr>
              <w:spacing w:after="60"/>
            </w:pPr>
            <w:r>
              <w:rPr>
                <w:sz w:val="20"/>
              </w:rPr>
              <w:t>All tables of this part are reproduced in notebooks/02b_phase2_validation.ipynb (side checks in 02c).</w:t>
            </w:r>
            <w:r>
              <w:rPr>
                <w:rFonts w:ascii="Menlo" w:hAnsi="Menlo" w:eastAsia="Menlo"/>
                <w:sz w:val="20"/>
              </w:rPr>
            </w:r>
            <w:r>
              <w:rPr>
                <w:sz w:val="20"/>
              </w:rPr>
            </w:r>
          </w:p>
        </w:tc>
      </w:tr>
    </w:tbl>
    <w:p>
      <w:pPr>
        <w:pStyle w:val="Heading2"/>
      </w:pPr>
      <w:r>
        <w:t>10.1  What a good test must do</w:t>
      </w:r>
    </w:p>
    <w:p>
      <w:pPr/>
      <w:r>
        <w:t>Two measures, equally important: precision (of the pairs the test calls, how many are real) and recall (of the real pairs, how many it finds). A test that calls nothing makes no wrong calls but finds nothing; one that calls everything finds every real pair among thousands of wrong ones. notebooks/02b_phase2_validation.ipynb reports both, comparing our test with Fisher's test (cBioPortal, maftools), a DISCOVER-style test and SELECT (Mina 2017, re-implemented from its published methods) on identical data.</w:t>
      </w:r>
    </w:p>
    <w:p>
      <w:pPr>
        <w:pStyle w:val="Heading2"/>
      </w:pPr>
      <w:r>
        <w:t>10.2  Data with no real links</w:t>
      </w:r>
    </w:p>
    <w:p>
      <w:pPr>
        <w:pStyle w:val="ListBullet"/>
      </w:pPr>
      <w:r>
        <w:t>Real data from 9 cancer types, shuffled so every patient keeps its number of alterations and every gene its frequency, but any link between genes is destroyed (15_method_benchmark.py). Every call here is false.</w:t>
      </w:r>
    </w:p>
    <w:p>
      <w:pPr>
        <w:pStyle w:val="ListBullet"/>
      </w:pPr>
      <w:r>
        <w:t>Fisher calls 11% of these pairs at p &lt; 0.05 and the DISCOVER-style test 33% (18% even after FDR): both mistake a tumour's alteration load for gene-gene interaction. Ours calls 2% (0% after FDR), SELECT 4%.</w:t>
      </w:r>
    </w:p>
    <w:p>
      <w:pPr>
        <w:pStyle w:val="ListBullet"/>
      </w:pPr>
      <w:r>
        <w:t>In real data, no candidate is significant in the opposite direction in TCGA.</w:t>
      </w:r>
    </w:p>
    <w:p>
      <w:pPr>
        <w:pStyle w:val="Heading2"/>
      </w:pPr>
      <w:r>
        <w:t>10.3  Precision and recall: a simulation where the truth is known</w:t>
      </w:r>
    </w:p>
    <w:p>
      <w:pPr/>
      <w:r>
        <w:t>22_planted_signal_simulation.py plants links of known strength (co-occurring at 1.5x, 2x, 3x; exclusive at 1/1.5, 1/2, 1/3) into data without links, 4 per cancer type, and runs every method on the same data. To avoid a set-up that favours our test, the background is made three ways: S1 from our own model (a sanity check), S2 the real data with links removed (realistic), and S3 with what our test does not model -- a hidden patient group and some hypermutated-like patients (a stress test). A planted link counts as found only if called in the right direction.</w:t>
      </w:r>
    </w:p>
    <w:p>
      <w:pPr>
        <w:pStyle w:val="ListBullet"/>
      </w:pPr>
      <w:r>
        <w:t>Realistic data (S2), q &lt; 0.05: ours has precision 99% and recall 51%; SELECT 52% and 48%. Fisher and DISCOVER-style reach recall 58-63% only at a precision of 3.5-7%.</w:t>
      </w:r>
    </w:p>
    <w:p>
      <w:pPr>
        <w:pStyle w:val="ListBullet"/>
      </w:pPr>
      <w:r>
        <w:t>At the same precision, ours finds the most: recall 57% at 95% precision, against 19% for SELECT and 4% or less for Fisher and DISCOVER-style. This is the fair comparison, because any method raises its recall by calling more pairs, at the cost of precision.</w:t>
      </w:r>
    </w:p>
    <w:p>
      <w:pPr>
        <w:pStyle w:val="ListBullet"/>
      </w:pPr>
      <w:r>
        <w:t>What ours misses: weak co-occurrence (1.5x) and part of the exclusive links (recall 31-56%). Avoidance is harder to detect -- a shortfall of patients with both, bounded at zero. A looser cut-off (q &lt; 0.2) raises recall by 7 points but lowers precision to 90%, so a second, looser tier was not added.</w:t>
      </w:r>
    </w:p>
    <w:p>
      <w:pPr>
        <w:pStyle w:val="ListBullet"/>
      </w:pPr>
      <w:r>
        <w:t>S1: precision 91%; every wrong call shares a gene with a planted link (a by-product of moving alterations when planting); among unlinked pairs only 2.4% reach p &lt; 0.05.</w:t>
      </w:r>
    </w:p>
    <w:p>
      <w:pPr>
        <w:pStyle w:val="ListBullet"/>
      </w:pPr>
      <w:r>
        <w:t>Limit (S3): a strong hidden patient group that no test sees breaks every method, ours included (precision 1-8%). The test is only as good as its strata -- which is why rates are fitted within detailed subtypes and hypermutated tumours are analysed separately.</w:t>
      </w:r>
    </w:p>
    <w:p>
      <w:pPr>
        <w:keepNext/>
        <w:jc w:val="center"/>
      </w:pPr>
      <w:r>
        <w:drawing>
          <wp:inline xmlns:a="http://schemas.openxmlformats.org/drawingml/2006/main" xmlns:pic="http://schemas.openxmlformats.org/drawingml/2006/picture">
            <wp:extent cx="5577840" cy="7314946"/>
            <wp:docPr id="12" name="Picture 12"/>
            <wp:cNvGraphicFramePr>
              <a:graphicFrameLocks noChangeAspect="1"/>
            </wp:cNvGraphicFramePr>
            <a:graphic>
              <a:graphicData uri="http://schemas.openxmlformats.org/drawingml/2006/picture">
                <pic:pic>
                  <pic:nvPicPr>
                    <pic:cNvPr id="0" name="figure_validation.png"/>
                    <pic:cNvPicPr/>
                  </pic:nvPicPr>
                  <pic:blipFill>
                    <a:blip r:embed="rId23"/>
                    <a:stretch>
                      <a:fillRect/>
                    </a:stretch>
                  </pic:blipFill>
                  <pic:spPr>
                    <a:xfrm>
                      <a:off x="0" y="0"/>
                      <a:ext cx="5577840" cy="7314946"/>
                    </a:xfrm>
                    <a:prstGeom prst="rect"/>
                  </pic:spPr>
                </pic:pic>
              </a:graphicData>
            </a:graphic>
          </wp:inline>
        </w:drawing>
      </w:r>
    </w:p>
    <w:p>
      <w:pPr/>
      <w:r>
        <w:t>Figure 6. Phase 2b at a glance (results/figures/phase2b_validation/figure_phase2b). a, precision at q &lt; 0.05 in the three scenarios; b, recall by link strength (S2); c, precision-recall curves, circles = q &lt; 0.05 (S2); d, recall of textbook pairs in real data; e, effect in GENIE vs TCGA for every candidate.</w:t>
      </w:r>
    </w:p>
    <w:p>
      <w:pPr>
        <w:pStyle w:val="Heading2"/>
      </w:pPr>
      <w:r>
        <w:t>10.4  Known biology</w:t>
      </w:r>
    </w:p>
    <w:p>
      <w:pPr>
        <w:pStyle w:val="ListBullet"/>
      </w:pPr>
      <w:r>
        <w:t>29 textbook pairs with a published direction, chosen from the literature before looking at our results (data/curated/textbook_pairs.csv, with DOIs): ours finds 26, Fisher 28, DISCOVER-style and SELECT 27. Ours misses three weaker ones (PIK3CA + PTEN in breast and endometrial cancer, BRAF + NRAS in colorectal cancer).</w:t>
      </w:r>
    </w:p>
    <w:p>
      <w:pPr>
        <w:pStyle w:val="ListBullet"/>
      </w:pPr>
      <w:r>
        <w:t>The 10 strongest exclusive pairs are all established biology (e.g. ALK fusion vs EGFR/KRAS, GNAQ vs GNA11, H3F3A vs IDH1, ERG fusion vs SPOP). Of the 10 strongest co-occurring pairs, 5 are established, CD79B + GATA3 is a suspected subtype-marker artefact, and 4 are not yet explained: BRAF + SETD2 and CTNNB1 + SMAD4 in lung cancer, NF1 + PTPN11 in glioma, APC + SPOP in prostate cancer (data/curated/top_pairs_biology.csv).</w:t>
      </w:r>
    </w:p>
    <w:p>
      <w:pPr>
        <w:pStyle w:val="ListBullet"/>
      </w:pPr>
      <w:r>
        <w:t>Of the 386 robust pairs, 234 are well known and 109 have some reports; every pair also in the SelectSim atlas for the same cancer type agrees in direction.</w:t>
      </w:r>
    </w:p>
    <w:p>
      <w:pPr>
        <w:pStyle w:val="Heading2"/>
      </w:pPr>
      <w:r>
        <w:t>10.5  Independent patients: TCGA</w:t>
      </w:r>
    </w:p>
    <w:p>
      <w:pPr/>
      <w:r>
        <w:t>14_tcga_external_validation.py re-tests the same pairs with the same test in the TCGA PanCancer Atlas (independent patients, whole-exome sequencing, other centres and calling pipelines, non-hypermutated). Nothing is fitted again. TCGA is about 20x smaller, so direction and effect size are the main measures; significance in TCGA mostly reflects how many TCGA patients carry the pair.</w:t>
      </w:r>
    </w:p>
    <w:p>
      <w:pPr>
        <w:pStyle w:val="ListBullet"/>
      </w:pPr>
      <w:r>
        <w:t>Candidates keep their direction in 88% of testable pairs (replicated candidates 94%). Control pairs, not significant in GENIE, still agree 69% of the time -- so direction is only meaningful against that baseline.</w:t>
      </w:r>
    </w:p>
    <w:p>
      <w:pPr>
        <w:pStyle w:val="ListBullet"/>
      </w:pPr>
      <w:r>
        <w:t>Effect sizes correlate across the two cohorts (Spearman 0.74; 0.82 for replicated candidates; 0.43 for controls), and agreement rises with GENIE signal strength (strongest quarter of candidates: 98% same direction, 66% significant).</w:t>
      </w:r>
    </w:p>
    <w:p>
      <w:pPr>
        <w:pStyle w:val="ListBullet"/>
      </w:pPr>
      <w:r>
        <w:t>Agreement is lowest in lung cancer, where TCGA is half squamous and smoking-related while GENIE is mostly adenocarcinoma.</w:t>
      </w:r>
    </w:p>
    <w:p>
      <w:pPr>
        <w:pStyle w:val="Heading2"/>
      </w:pPr>
      <w:r>
        <w:t>10.6  Side checks (notebook 02c)</w:t>
      </w:r>
    </w:p>
    <w:p>
      <w:pPr>
        <w:pStyle w:val="ListBullet"/>
      </w:pPr>
      <w:r>
        <w:t>Mutation-load confounding (21_mutation_load_confounding.py; van de Haar 2019's diagnostic): not seen with non-hypermutated tumours for any method (correlations +0.07 to +0.19); a weak version appears once hypermutated tumours are included (Fisher -0.24, ours -0.23). The split, not the test, removes it -- the split and the conditional test fix different problems.</w:t>
      </w:r>
    </w:p>
    <w:p>
      <w:pPr>
        <w:pStyle w:val="ListBullet"/>
      </w:pPr>
      <w:r>
        <w:t>Method comparison on real data: our significant calls replicate in TCGA most often (37% vs 34% SELECT, 29% Fisher). Ranked by effect size, SELECT's 50 strongest pairs replicate slightly more often than ours (96% vs 86%; 48 vs 43 pairs, not a significant difference); all methods agree on the strongest pairs.</w:t>
      </w:r>
    </w:p>
    <w:p>
      <w:pPr>
        <w:spacing w:before="120"/>
      </w:pPr>
      <w:r/>
      <w:r>
        <w:t>Source files for this part: notebooks/02b_phase2_validation.ipynb, notebooks/02c_phase2_extensions.ipynb (Sections E-F), scripts/analyses/14, 15, 19, 21 and 22, data/curated/,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02b: Phase 2 validation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Precision and recall (simulation), textbook pairs, TCGA; load check and real-data comparison in 02c</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planted-link simulation (22)</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SELECT re-implemented (26 Oct); simulation added 29 Oct; results in Part 10</w:t>
            </w:r>
            <w:r>
              <w:rPr>
                <w:rFonts w:ascii="Menlo" w:hAnsi="Menlo" w:eastAsia="Menlo"/>
                <w:sz w:val="18"/>
              </w:rPr>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42 references; key papers checked against full text (26 Oct)</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combined figure per phase, drawn inside each notebook;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new driver pair survives; full agreement in direction with SelectSim</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Mutation-load check (21)</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load confounding in the non-hypermutated design (Part 10.6)</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Data privacy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Fixed 27 Oct</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Repository improvements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Planned, November</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Tests, automatic checks, Phase 2 functions as a module, shorter README, release tag</w:t>
            </w:r>
          </w:p>
        </w:tc>
      </w:tr>
    </w:tbl>
    <w:p>
      <w:pPr>
        <w:spacing w:after="40"/>
      </w:pPr>
    </w:p>
    <w:p>
      <w:pPr>
        <w:pStyle w:val="Heading2"/>
      </w:pPr>
      <w:r>
        <w:t>11.2  Decisions that need Prof. Wong's view</w:t>
      </w:r>
    </w:p>
    <w:p>
      <w:pPr>
        <w:pStyle w:val="ListNumber"/>
        <w:spacing w:after="60"/>
        <w:numPr>
          <w:ilvl w:val="0"/>
          <w:numId w:val="12"/>
        </w:numPr>
      </w:pPr>
      <w:r>
        <w:rPr>
          <w:b/>
        </w:rPr>
        <w:t>Positioning against SelectSim</w:t>
      </w:r>
      <w:r>
        <w:rPr>
          <w:b w:val="0"/>
        </w:rPr>
        <w:t xml:space="preserve"> (Nature Genetics 2026), which covers mutation-driven pairs in MSK and DFCI: should the thesis lead with what it does not cover -- copy-number and fusion partners, all-centre panel-aware statistics, artefact audits and the tool?</w:t>
      </w:r>
    </w:p>
    <w:p>
      <w:pPr>
        <w:pStyle w:val="ListNumber"/>
        <w:spacing w:after="60"/>
        <w:numPr>
          <w:ilvl w:val="0"/>
          <w:numId w:val="12"/>
        </w:numPr>
      </w:pPr>
      <w:r>
        <w:rPr>
          <w:b/>
        </w:rPr>
        <w:t>Main analysis = non-hypermutated patients.</w:t>
      </w:r>
      <w:r>
        <w:rPr>
          <w:b w:val="0"/>
        </w:rPr>
        <w:t xml:space="preserve"> Agree that hypermutated tumours are reported descriptively only? (Replication and the mutation-load check both support it.)</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Notebook 06 (now 05) was stale in text and code: re-run and rewritten (see Part 7.5), now committed.</w:t>
            </w:r>
            <w:r>
              <w:rPr>
                <w:b/>
                <w:sz w:val="20"/>
              </w:rPr>
            </w:r>
            <w:r>
              <w:rPr>
                <w:sz w:val="20"/>
              </w:rPr>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7009281</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p>
            <w:pPr>
              <w:spacing w:after="60"/>
            </w:pPr>
            <w:r>
              <w:rPr>
                <w:sz w:val="20"/>
              </w:rPr>
              <w:t>•  A first, simplified “SELECT-style” score was withdrawn on 26 Oct because it was not SELECT; the benchmark now uses a faithful re-implementation (Part 10.4).</w:t>
            </w:r>
          </w:p>
          <w:p>
            <w:pPr>
              <w:spacing w:after="60"/>
            </w:pPr>
            <w:r>
              <w:rPr>
                <w:sz w:val="20"/>
              </w:rPr>
              <w:t>•  The repository history was rewritten on 27 Oct to remove individual-level GENIE data, so every commit hash changed; notes written before then cite the old hashes.</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six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November: repository improvements as small weekly commits (tests, automatic checks, Phase 2 functions moved into a module, README quick start, release tag at submission).</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 README.md (Status), docs/supervisor_summary.md, git log and status of 27 Oct 2026, results/logs/.</w:t>
      </w:r>
      <w:r>
        <w:rPr>
          <w:color w:val="555B66"/>
          <w:sz w:val="17"/>
        </w:rPr>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notebooks/02b_phase2_validation.ipynb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2b validation: TCGA replication, agreement with known biology, method benchmark (reads saved script outputs)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notebooks/02c_phase2_extensions.ipynb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2c side analyses: hypermutated tumours, mutations only, burden flag, fusion screen, mutation-load check, method comparison on real data</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notebooks/05_phase2_deep_dive.ipynb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 scripts/build_notebook_02b_validation.py</w:t>
            </w:r>
            <w:r>
              <w:rPr>
                <w:sz w:val="18"/>
              </w:rPr>
            </w:r>
            <w:r>
              <w:rPr>
                <w:rFonts w:ascii="Menlo" w:hAnsi="Menlo" w:eastAsia="Menlo"/>
                <w:sz w:val="18"/>
              </w:rPr>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02b</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Tables produced by the notebooks and scripts; aggregate tables are tracked, individual-level ones (clinical_tidy, alterations_long, putative_biallelic_tsg_events) are not</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 script per phase plus a Python export step; the notebooks run them, and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combined figure per phase (phase1_data/, phase2_pair_test/, phase2b_validation/, phase2c_extensions/, phase3_lookup_tool/, phase4_biology/), PDF and PNG; tracked in git; each is drawn and shown in its notebook</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notebooks 02b (validation) and 05 (deep dive).</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hypermutated / ultramutated</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TMB 10-100 / TMB &gt;= 100 mutations per million DNA letters (usually mismatch-repair or POLE defects); analysed separately / excluded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interaction candidate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significant pair (q &lt; 0.05) that is not explained by one shared copy-number event</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curveball shuffle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randomisation that swaps alterations between pairs of tumours while keeping every tumour's and every gene's count; used to make data with no real links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effect size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far an observed pattern is from what chance predicts (here observed/expected; for SELECT, weighted mutual information above its null)</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empirical FDR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false discovery rate estimated by counting how many calls the method makes on shuffled data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Mina et al. 2017: scores pairs by weighted mutual information against a shuffled null; re-implemented here for the benchmark</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SelectSim</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Iyer et al. 2026: the closest recent co-mutation atlas (GENIE MSK + DFCI and TCGA, mutations only)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MLA (mutation load association)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van de Haar 2019: does a gene tend to be altered in low-load or high-load tumours? Strongly negative values signal load confounding</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Checking every robust pair against the literature and the SelectSim atlas before calling anything new</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oncoprint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grid with genes as rows and patients as columns, coloured by alteration type; shows exclusivity as a staircase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UpSet plot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bar chart of how many patients carry each exact combination of alterations</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7811201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7009281)</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27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 notebook 01 shows table schemas instead of rows; this guide updated; development paused for reading</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