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27 October 2026 (latest additions listed in the box below)</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Development paused for reading. Everything has run and is committed; numbers in this guide match the final outputs. Open items are in Part 11; repository improvements are scheduled for November.</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What's new since the first version (24 Oct)</w:t>
            </w:r>
          </w:p>
          <w:p>
            <w:pPr>
              <w:spacing w:after="60"/>
            </w:pPr>
            <w:r>
              <w:rPr>
                <w:b/>
                <w:sz w:val="20"/>
              </w:rPr>
              <w:t>•  Part 3:</w:t>
            </w:r>
            <w:r>
              <w:rPr>
                <w:b w:val="0"/>
                <w:sz w:val="20"/>
              </w:rPr>
              <w:t xml:space="preserve"> the closest recent atlas, SelectSim (Nature Genetics 2026), and corrected descriptions of van de Haar 2019 and Scharpf 2022 (checked against their full texts).</w:t>
            </w:r>
          </w:p>
          <w:p>
            <w:pPr>
              <w:spacing w:after="60"/>
            </w:pPr>
            <w:r>
              <w:rPr>
                <w:b/>
                <w:sz w:val="20"/>
              </w:rPr>
              <w:t>•  Part 9.3:</w:t>
            </w:r>
            <w:r>
              <w:rPr>
                <w:b w:val="0"/>
                <w:sz w:val="20"/>
              </w:rPr>
              <w:t xml:space="preserve"> a novelty audit -- is anything here new? (short answer: not at the driver-pair level; the distinct contribution is elsewhere).</w:t>
            </w:r>
          </w:p>
          <w:p>
            <w:pPr>
              <w:spacing w:after="60"/>
            </w:pPr>
            <w:r>
              <w:rPr>
                <w:b/>
                <w:sz w:val="20"/>
              </w:rPr>
              <w:t>•  Part 9.4:</w:t>
            </w:r>
            <w:r>
              <w:rPr>
                <w:b w:val="0"/>
                <w:sz w:val="20"/>
              </w:rPr>
              <w:t xml:space="preserve"> the publication figures, also shown inside each notebook.</w:t>
            </w:r>
          </w:p>
          <w:p>
            <w:pPr>
              <w:spacing w:after="60"/>
            </w:pPr>
            <w:r>
              <w:rPr>
                <w:b/>
                <w:sz w:val="20"/>
              </w:rPr>
              <w:t>•  Part 10.4:</w:t>
            </w:r>
            <w:r>
              <w:rPr>
                <w:b w:val="0"/>
                <w:sz w:val="20"/>
              </w:rPr>
              <w:t xml:space="preserve"> SELECT re-implemented from its published methods and added to the benchmark.</w:t>
            </w:r>
          </w:p>
          <w:p>
            <w:pPr>
              <w:spacing w:after="60"/>
            </w:pPr>
            <w:r>
              <w:rPr>
                <w:b/>
                <w:sz w:val="20"/>
              </w:rPr>
              <w:t>•  Part 10.6:</w:t>
            </w:r>
            <w:r>
              <w:rPr>
                <w:b w:val="0"/>
                <w:sz w:val="20"/>
              </w:rPr>
              <w:t xml:space="preserve"> van de Haar's mutation-load confounding check -- why the non-hypermutated split matters.</w:t>
            </w:r>
          </w:p>
          <w:p>
            <w:pPr>
              <w:spacing w:after="60"/>
            </w:pPr>
            <w:r>
              <w:rPr>
                <w:b/>
                <w:sz w:val="20"/>
              </w:rPr>
              <w:t>•  Parts 11-12:</w:t>
            </w:r>
            <w:r>
              <w:rPr>
                <w:b w:val="0"/>
                <w:sz w:val="20"/>
              </w:rPr>
              <w:t xml:space="preserve"> status, decisions, the November plan, the repository map, and the removal of individual-level GENIE data from the public repository (27 Oct).</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7009281).</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7009281).</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Full texts were read for the papers the design rests on, including van de Haar 2019, Scharpf 2022 and SELECT (Mina 2017, Methods S1), checked statement by statement on 26 Oct; a few papers cited for a single point were read as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Re-implemented from its methods and benchmarked (Part 10.4): calibrated, best at ranking the strongest pairs;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Re-ran five methods (incl. DISCOVER, Fisher) on 13 TCGA + MSKCC cohorts: most exclusivity they find tracks subtype and mutation load, not pathways -- even for load-aware DISCOVER</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 (27,257 tumour-normal for co-mutation)</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hierarchical model pooled across cancer types, with TMB-quintile and smoking-signature stratified checks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Same database, same concern with mutation load, and panel-aware denominators like ours. Differences: it covers RAS genes only; it stratifies mutation load into TMB quintiles rather than conditioning on each tumour's own count; it does not adjust for copy-number burden; and it offers no lookup tool. It found G12C/STK11 and G12C/KEAP1 strongest in low-TMB tumours, and fewer of them with a smoking signature -- consistent with our smoking adjustment.</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2020: 852 dependencies in &gt;9,000 tumours, 44% co-occurring, robust to TMB;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 redundancy shown in cell-line knockouts (Mina 2020)</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7009281),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7009281)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 Each notebook also shows its own figures in a “Publication figures” section just before its Discussion: Fig 1 in notebook 01; Fig 3 and S1 in 02; Fig 6 and S2 in 03; Figs 4, 5 and S4 in 04; Fig 2, S3, S5 and S6 in 05.</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64e98aa and f7eb0cd;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rPr>
          <w:b w:val="0"/>
        </w:rPr>
        <w:t xml:space="preserve"> ran each family on identical patients and pairs (9 cancer types, 2,553 pairs, panels covering every gene used) and scored it two ways: false positives on null data that keep every patient's alteration count and every gene's frequency but destroy gene-gene links, and replication of each method's significant calls in TCGA. SELECT (Mina 2017) was re-implemented from its published Methods S1 (weighted mutual information, 1,000 margin-preserving randomisations within subtypes, effect size and empirical FDR); a first simplified “SELECT-style” score without a null was withdrawn because it was not SELECT.</w:t>
      </w:r>
    </w:p>
    <w:p>
      <w:pPr>
        <w:keepNext/>
        <w:jc w:val="center"/>
      </w:pPr>
      <w:r>
        <w:drawing>
          <wp:inline xmlns:a="http://schemas.openxmlformats.org/drawingml/2006/main" xmlns:pic="http://schemas.openxmlformats.org/drawingml/2006/picture">
            <wp:extent cx="5577840" cy="4571196"/>
            <wp:docPr id="9" name="Picture 9"/>
            <wp:cNvGraphicFramePr>
              <a:graphicFrameLocks noChangeAspect="1"/>
            </wp:cNvGraphicFramePr>
            <a:graphic>
              <a:graphicData uri="http://schemas.openxmlformats.org/drawingml/2006/picture">
                <pic:pic>
                  <pic:nvPicPr>
                    <pic:cNvPr id="0" name="fig2_method_validity.png"/>
                    <pic:cNvPicPr/>
                  </pic:nvPicPr>
                  <pic:blipFill>
                    <a:blip r:embed="rId19"/>
                    <a:stretch>
                      <a:fillRect/>
                    </a:stretch>
                  </pic:blipFill>
                  <pic:spPr>
                    <a:xfrm>
                      <a:off x="0" y="0"/>
                      <a:ext cx="5577840" cy="4571196"/>
                    </a:xfrm>
                    <a:prstGeom prst="rect"/>
                  </pic:spPr>
                </pic:pic>
              </a:graphicData>
            </a:graphic>
          </wp:inline>
        </w:drawing>
      </w:r>
    </w:p>
    <w:p>
      <w:pPr>
        <w:jc w:val="center"/>
      </w:pPr>
      <w:r>
        <w:rPr>
          <w:color w:val="555B66"/>
          <w:sz w:val="18"/>
        </w:rPr>
        <w:t>Figure 6. Figure 2 of the figure set. a, p-values on null data with no real gene-gene links (flat = calibrated); b, false positives and TCGA replication per method; c, GENIE vs TCGA effect for every testable pair.</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D  SELECT (Mina 2017; re-implemented)</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3.8%</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770</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33.7%</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rPr>
          <w:b/>
        </w:rPr>
        <w:t>Calibration needs a margin-preserving null.</w:t>
      </w:r>
      <w:r>
        <w:rPr>
          <w:b w:val="0"/>
        </w:rPr>
        <w:t xml:space="preserve"> The conditional test (exact) and SELECT (by randomisation) are both calibrated; Fisher over-calls, and the DISCOVER-style plug-in is worst, with 18% of null pairs surviving FDR, all as false exclusivity.</w:t>
      </w:r>
    </w:p>
    <w:p>
      <w:pPr>
        <w:pStyle w:val="ListBullet"/>
        <w:spacing w:after="60"/>
      </w:pPr>
      <w:r>
        <w:rPr>
          <w:b/>
        </w:rPr>
        <w:rPr>
          <w:b/>
        </w:rPr>
        <w:t>Our calls replicate best</w:t>
      </w:r>
      <w:r>
        <w:rPr>
          <w:b w:val="0"/>
        </w:rPr>
        <w:t xml:space="preserve"> (37% vs 34% for SELECT and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rPr>
          <w:b/>
        </w:rPr>
        <w:t>SELECT ranks the very strongest pairs best</w:t>
      </w:r>
      <w:r>
        <w:rPr>
          <w:b w:val="0"/>
        </w:rPr>
        <w:t xml:space="preserve"> (96% of its top 50 and 84% of its top 100 replicate): its effect size is a good ranking score. Our advantage is the precision of the significant list, not the top of the ranking.</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p>
      <w:pPr>
        <w:pStyle w:val="Heading2"/>
      </w:pPr>
      <w:r>
        <w:t>10.6  Mutation-load confounding: van de Haar's diagnostic</w:t>
      </w:r>
    </w:p>
    <w:p>
      <w:r>
        <w:rPr>
          <w:rFonts w:ascii="Menlo" w:hAnsi="Menlo" w:eastAsia="Menlo"/>
          <w:sz w:val="18"/>
        </w:rPr>
        <w:t>21_mutation_load_confounding.py</w:t>
      </w:r>
      <w:r>
        <w:t xml:space="preserve"> runs the check van de Haar et al. (2019) used to show that most published mutual exclusivity is confounded by mutation load. Each gene gets a mutation load association (MLA): is it altered more in low-load or high-load tumours? On exome data, every method they tested called far more exclusive pairs for low-MLA genes (correlation r = -0.60 to -0.87).</w:t>
      </w:r>
    </w:p>
    <w:p>
      <w:pPr>
        <w:pStyle w:val="ListBullet"/>
        <w:spacing w:after="60"/>
      </w:pPr>
      <w:r>
        <w:rPr>
          <w:b/>
        </w:rPr>
        <w:t xml:space="preserve">Not seen on GENIE panels in our design. </w:t>
      </w:r>
      <w:r>
        <w:rPr>
          <w:b w:val="0"/>
        </w:rPr>
        <w:t>With non-hypermutated tumours only, the correlation is slightly positive for every method (Fisher +0.09, DISCOVER-style +0.19, SELECT +0.07, ours +0.13).</w:t>
      </w:r>
    </w:p>
    <w:p>
      <w:pPr>
        <w:pStyle w:val="ListBullet"/>
        <w:spacing w:after="60"/>
      </w:pPr>
      <w:r>
        <w:rPr>
          <w:b/>
        </w:rPr>
        <w:t xml:space="preserve">A weak version appears once hypermutated tumours are included </w:t>
      </w:r>
      <w:r>
        <w:rPr>
          <w:b w:val="0"/>
        </w:rPr>
        <w:t>(Fisher -0.24, ours -0.23): our test alone does not remove it.</w:t>
      </w:r>
    </w:p>
    <w:p>
      <w:pPr>
        <w:pStyle w:val="ListBullet"/>
        <w:spacing w:after="60"/>
      </w:pPr>
      <w:r>
        <w:rPr>
          <w:b/>
        </w:rPr>
        <w:t xml:space="preserve">So the split removes it. </w:t>
      </w:r>
      <w:r>
        <w:rPr>
          <w:b w:val="0"/>
        </w:rPr>
        <w:t>Analysing non-hypermutated tumours separately (Prof. Wong's suggestion) is what protects against load confounding; the conditional test protects calibration. They fix different problems, which is why the design keeps both.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SELECT, re-implemented faithfully, is the closest alternative: calibrated and best at ranking the strongest pairs. Shrinkage was borrowed but not adopted (small gain, blurs specificity).</w:t>
            </w:r>
          </w:p>
          <w:p>
            <w:pPr>
              <w:spacing w:after="60"/>
            </w:pPr>
            <w:r>
              <w:rPr>
                <w:sz w:val="20"/>
              </w:rPr>
              <w:t>•  Mutation-load confounding (van de Haar) is removed by analysing non-hypermutated tumours separately, not by the choice of test.</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and 21_*.py,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SELECT re-implemented from its methods (26 Oct); results in Part 10</w:t>
            </w:r>
            <w:r>
              <w:rPr>
                <w:rFonts w:ascii="Menlo" w:hAnsi="Menlo" w:eastAsia="Menlo"/>
                <w:sz w:val="18"/>
              </w:rPr>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42 references; key papers checked against full text (26 Oct)</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new driver pair survives; full agreement in direction with SelectSim</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Mutation-load check (21)</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load confounding in the non-hypermutated design (Part 10.6)</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Data privacy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Fixed 27 Oct</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Repository improvements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Planned, November</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Tests, automatic checks, Phase 2 functions as a module, shorter README, release tag</w:t>
            </w:r>
          </w:p>
        </w:tc>
      </w:tr>
    </w:tbl>
    <w:p>
      <w:pPr>
        <w:spacing w:after="40"/>
      </w:pPr>
    </w:p>
    <w:p>
      <w:pPr>
        <w:pStyle w:val="Heading2"/>
      </w:pPr>
      <w:r>
        <w:t>11.2  Decisions that need Prof. Wong's view</w:t>
      </w:r>
    </w:p>
    <w:p>
      <w:pPr>
        <w:pStyle w:val="ListNumber"/>
        <w:spacing w:after="60"/>
        <w:numPr>
          <w:ilvl w:val="0"/>
          <w:numId w:val="12"/>
        </w:numPr>
      </w:pPr>
      <w:r>
        <w:rPr>
          <w:b/>
        </w:rPr>
        <w:t>Positioning against SelectSim</w:t>
      </w:r>
      <w:r>
        <w:rPr>
          <w:b w:val="0"/>
        </w:rPr>
        <w:t xml:space="preserve"> (Nature Genetics 2026), which covers mutation-driven pairs in MSK and DFCI: should the thesis lead with what it does not cover -- copy-number and fusion partners, all-centre panel-aware statistics, artefact audits and the tool?</w:t>
      </w:r>
    </w:p>
    <w:p>
      <w:pPr>
        <w:pStyle w:val="ListNumber"/>
        <w:spacing w:after="60"/>
        <w:numPr>
          <w:ilvl w:val="0"/>
          <w:numId w:val="12"/>
        </w:numPr>
      </w:pPr>
      <w:r>
        <w:rPr>
          <w:b/>
        </w:rPr>
        <w:t>Main analysis = non-hypermutated patients.</w:t>
      </w:r>
      <w:r>
        <w:rPr>
          <w:b w:val="0"/>
        </w:rPr>
        <w:t xml:space="preserve"> Agree that hypermutated tumours are reported descriptively only? (Replication and the mutation-load check both support it.)</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7009281</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p>
            <w:pPr>
              <w:spacing w:after="60"/>
            </w:pPr>
            <w:r>
              <w:rPr>
                <w:sz w:val="20"/>
              </w:rPr>
              <w:t>•  A first, simplified “SELECT-style” score was withdrawn on 26 Oct because it was not SELECT; the benchmark now uses a faithful re-implementation (Part 10.4).</w:t>
            </w:r>
          </w:p>
          <w:p>
            <w:pPr>
              <w:spacing w:after="60"/>
            </w:pPr>
            <w:r>
              <w:rPr>
                <w:sz w:val="20"/>
              </w:rPr>
              <w:t>•  The repository history was rewritten on 27 Oct to remove individual-level GENIE data, so every commit hash changed; notes written before then cite the old hashes.</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six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November: repository improvements as small weekly commits (tests, automatic checks, Phase 2 functions moved into a module, README quick start, release tag at submission).</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 README.md (Status), docs/supervisor_summary.md, git log and status of 27 Oct 2026, results/logs/.</w:t>
      </w:r>
      <w:r>
        <w:rPr>
          <w:color w:val="555B66"/>
          <w:sz w:val="17"/>
        </w:rPr>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shows that phase's publication figures,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Tables produced by the notebooks and scripts; aggregate tables are tracked, individual-level ones (clinical_tidy, alterations_long, putative_biallelic_tsg_events) are not</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 each is also shown in the notebook of its phase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summaries 05 and 06.</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hypermutated / ultramutated</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TMB 10-100 / TMB &gt;= 100 mutations per million DNA letters (usually mismatch-repair or POLE defects); analysed separately / excluded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interaction candidate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significant pair (q &lt; 0.05) that is not explained by one shared copy-number event</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curveball shuffle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randomisation that swaps alterations between pairs of tumours while keeping every tumour's and every gene's count; used to make data with no real links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effect size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far an observed pattern is from what chance predicts (here observed/expected; for SELECT, weighted mutual information above its null)</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empirical FDR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false discovery rate estimated by counting how many calls the method makes on shuffled data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Mina et al. 2017: scores pairs by weighted mutual information against a shuffled null; re-implemented here for the benchmark</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SelectSim</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Iyer et al. 2026: the closest recent co-mutation atlas (GENIE MSK + DFCI and TCGA, mutations only)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MLA (mutation load association)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van de Haar 2019: does a gene tend to be altered in low-load or high-load tumours? Strongly negative values signal load confounding</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Checking every robust pair against the literature and the SelectSim atlas before calling anything new</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oncoprint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grid with genes as rows and patients as columns, coloured by alteration type; shows exclusivity as a staircase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UpSet plot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bar chart of how many patients carry each exact combination of alterations</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7811201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7009281)</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 re-implemented from its published methods and benchmarked (calibrated; best at ranking the strongest pairs); review statements about van de Haar 2019 and Scharpf 2022 checked against their full texts and corrected; mutation-load confounding check added (script 21); Mina 2020 citations made precise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27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Individual-level GENIE tables and patient IDs removed from the public repository and its history; notebook 01 shows table schemas instead of rows; this guide updated; development paused for reading</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