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color w:val="2A7F8E"/>
          <w:sz w:val="21"/>
        </w:rPr>
        <w:t>FINAL YEAR PROJECT  ·  HKU B.Sc. BIOINFORMATICS</w:t>
      </w:r>
    </w:p>
    <w:p>
      <w:pPr>
        <w:spacing w:after="160"/>
      </w:pPr>
      <w:r>
        <w:rPr>
          <w:b/>
          <w:color w:val="1F3A5F"/>
          <w:sz w:val="56"/>
        </w:rPr>
        <w:t>Learning Cancer Mutation Landscapes from Large-Scale Somatic Mutation Testing Data</w:t>
      </w:r>
    </w:p>
    <w:p>
      <w:pPr>
        <w:spacing w:after="600"/>
      </w:pPr>
      <w:r>
        <w:rPr>
          <w:color w:val="555B66"/>
          <w:sz w:val="28"/>
        </w:rPr>
        <w:t>Project onboarding guide: the background, what others have done, our data and methods, and where the work stands today</w:t>
      </w:r>
    </w:p>
    <w:tbl>
      <w:tblPr>
        <w:tblW w:type="auto" w:w="0"/>
        <w:jc w:val="center"/>
        <w:tblLayout w:type="fixed"/>
        <w:tblLook w:firstColumn="1" w:firstRow="1" w:lastColumn="0" w:lastRow="0" w:noHBand="0" w:noVBand="1" w:val="04A0"/>
        <w:tblLayout w:type="fixed"/>
      </w:tblPr>
      <w:tblGrid>
        <w:gridCol w:w="2041"/>
        <w:gridCol w:w="7597"/>
      </w:tblGrid>
      <w:tr>
        <w:trPr>
          <w:cantSplit w:val="true"/>
          <w:tblHeader w:val="true"/>
        </w:trPr>
        <w:tc>
          <w:tcPr>
            <w:tcW w:type="dxa" w:w="2041"/>
            <w:shd w:val="clear" w:color="auto" w:fill="FFFFFF"/>
            <w:tcMar>
              <w:top w:w="60" w:type="dxa"/>
              <w:left w:w="90" w:type="dxa"/>
              <w:bottom w:w="60" w:type="dxa"/>
              <w:right w:w="90" w:type="dxa"/>
            </w:tcMar>
          </w:tcPr>
          <w:p>
            <w:pPr>
              <w:spacing w:after="0"/>
            </w:pPr>
            <w:r>
              <w:rPr>
                <w:b/>
                <w:color w:val="FFFFFF"/>
                <w:sz w:val="20"/>
              </w:rPr>
            </w:r>
          </w:p>
        </w:tc>
        <w:tc>
          <w:tcPr>
            <w:tcW w:type="dxa" w:w="7597"/>
            <w:shd w:val="clear" w:color="auto" w:fill="FFFFFF"/>
            <w:tcMar>
              <w:top w:w="60" w:type="dxa"/>
              <w:left w:w="90" w:type="dxa"/>
              <w:bottom w:w="60" w:type="dxa"/>
              <w:right w:w="90" w:type="dxa"/>
            </w:tcMar>
          </w:tcPr>
          <w:p>
            <w:pPr>
              <w:spacing w:after="0"/>
            </w:pPr>
            <w:r>
              <w:rPr>
                <w:b/>
                <w:color w:val="FFFFFF"/>
                <w:sz w:val="20"/>
              </w:rPr>
            </w:r>
          </w:p>
        </w:tc>
      </w:tr>
      <w:tr>
        <w:trPr>
          <w:cantSplit w:val="true"/>
        </w:trPr>
        <w:tc>
          <w:tcPr>
            <w:tcW w:type="dxa" w:w="204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20"/>
              </w:rPr>
              <w:t>Supervisor</w:t>
            </w:r>
          </w:p>
        </w:tc>
        <w:tc>
          <w:tcPr>
            <w:tcW w:type="dxa" w:w="7597"/>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20"/>
              </w:rPr>
              <w:t>Prof. Jason Wong</w:t>
            </w:r>
          </w:p>
        </w:tc>
      </w:tr>
      <w:tr>
        <w:trPr>
          <w:cantSplit w:val="true"/>
        </w:trPr>
        <w:tc>
          <w:tcPr>
            <w:tcW w:type="dxa" w:w="204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20"/>
              </w:rPr>
              <w:t>Data</w:t>
            </w:r>
          </w:p>
        </w:tc>
        <w:tc>
          <w:tcPr>
            <w:tcW w:type="dxa" w:w="7597"/>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20"/>
              </w:rPr>
              <w:t>AACR Project GENIE public release v19.0 (about 270,000 clinical tumour sequencing samples)</w:t>
            </w:r>
          </w:p>
        </w:tc>
      </w:tr>
      <w:tr>
        <w:trPr>
          <w:cantSplit w:val="true"/>
        </w:trPr>
        <w:tc>
          <w:tcPr>
            <w:tcW w:type="dxa" w:w="204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20"/>
              </w:rPr>
              <w:t>Snapshot date</w:t>
            </w:r>
          </w:p>
        </w:tc>
        <w:tc>
          <w:tcPr>
            <w:tcW w:type="dxa" w:w="7597"/>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20"/>
              </w:rPr>
              <w:t>25 October 2026 (adds R figures, a novelty screen and a comparison with the SelectSim atlas)</w:t>
            </w:r>
          </w:p>
        </w:tc>
      </w:tr>
      <w:tr>
        <w:trPr>
          <w:cantSplit w:val="true"/>
        </w:trPr>
        <w:tc>
          <w:tcPr>
            <w:tcW w:type="dxa" w:w="204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20"/>
              </w:rPr>
              <w:t>Written for</w:t>
            </w:r>
          </w:p>
        </w:tc>
        <w:tc>
          <w:tcPr>
            <w:tcW w:type="dxa" w:w="7597"/>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20"/>
              </w:rPr>
              <w:t>Someone new to the project who wants to understand it end to end, without prior knowledge of the code</w:t>
            </w:r>
          </w:p>
        </w:tc>
      </w:tr>
      <w:tr>
        <w:trPr>
          <w:cantSplit w:val="true"/>
        </w:trPr>
        <w:tc>
          <w:tcPr>
            <w:tcW w:type="dxa" w:w="204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20"/>
              </w:rPr>
              <w:t>Status</w:t>
            </w:r>
          </w:p>
        </w:tc>
        <w:tc>
          <w:tcPr>
            <w:tcW w:type="dxa" w:w="7597"/>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20"/>
              </w:rPr>
              <w:t>Everything has finished running and is committed (including the 25 Oct additions). Numbers in this guide match the final outputs. Open items are listed in Part 11.</w:t>
            </w:r>
          </w:p>
        </w:tc>
      </w:tr>
    </w:tbl>
    <w:p>
      <w:pPr>
        <w:spacing w:after="40"/>
      </w:pPr>
    </w:p>
    <w:p>
      <w:r>
        <w:br w:type="page"/>
      </w:r>
    </w:p>
    <w:p>
      <w:pPr>
        <w:pStyle w:val="Heading1"/>
      </w:pPr>
      <w:r>
        <w:t>How to read this guide</w:t>
      </w:r>
    </w:p>
    <w:p>
      <w:r>
        <w:t xml:space="preserve">The guide is written as one story in twelve parts. You can read it straight through, or stop after any part and ask questions. Terms in </w:t>
      </w:r>
      <w:r>
        <w:rPr>
          <w:i/>
        </w:rPr>
        <w:t>italics</w:t>
      </w:r>
      <w:r>
        <w:t xml:space="preserve"> are explained in the glossary (Appendix A). Each part ends with the source files it was built from, so every claim can be checked.</w:t>
      </w:r>
    </w:p>
    <w:tbl>
      <w:tblPr>
        <w:tblW w:type="auto" w:w="0"/>
        <w:jc w:val="center"/>
        <w:tblLayout w:type="fixed"/>
        <w:tblLook w:firstColumn="1" w:firstRow="1" w:lastColumn="0" w:lastRow="0" w:noHBand="0" w:noVBand="1" w:val="04A0"/>
        <w:tblLayout w:type="fixed"/>
      </w:tblPr>
      <w:tblGrid>
        <w:gridCol w:w="680"/>
        <w:gridCol w:w="2608"/>
        <w:gridCol w:w="4876"/>
        <w:gridCol w:w="1474"/>
      </w:tblGrid>
      <w:tr>
        <w:trPr>
          <w:cantSplit w:val="true"/>
          <w:tblHeader w:val="true"/>
        </w:trPr>
        <w:tc>
          <w:tcPr>
            <w:tcW w:type="dxa" w:w="680"/>
            <w:shd w:val="clear" w:color="auto" w:fill="1F3A5F"/>
            <w:tcMar>
              <w:top w:w="60" w:type="dxa"/>
              <w:left w:w="90" w:type="dxa"/>
              <w:bottom w:w="60" w:type="dxa"/>
              <w:right w:w="90" w:type="dxa"/>
            </w:tcMar>
          </w:tcPr>
          <w:p>
            <w:pPr>
              <w:spacing w:after="0"/>
            </w:pPr>
            <w:r>
              <w:rPr>
                <w:b/>
                <w:color w:val="FFFFFF"/>
                <w:sz w:val="18"/>
              </w:rPr>
              <w:t>Part</w:t>
            </w:r>
          </w:p>
        </w:tc>
        <w:tc>
          <w:tcPr>
            <w:tcW w:type="dxa" w:w="2608"/>
            <w:shd w:val="clear" w:color="auto" w:fill="1F3A5F"/>
            <w:tcMar>
              <w:top w:w="60" w:type="dxa"/>
              <w:left w:w="90" w:type="dxa"/>
              <w:bottom w:w="60" w:type="dxa"/>
              <w:right w:w="90" w:type="dxa"/>
            </w:tcMar>
          </w:tcPr>
          <w:p>
            <w:pPr>
              <w:spacing w:after="0"/>
            </w:pPr>
            <w:r>
              <w:rPr>
                <w:b/>
                <w:color w:val="FFFFFF"/>
                <w:sz w:val="18"/>
              </w:rPr>
              <w:t>Title</w:t>
            </w:r>
          </w:p>
        </w:tc>
        <w:tc>
          <w:tcPr>
            <w:tcW w:type="dxa" w:w="4876"/>
            <w:shd w:val="clear" w:color="auto" w:fill="1F3A5F"/>
            <w:tcMar>
              <w:top w:w="60" w:type="dxa"/>
              <w:left w:w="90" w:type="dxa"/>
              <w:bottom w:w="60" w:type="dxa"/>
              <w:right w:w="90" w:type="dxa"/>
            </w:tcMar>
          </w:tcPr>
          <w:p>
            <w:pPr>
              <w:spacing w:after="0"/>
            </w:pPr>
            <w:r>
              <w:rPr>
                <w:b/>
                <w:color w:val="FFFFFF"/>
                <w:sz w:val="18"/>
              </w:rPr>
              <w:t>You will learn</w:t>
            </w:r>
          </w:p>
        </w:tc>
        <w:tc>
          <w:tcPr>
            <w:tcW w:type="dxa" w:w="1474"/>
            <w:shd w:val="clear" w:color="auto" w:fill="1F3A5F"/>
            <w:tcMar>
              <w:top w:w="60" w:type="dxa"/>
              <w:left w:w="90" w:type="dxa"/>
              <w:bottom w:w="60" w:type="dxa"/>
              <w:right w:w="90" w:type="dxa"/>
            </w:tcMar>
          </w:tcPr>
          <w:p>
            <w:pPr>
              <w:spacing w:after="0"/>
            </w:pPr>
            <w:r>
              <w:rPr>
                <w:b/>
                <w:color w:val="FFFFFF"/>
                <w:sz w:val="18"/>
              </w:rPr>
              <w:t>Reading time</w:t>
            </w:r>
          </w:p>
        </w:tc>
      </w:tr>
      <w:tr>
        <w:trPr>
          <w:cantSplit w:val="true"/>
        </w:trPr>
        <w:tc>
          <w:tcPr>
            <w:tcW w:type="dxa" w:w="68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1</w:t>
            </w:r>
          </w:p>
        </w:tc>
        <w:tc>
          <w:tcPr>
            <w:tcW w:type="dxa" w:w="260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The story in one page</w:t>
            </w:r>
          </w:p>
        </w:tc>
        <w:tc>
          <w:tcPr>
            <w:tcW w:type="dxa" w:w="4876"/>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The whole project in five minutes</w:t>
            </w:r>
          </w:p>
        </w:tc>
        <w:tc>
          <w:tcPr>
            <w:tcW w:type="dxa" w:w="147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5 min</w:t>
            </w:r>
          </w:p>
        </w:tc>
      </w:tr>
      <w:tr>
        <w:trPr>
          <w:cantSplit w:val="true"/>
        </w:trPr>
        <w:tc>
          <w:tcPr>
            <w:tcW w:type="dxa" w:w="68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2</w:t>
            </w:r>
          </w:p>
        </w:tc>
        <w:tc>
          <w:tcPr>
            <w:tcW w:type="dxa" w:w="260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Background</w:t>
            </w:r>
          </w:p>
        </w:tc>
        <w:tc>
          <w:tcPr>
            <w:tcW w:type="dxa" w:w="4876"/>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What co-occurrence and exclusivity are, and why clinicians care</w:t>
            </w:r>
          </w:p>
        </w:tc>
        <w:tc>
          <w:tcPr>
            <w:tcW w:type="dxa" w:w="147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10 min</w:t>
            </w:r>
          </w:p>
        </w:tc>
      </w:tr>
      <w:tr>
        <w:trPr>
          <w:cantSplit w:val="true"/>
        </w:trPr>
        <w:tc>
          <w:tcPr>
            <w:tcW w:type="dxa" w:w="68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3</w:t>
            </w:r>
          </w:p>
        </w:tc>
        <w:tc>
          <w:tcPr>
            <w:tcW w:type="dxa" w:w="260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What has been done before</w:t>
            </w:r>
          </w:p>
        </w:tc>
        <w:tc>
          <w:tcPr>
            <w:tcW w:type="dxa" w:w="4876"/>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Published methods, the data they used, the gap we fill</w:t>
            </w:r>
          </w:p>
        </w:tc>
        <w:tc>
          <w:tcPr>
            <w:tcW w:type="dxa" w:w="147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15 min</w:t>
            </w:r>
          </w:p>
        </w:tc>
      </w:tr>
      <w:tr>
        <w:trPr>
          <w:cantSplit w:val="true"/>
        </w:trPr>
        <w:tc>
          <w:tcPr>
            <w:tcW w:type="dxa" w:w="68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4</w:t>
            </w:r>
          </w:p>
        </w:tc>
        <w:tc>
          <w:tcPr>
            <w:tcW w:type="dxa" w:w="260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The data: AACR GENIE</w:t>
            </w:r>
          </w:p>
        </w:tc>
        <w:tc>
          <w:tcPr>
            <w:tcW w:type="dxa" w:w="4876"/>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What is in the data, and the trap hidden in it</w:t>
            </w:r>
          </w:p>
        </w:tc>
        <w:tc>
          <w:tcPr>
            <w:tcW w:type="dxa" w:w="147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10 min</w:t>
            </w:r>
          </w:p>
        </w:tc>
      </w:tr>
      <w:tr>
        <w:trPr>
          <w:cantSplit w:val="true"/>
        </w:trPr>
        <w:tc>
          <w:tcPr>
            <w:tcW w:type="dxa" w:w="68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5</w:t>
            </w:r>
          </w:p>
        </w:tc>
        <w:tc>
          <w:tcPr>
            <w:tcW w:type="dxa" w:w="260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Aims and how they evolved</w:t>
            </w:r>
          </w:p>
        </w:tc>
        <w:tc>
          <w:tcPr>
            <w:tcW w:type="dxa" w:w="4876"/>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Why the project changed direction in September 2026</w:t>
            </w:r>
          </w:p>
        </w:tc>
        <w:tc>
          <w:tcPr>
            <w:tcW w:type="dxa" w:w="147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5 min</w:t>
            </w:r>
          </w:p>
        </w:tc>
      </w:tr>
      <w:tr>
        <w:trPr>
          <w:cantSplit w:val="true"/>
        </w:trPr>
        <w:tc>
          <w:tcPr>
            <w:tcW w:type="dxa" w:w="68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6</w:t>
            </w:r>
          </w:p>
        </w:tc>
        <w:tc>
          <w:tcPr>
            <w:tcW w:type="dxa" w:w="260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Phase 1: cleaning the data</w:t>
            </w:r>
          </w:p>
        </w:tc>
        <w:tc>
          <w:tcPr>
            <w:tcW w:type="dxa" w:w="4876"/>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How raw files become a trustworthy table</w:t>
            </w:r>
          </w:p>
        </w:tc>
        <w:tc>
          <w:tcPr>
            <w:tcW w:type="dxa" w:w="147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10 min</w:t>
            </w:r>
          </w:p>
        </w:tc>
      </w:tr>
      <w:tr>
        <w:trPr>
          <w:cantSplit w:val="true"/>
        </w:trPr>
        <w:tc>
          <w:tcPr>
            <w:tcW w:type="dxa" w:w="68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7</w:t>
            </w:r>
          </w:p>
        </w:tc>
        <w:tc>
          <w:tcPr>
            <w:tcW w:type="dxa" w:w="260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Phase 2: testing gene pairs</w:t>
            </w:r>
          </w:p>
        </w:tc>
        <w:tc>
          <w:tcPr>
            <w:tcW w:type="dxa" w:w="4876"/>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The statistical core, and why we do not use the usual test</w:t>
            </w:r>
          </w:p>
        </w:tc>
        <w:tc>
          <w:tcPr>
            <w:tcW w:type="dxa" w:w="147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20 min</w:t>
            </w:r>
          </w:p>
        </w:tc>
      </w:tr>
      <w:tr>
        <w:trPr>
          <w:cantSplit w:val="true"/>
        </w:trPr>
        <w:tc>
          <w:tcPr>
            <w:tcW w:type="dxa" w:w="68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8</w:t>
            </w:r>
          </w:p>
        </w:tc>
        <w:tc>
          <w:tcPr>
            <w:tcW w:type="dxa" w:w="260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Phase 3: the lookup tool</w:t>
            </w:r>
          </w:p>
        </w:tc>
        <w:tc>
          <w:tcPr>
            <w:tcW w:type="dxa" w:w="4876"/>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What a clinician can ask, and how each answer is built</w:t>
            </w:r>
          </w:p>
        </w:tc>
        <w:tc>
          <w:tcPr>
            <w:tcW w:type="dxa" w:w="147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10 min</w:t>
            </w:r>
          </w:p>
        </w:tc>
      </w:tr>
      <w:tr>
        <w:trPr>
          <w:cantSplit w:val="true"/>
        </w:trPr>
        <w:tc>
          <w:tcPr>
            <w:tcW w:type="dxa" w:w="68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9</w:t>
            </w:r>
          </w:p>
        </w:tc>
        <w:tc>
          <w:tcPr>
            <w:tcW w:type="dxa" w:w="260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Phase 4: biological insight</w:t>
            </w:r>
          </w:p>
        </w:tc>
        <w:tc>
          <w:tcPr>
            <w:tcW w:type="dxa" w:w="4876"/>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What the patterns mean, and a blind spot we found</w:t>
            </w:r>
          </w:p>
        </w:tc>
        <w:tc>
          <w:tcPr>
            <w:tcW w:type="dxa" w:w="147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10 min</w:t>
            </w:r>
          </w:p>
        </w:tc>
      </w:tr>
      <w:tr>
        <w:trPr>
          <w:cantSplit w:val="true"/>
        </w:trPr>
        <w:tc>
          <w:tcPr>
            <w:tcW w:type="dxa" w:w="68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10</w:t>
            </w:r>
          </w:p>
        </w:tc>
        <w:tc>
          <w:tcPr>
            <w:tcW w:type="dxa" w:w="260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Independent checks</w:t>
            </w:r>
          </w:p>
        </w:tc>
        <w:tc>
          <w:tcPr>
            <w:tcW w:type="dxa" w:w="4876"/>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External validation in TCGA and head-to-head method tests</w:t>
            </w:r>
          </w:p>
        </w:tc>
        <w:tc>
          <w:tcPr>
            <w:tcW w:type="dxa" w:w="147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10 min</w:t>
            </w:r>
          </w:p>
        </w:tc>
      </w:tr>
      <w:tr>
        <w:trPr>
          <w:cantSplit w:val="true"/>
        </w:trPr>
        <w:tc>
          <w:tcPr>
            <w:tcW w:type="dxa" w:w="68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11</w:t>
            </w:r>
          </w:p>
        </w:tc>
        <w:tc>
          <w:tcPr>
            <w:tcW w:type="dxa" w:w="260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Where things stand</w:t>
            </w:r>
          </w:p>
        </w:tc>
        <w:tc>
          <w:tcPr>
            <w:tcW w:type="dxa" w:w="4876"/>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Progress, open decisions, caveats, next steps</w:t>
            </w:r>
          </w:p>
        </w:tc>
        <w:tc>
          <w:tcPr>
            <w:tcW w:type="dxa" w:w="147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10 min</w:t>
            </w:r>
          </w:p>
        </w:tc>
      </w:tr>
      <w:tr>
        <w:trPr>
          <w:cantSplit w:val="true"/>
        </w:trPr>
        <w:tc>
          <w:tcPr>
            <w:tcW w:type="dxa" w:w="68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12</w:t>
            </w:r>
          </w:p>
        </w:tc>
        <w:tc>
          <w:tcPr>
            <w:tcW w:type="dxa" w:w="260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Navigating the repository</w:t>
            </w:r>
          </w:p>
        </w:tc>
        <w:tc>
          <w:tcPr>
            <w:tcW w:type="dxa" w:w="4876"/>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Where everything lives, and how to reproduce it</w:t>
            </w:r>
          </w:p>
        </w:tc>
        <w:tc>
          <w:tcPr>
            <w:tcW w:type="dxa" w:w="147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5 min</w:t>
            </w:r>
          </w:p>
        </w:tc>
      </w:tr>
    </w:tbl>
    <w:p>
      <w:pPr>
        <w:spacing w:after="40"/>
      </w:pPr>
    </w:p>
    <w:tbl>
      <w:tblPr>
        <w:tblW w:type="auto" w:w="0"/>
        <w:jc w:val="center"/>
        <w:tblLook w:firstColumn="1" w:firstRow="1" w:lastColumn="0" w:lastRow="0" w:noHBand="0" w:noVBand="1" w:val="04A0"/>
        <w:tblLayout w:type="fixed"/>
      </w:tblPr>
      <w:tblGrid>
        <w:gridCol w:w="9639"/>
      </w:tblGrid>
      <w:tr>
        <w:trPr>
          <w:cantSplit w:val="true"/>
        </w:trPr>
        <w:tc>
          <w:tcPr>
            <w:tcW w:type="dxa" w:w="9638"/>
            <w:shd w:val="clear" w:color="auto" w:fill="EAF3F5"/>
            <w:tcMar>
              <w:top w:w="110" w:type="dxa"/>
              <w:left w:w="200" w:type="dxa"/>
              <w:bottom w:w="110" w:type="dxa"/>
              <w:right w:w="160" w:type="dxa"/>
            </w:tcMar>
            <w:tcBorders>
              <w:top w:val="nil" w:sz="0" w:color="FFFFFF"/>
              <w:left w:val="single" w:sz="24" w:color="2A7F8E"/>
              <w:bottom w:val="nil" w:sz="0" w:color="FFFFFF"/>
              <w:right w:val="nil" w:sz="0" w:color="FFFFFF"/>
            </w:tcBorders>
          </w:tcPr>
          <w:p>
            <w:pPr>
              <w:spacing w:after="40"/>
            </w:pPr>
            <w:r>
              <w:rPr>
                <w:b/>
                <w:color w:val="2A7F8E"/>
                <w:sz w:val="21"/>
              </w:rPr>
              <w:t>A suggested way to read</w:t>
            </w:r>
          </w:p>
          <w:p>
            <w:pPr>
              <w:spacing w:after="60"/>
            </w:pPr>
            <w:r>
              <w:rPr>
                <w:b/>
                <w:sz w:val="20"/>
              </w:rPr>
              <w:t>Session 1:</w:t>
            </w:r>
            <w:r>
              <w:rPr>
                <w:sz w:val="20"/>
              </w:rPr>
              <w:t xml:space="preserve"> Parts 1-5 (the why and the data).  </w:t>
            </w:r>
            <w:r>
              <w:rPr>
                <w:b/>
                <w:sz w:val="20"/>
              </w:rPr>
              <w:t>Session 2:</w:t>
            </w:r>
            <w:r>
              <w:rPr>
                <w:sz w:val="20"/>
              </w:rPr>
              <w:t xml:space="preserve"> Parts 6-7 (the pipeline and the statistics).  </w:t>
            </w:r>
            <w:r>
              <w:rPr>
                <w:b/>
                <w:sz w:val="20"/>
              </w:rPr>
              <w:t>Session 3:</w:t>
            </w:r>
            <w:r>
              <w:rPr>
                <w:sz w:val="20"/>
              </w:rPr>
              <w:t xml:space="preserve"> Parts 8-11 (the tool, the biology, the status).  Part 12 is a reference.</w:t>
            </w:r>
          </w:p>
        </w:tc>
      </w:tr>
    </w:tbl>
    <w:p>
      <w:pPr>
        <w:spacing w:after="40"/>
      </w:pPr>
    </w:p>
    <w:p>
      <w:r>
        <w:br w:type="page"/>
      </w:r>
    </w:p>
    <w:p>
      <w:pPr>
        <w:spacing w:after="0"/>
      </w:pPr>
      <w:r>
        <w:rPr>
          <w:b/>
          <w:color w:val="2A7F8E"/>
          <w:sz w:val="20"/>
        </w:rPr>
        <w:t>PART 1</w:t>
      </w:r>
    </w:p>
    <w:p>
      <w:pPr>
        <w:pStyle w:val="Heading1"/>
      </w:pPr>
      <w:r>
        <w:t>The story in one page</w:t>
      </w:r>
    </w:p>
    <w:p>
      <w:pPr>
        <w:spacing w:after="200"/>
      </w:pPr>
      <w:r>
        <w:rPr>
          <w:color w:val="555B66"/>
          <w:sz w:val="23"/>
        </w:rPr>
        <w:t>Start here. Everything else is detail.</w:t>
      </w:r>
    </w:p>
    <w:tbl>
      <w:tblPr>
        <w:tblW w:type="auto" w:w="0"/>
        <w:jc w:val="center"/>
        <w:tblLook w:firstColumn="1" w:firstRow="1" w:lastColumn="0" w:lastRow="0" w:noHBand="0" w:noVBand="1" w:val="04A0"/>
        <w:tblLayout w:type="fixed"/>
      </w:tblPr>
      <w:tblGrid>
        <w:gridCol w:w="9639"/>
      </w:tblGrid>
      <w:tr>
        <w:trPr>
          <w:cantSplit w:val="true"/>
        </w:trPr>
        <w:tc>
          <w:tcPr>
            <w:tcW w:type="dxa" w:w="9638"/>
            <w:shd w:val="clear" w:color="auto" w:fill="EAF3F5"/>
            <w:tcMar>
              <w:top w:w="110" w:type="dxa"/>
              <w:left w:w="200" w:type="dxa"/>
              <w:bottom w:w="110" w:type="dxa"/>
              <w:right w:w="160" w:type="dxa"/>
            </w:tcMar>
            <w:tcBorders>
              <w:top w:val="nil" w:sz="0" w:color="FFFFFF"/>
              <w:left w:val="single" w:sz="24" w:color="2A7F8E"/>
              <w:bottom w:val="nil" w:sz="0" w:color="FFFFFF"/>
              <w:right w:val="nil" w:sz="0" w:color="FFFFFF"/>
            </w:tcBorders>
          </w:tcPr>
          <w:p>
            <w:pPr>
              <w:spacing w:after="40"/>
            </w:pPr>
            <w:r>
              <w:rPr>
                <w:b/>
                <w:color w:val="2A7F8E"/>
                <w:sz w:val="21"/>
              </w:rPr>
              <w:t>A patient, and a question</w:t>
            </w:r>
          </w:p>
          <w:p>
            <w:pPr>
              <w:spacing w:after="60"/>
            </w:pPr>
            <w:r>
              <w:rPr>
                <w:sz w:val="20"/>
              </w:rPr>
              <w:t xml:space="preserve">A lung cancer patient's tumour report comes back listing a </w:t>
            </w:r>
            <w:r>
              <w:rPr>
                <w:i/>
                <w:sz w:val="20"/>
              </w:rPr>
              <w:t>KRAS</w:t>
            </w:r>
            <w:r>
              <w:rPr>
                <w:sz w:val="20"/>
              </w:rPr>
              <w:t xml:space="preserve"> G12C mutation together with an </w:t>
            </w:r>
            <w:r>
              <w:rPr>
                <w:i/>
                <w:sz w:val="20"/>
              </w:rPr>
              <w:t>STK11</w:t>
            </w:r>
            <w:r>
              <w:rPr>
                <w:sz w:val="20"/>
              </w:rPr>
              <w:t xml:space="preserve"> mutation. The molecular tumour board asks: </w:t>
            </w:r>
            <w:r>
              <w:rPr>
                <w:b/>
                <w:sz w:val="20"/>
              </w:rPr>
              <w:t>how common is this combination? Does it change how we treat this patient?</w:t>
            </w:r>
            <w:r>
              <w:rPr>
                <w:sz w:val="20"/>
              </w:rPr>
              <w:t xml:space="preserve"> Today nobody can answer quickly. Someone has to search a large public database by hand, and the one-hospital caseload is far too small to say anything reliable.</w:t>
            </w:r>
          </w:p>
        </w:tc>
      </w:tr>
    </w:tbl>
    <w:p>
      <w:pPr>
        <w:spacing w:after="40"/>
      </w:pPr>
    </w:p>
    <w:p>
      <w:r>
        <w:t xml:space="preserve">This project builds the answer. It uses </w:t>
      </w:r>
      <w:r>
        <w:rPr>
          <w:b/>
        </w:rPr>
        <w:t>AACR Project GENIE</w:t>
      </w:r>
      <w:r>
        <w:t xml:space="preserve">, a public database that pools clinical tumour sequencing from many hospitals (about 270,000 samples), to learn </w:t>
      </w:r>
      <w:r>
        <w:rPr>
          <w:b/>
        </w:rPr>
        <w:t>which gene alterations occur together, and which avoid each other, within each cancer type</w:t>
      </w:r>
      <w:r>
        <w:t xml:space="preserve">. It then turns that knowledge into a </w:t>
      </w:r>
      <w:r>
        <w:rPr>
          <w:b/>
        </w:rPr>
        <w:t>lookup tool</w:t>
      </w:r>
      <w:r>
        <w:t xml:space="preserve"> for clinicians, and mines it for biological insight.</w:t>
      </w:r>
    </w:p>
    <w:p>
      <w:pPr>
        <w:pStyle w:val="Heading3"/>
      </w:pPr>
      <w:r>
        <w:t>The story in five steps</w:t>
      </w:r>
    </w:p>
    <w:p>
      <w:pPr>
        <w:pStyle w:val="ListNumber"/>
        <w:spacing w:after="60"/>
        <w:numPr>
          <w:ilvl w:val="0"/>
          <w:numId w:val="10"/>
        </w:numPr>
      </w:pPr>
      <w:r>
        <w:rPr>
          <w:b/>
        </w:rPr>
        <w:t>The data is messy in a way that silently biases results.</w:t>
      </w:r>
      <w:r>
        <w:t xml:space="preserve"> Hospitals used 167 different gene panels. If a gene was not on a patient's panel, the file simply shows no mutation, which looks identical to </w:t>
      </w:r>
      <w:r>
        <w:rPr>
          <w:i/>
        </w:rPr>
        <w:t>tested and clean</w:t>
      </w:r>
      <w:r>
        <w:t>. Count those patients as clean and every frequency is wrong.</w:t>
      </w:r>
    </w:p>
    <w:p>
      <w:pPr>
        <w:pStyle w:val="ListNumber"/>
        <w:spacing w:after="60"/>
        <w:numPr>
          <w:ilvl w:val="0"/>
          <w:numId w:val="10"/>
        </w:numPr>
      </w:pPr>
      <w:r>
        <w:rPr>
          <w:b/>
        </w:rPr>
        <w:t>Phase 1 cleans the data and records what was actually tested.</w:t>
      </w:r>
      <w:r>
        <w:t xml:space="preserve"> It keeps likely-harmful alterations only (mutations, deep copy-number changes and driver gene fusions), one sample per patient, and tracks per patient which genes were tested for each type.</w:t>
      </w:r>
    </w:p>
    <w:p>
      <w:pPr>
        <w:pStyle w:val="ListNumber"/>
        <w:spacing w:after="60"/>
        <w:numPr>
          <w:ilvl w:val="0"/>
          <w:numId w:val="10"/>
        </w:numPr>
      </w:pPr>
      <w:r>
        <w:rPr>
          <w:b/>
        </w:rPr>
        <w:t>Phase 2 tests every gene pair fairly.</w:t>
      </w:r>
      <w:r>
        <w:t xml:space="preserve"> The usual test (Fisher's) calls 72% of pairs significant, because a few heavily mutated tumours make everything look linked. We use a test that compares each patient with their own number of alterations, adjust for cancer subtype, and require the result to replicate in other hospitals and, independently, in TCGA.</w:t>
      </w:r>
    </w:p>
    <w:p>
      <w:pPr>
        <w:pStyle w:val="ListNumber"/>
        <w:spacing w:after="60"/>
        <w:numPr>
          <w:ilvl w:val="0"/>
          <w:numId w:val="10"/>
        </w:numPr>
      </w:pPr>
      <w:r>
        <w:rPr>
          <w:b/>
        </w:rPr>
        <w:t>Phase 3 is the lookup tool.</w:t>
      </w:r>
      <w:r>
        <w:t xml:space="preserve"> It answers five clinical questions, from “what else is usually altered with this?” to “what treatment evidence exists?”. Simple per-gene prediction models beat the originally planned similarity matching.</w:t>
      </w:r>
    </w:p>
    <w:p>
      <w:pPr>
        <w:pStyle w:val="ListNumber"/>
        <w:spacing w:after="60"/>
        <w:numPr>
          <w:ilvl w:val="0"/>
          <w:numId w:val="10"/>
        </w:numPr>
      </w:pPr>
      <w:r>
        <w:rPr/>
        <w:t>Phase 4 asks why. Exclusive pairs sit in the same biological pathway; a third of interactions change between cancer types; part of a famous KRAS association is explained by smoking. It also exposed a blind spot in our own method. A novelty audit then checked every robust pair against the literature and the largest recent atlas (SelectSim, 2026): the driver-pair landscape of common cancers turns out to be almost fully reported, so the project's distinct value lies in copy-number and fusion partners, panel-aware statistics, artefact audits and the tool.</w:t>
      </w:r>
    </w:p>
    <w:p>
      <w:pPr>
        <w:pStyle w:val="Heading3"/>
      </w:pPr>
      <w:r>
        <w:t>The project at a glance</w:t>
      </w:r>
    </w:p>
    <w:tbl>
      <w:tblPr>
        <w:tblW w:type="auto" w:w="0"/>
        <w:jc w:val="center"/>
        <w:tblLayout w:type="fixed"/>
        <w:tblLook w:firstColumn="1" w:firstRow="1" w:lastColumn="0" w:lastRow="0" w:noHBand="0" w:noVBand="1" w:val="04A0"/>
        <w:tblLayout w:type="fixed"/>
      </w:tblPr>
      <w:tblGrid>
        <w:gridCol w:w="2948"/>
        <w:gridCol w:w="6690"/>
      </w:tblGrid>
      <w:tr>
        <w:trPr>
          <w:cantSplit w:val="true"/>
          <w:tblHeader w:val="true"/>
        </w:trPr>
        <w:tc>
          <w:tcPr>
            <w:tcW w:type="dxa" w:w="2948"/>
            <w:shd w:val="clear" w:color="auto" w:fill="1F3A5F"/>
            <w:tcMar>
              <w:top w:w="60" w:type="dxa"/>
              <w:left w:w="90" w:type="dxa"/>
              <w:bottom w:w="60" w:type="dxa"/>
              <w:right w:w="90" w:type="dxa"/>
            </w:tcMar>
          </w:tcPr>
          <w:p>
            <w:pPr>
              <w:spacing w:after="0"/>
            </w:pPr>
            <w:r>
              <w:rPr>
                <w:b/>
                <w:color w:val="FFFFFF"/>
                <w:sz w:val="18"/>
              </w:rPr>
              <w:t>Item</w:t>
            </w:r>
          </w:p>
        </w:tc>
        <w:tc>
          <w:tcPr>
            <w:tcW w:type="dxa" w:w="6690"/>
            <w:shd w:val="clear" w:color="auto" w:fill="1F3A5F"/>
            <w:tcMar>
              <w:top w:w="60" w:type="dxa"/>
              <w:left w:w="90" w:type="dxa"/>
              <w:bottom w:w="60" w:type="dxa"/>
              <w:right w:w="90" w:type="dxa"/>
            </w:tcMar>
          </w:tcPr>
          <w:p>
            <w:pPr>
              <w:spacing w:after="0"/>
            </w:pPr>
            <w:r>
              <w:rPr>
                <w:b/>
                <w:color w:val="FFFFFF"/>
                <w:sz w:val="18"/>
              </w:rPr>
              <w:t>Value</w:t>
            </w:r>
          </w:p>
        </w:tc>
      </w:tr>
      <w:tr>
        <w:trPr>
          <w:cantSplit w:val="true"/>
        </w:trPr>
        <w:tc>
          <w:tcPr>
            <w:tcW w:type="dxa" w:w="294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Samples → patients</w:t>
            </w:r>
          </w:p>
        </w:tc>
        <w:tc>
          <w:tcPr>
            <w:tcW w:type="dxa" w:w="669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 xml:space="preserve">271,837 samples on 167 panels → </w:t>
            </w:r>
            <w:r>
              <w:rPr>
                <w:b/>
                <w:sz w:val="18"/>
              </w:rPr>
              <w:t>227,696 patients</w:t>
            </w:r>
            <w:r>
              <w:rPr>
                <w:sz w:val="18"/>
              </w:rPr>
              <w:t xml:space="preserve"> (one sample each)</w:t>
            </w:r>
          </w:p>
        </w:tc>
      </w:tr>
      <w:tr>
        <w:trPr>
          <w:cantSplit w:val="true"/>
        </w:trPr>
        <w:tc>
          <w:tcPr>
            <w:tcW w:type="dxa" w:w="294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Likely-harmful mutations kept</w:t>
            </w:r>
          </w:p>
        </w:tc>
        <w:tc>
          <w:tcPr>
            <w:tcW w:type="dxa" w:w="669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 xml:space="preserve">3,458,550 → </w:t>
            </w:r>
            <w:r>
              <w:rPr>
                <w:b/>
                <w:sz w:val="18"/>
              </w:rPr>
              <w:t>1,644,226</w:t>
            </w:r>
          </w:p>
        </w:tc>
      </w:tr>
      <w:tr>
        <w:trPr>
          <w:cantSplit w:val="true"/>
        </w:trPr>
        <w:tc>
          <w:tcPr>
            <w:tcW w:type="dxa" w:w="294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Main analysis (Phase 2)</w:t>
            </w:r>
          </w:p>
        </w:tc>
        <w:tc>
          <w:tcPr>
            <w:tcW w:type="dxa" w:w="669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 xml:space="preserve">Non-hypermutated patients: </w:t>
            </w:r>
            <w:r>
              <w:rPr>
                <w:b/>
                <w:sz w:val="18"/>
              </w:rPr>
              <w:t>6,697 gene pairs</w:t>
            </w:r>
            <w:r>
              <w:rPr>
                <w:sz w:val="18"/>
              </w:rPr>
              <w:t xml:space="preserve"> (227 genes), 51 cancer types, 112,779 patients</w:t>
            </w:r>
          </w:p>
        </w:tc>
      </w:tr>
      <w:tr>
        <w:trPr>
          <w:cantSplit w:val="true"/>
        </w:trPr>
        <w:tc>
          <w:tcPr>
            <w:tcW w:type="dxa" w:w="294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Significant pairs</w:t>
            </w:r>
          </w:p>
        </w:tc>
        <w:tc>
          <w:tcPr>
            <w:tcW w:type="dxa" w:w="669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 xml:space="preserve">1,824 (27.2%); </w:t>
            </w:r>
            <w:r>
              <w:rPr>
                <w:b/>
                <w:sz w:val="18"/>
              </w:rPr>
              <w:t>1,584 interaction candidates</w:t>
            </w:r>
            <w:r>
              <w:rPr>
                <w:sz w:val="18"/>
              </w:rPr>
              <w:t xml:space="preserve"> (426 co-occurring, 1,158 exclusive)</w:t>
            </w:r>
          </w:p>
        </w:tc>
      </w:tr>
      <w:tr>
        <w:trPr>
          <w:cantSplit w:val="true"/>
        </w:trPr>
        <w:tc>
          <w:tcPr>
            <w:tcW w:type="dxa" w:w="294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Replicated outside the main centre</w:t>
            </w:r>
          </w:p>
        </w:tc>
        <w:tc>
          <w:tcPr>
            <w:tcW w:type="dxa" w:w="669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8"/>
              </w:rPr>
              <w:t>486</w:t>
            </w:r>
            <w:r>
              <w:rPr>
                <w:sz w:val="18"/>
              </w:rPr>
              <w:t xml:space="preserve"> candidates; 65% of testable hits replicate, </w:t>
            </w:r>
            <w:r>
              <w:rPr>
                <w:b/>
                <w:sz w:val="18"/>
              </w:rPr>
              <w:t>none in the opposite direction</w:t>
            </w:r>
          </w:p>
        </w:tc>
      </w:tr>
      <w:tr>
        <w:trPr>
          <w:cantSplit w:val="true"/>
        </w:trPr>
        <w:tc>
          <w:tcPr>
            <w:tcW w:type="dxa" w:w="294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Pass the copy-number burden check</w:t>
            </w:r>
          </w:p>
        </w:tc>
        <w:tc>
          <w:tcPr>
            <w:tcW w:type="dxa" w:w="669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1,276 of 1,584 candidates</w:t>
            </w:r>
          </w:p>
        </w:tc>
      </w:tr>
      <w:tr>
        <w:trPr>
          <w:cantSplit w:val="true"/>
        </w:trPr>
        <w:tc>
          <w:tcPr>
            <w:tcW w:type="dxa" w:w="294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Gene fusions</w:t>
            </w:r>
          </w:p>
        </w:tc>
        <w:tc>
          <w:tcPr>
            <w:tcW w:type="dxa" w:w="669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 xml:space="preserve">56,356 structural variants → </w:t>
            </w:r>
            <w:r>
              <w:rPr>
                <w:b/>
                <w:sz w:val="18"/>
              </w:rPr>
              <w:t>9,619</w:t>
            </w:r>
            <w:r>
              <w:rPr>
                <w:sz w:val="18"/>
              </w:rPr>
              <w:t xml:space="preserve"> driver-fusion calls; fusion screen: 109 significant pairs</w:t>
            </w:r>
          </w:p>
        </w:tc>
      </w:tr>
      <w:tr>
        <w:trPr>
          <w:cantSplit w:val="true"/>
        </w:trPr>
        <w:tc>
          <w:tcPr>
            <w:tcW w:type="dxa" w:w="294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External validation (TCGA)</w:t>
            </w:r>
          </w:p>
        </w:tc>
        <w:tc>
          <w:tcPr>
            <w:tcW w:type="dxa" w:w="669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 xml:space="preserve">Replicated candidates keep the same direction in </w:t>
            </w:r>
            <w:r>
              <w:rPr>
                <w:b/>
                <w:sz w:val="18"/>
              </w:rPr>
              <w:t>94%</w:t>
            </w:r>
            <w:r>
              <w:rPr>
                <w:sz w:val="18"/>
              </w:rPr>
              <w:t>; none reverses</w:t>
            </w:r>
          </w:p>
        </w:tc>
      </w:tr>
      <w:tr>
        <w:trPr>
          <w:cantSplit w:val="true"/>
        </w:trPr>
        <w:tc>
          <w:tcPr>
            <w:tcW w:type="dxa" w:w="294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Lookup tool</w:t>
            </w:r>
          </w:p>
        </w:tc>
        <w:tc>
          <w:tcPr>
            <w:tcW w:type="dxa" w:w="669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 xml:space="preserve">Five functions; partner prediction held-out AUROC </w:t>
            </w:r>
            <w:r>
              <w:rPr>
                <w:b/>
                <w:sz w:val="18"/>
              </w:rPr>
              <w:t>0.855</w:t>
            </w:r>
            <w:r>
              <w:rPr>
                <w:sz w:val="18"/>
              </w:rPr>
              <w:t xml:space="preserve"> vs 0.82 base rate</w:t>
            </w:r>
          </w:p>
        </w:tc>
      </w:tr>
      <w:tr>
        <w:trPr>
          <w:cantSplit w:val="true"/>
        </w:trPr>
        <w:tc>
          <w:tcPr>
            <w:tcW w:type="dxa" w:w="294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Novelty audit (25 Oct)</w:t>
            </w:r>
          </w:p>
        </w:tc>
        <w:tc>
          <w:tcPr>
            <w:tcW w:type="dxa" w:w="669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386 robust pairs checked against Europe PMC and the SelectSim atlas: all pairs SelectSim reports agree in direction; none of the 41 unreported pairs survives as a new driver interaction</w:t>
            </w:r>
          </w:p>
        </w:tc>
      </w:tr>
    </w:tbl>
    <w:p>
      <w:pPr>
        <w:spacing w:after="40"/>
      </w:pPr>
    </w:p>
    <w:tbl>
      <w:tblPr>
        <w:tblW w:type="auto" w:w="0"/>
        <w:jc w:val="center"/>
        <w:tblLook w:firstColumn="1" w:firstRow="1" w:lastColumn="0" w:lastRow="0" w:noHBand="0" w:noVBand="1" w:val="04A0"/>
        <w:tblLayout w:type="fixed"/>
      </w:tblPr>
      <w:tblGrid>
        <w:gridCol w:w="9639"/>
      </w:tblGrid>
      <w:tr>
        <w:trPr>
          <w:cantSplit w:val="true"/>
        </w:trPr>
        <w:tc>
          <w:tcPr>
            <w:tcW w:type="dxa" w:w="9638"/>
            <w:shd w:val="clear" w:color="auto" w:fill="FDF1E3"/>
            <w:tcMar>
              <w:top w:w="110" w:type="dxa"/>
              <w:left w:w="200" w:type="dxa"/>
              <w:bottom w:w="110" w:type="dxa"/>
              <w:right w:w="160" w:type="dxa"/>
            </w:tcMar>
            <w:tcBorders>
              <w:top w:val="nil" w:sz="0" w:color="FFFFFF"/>
              <w:left w:val="single" w:sz="24" w:color="D9822B"/>
              <w:bottom w:val="nil" w:sz="0" w:color="FFFFFF"/>
              <w:right w:val="nil" w:sz="0" w:color="FFFFFF"/>
            </w:tcBorders>
          </w:tcPr>
          <w:p>
            <w:pPr>
              <w:spacing w:after="40"/>
            </w:pPr>
            <w:r>
              <w:rPr>
                <w:b/>
                <w:color w:val="8A4B0A"/>
                <w:sz w:val="21"/>
              </w:rPr>
              <w:t>Where it stands today (24 Oct 2026)</w:t>
            </w:r>
          </w:p>
          <w:p>
            <w:pPr>
              <w:spacing w:after="60"/>
            </w:pPr>
            <w:r>
              <w:rPr>
                <w:sz w:val="20"/>
              </w:rPr>
              <w:t xml:space="preserve">All four phases and a validation notebook (05) are built, re-run end to end with gene fusions, and committed. The methods were chosen by testing alternatives on the data, benchmarked against the published method families, and validated in an independent cohort (TCGA). The latest design is </w:t>
            </w:r>
            <w:r>
              <w:rPr>
                <w:b/>
                <w:sz w:val="20"/>
              </w:rPr>
              <w:t>not yet supervisor-reviewed</w:t>
            </w:r>
            <w:r>
              <w:rPr>
                <w:sz w:val="20"/>
              </w:rPr>
              <w:t>. See Part 11.</w:t>
            </w:r>
          </w:p>
        </w:tc>
      </w:tr>
    </w:tbl>
    <w:p>
      <w:pPr>
        <w:spacing w:after="40"/>
      </w:pPr>
    </w:p>
    <w:p>
      <w:pPr>
        <w:spacing w:before="120"/>
      </w:pPr>
      <w:r>
        <w:rPr>
          <w:i/>
          <w:color w:val="555B66"/>
          <w:sz w:val="17"/>
        </w:rPr>
        <w:t>Source files for this part:</w:t>
      </w:r>
      <w:r>
        <w:rPr>
          <w:color w:val="555B66"/>
          <w:sz w:val="17"/>
        </w:rPr>
        <w:t xml:space="preserve"> README.md, docs/supervisor_summary.md, the original PLAN.md (deleted 24 Oct; in git history, commit 92e8234).</w:t>
      </w:r>
    </w:p>
    <w:p>
      <w:r>
        <w:br w:type="page"/>
      </w:r>
    </w:p>
    <w:p>
      <w:pPr>
        <w:spacing w:after="0"/>
      </w:pPr>
      <w:r>
        <w:rPr>
          <w:b/>
          <w:color w:val="2A7F8E"/>
          <w:sz w:val="20"/>
        </w:rPr>
        <w:t>PART 2</w:t>
      </w:r>
    </w:p>
    <w:p>
      <w:pPr>
        <w:pStyle w:val="Heading1"/>
      </w:pPr>
      <w:r>
        <w:t>Background</w:t>
      </w:r>
    </w:p>
    <w:p>
      <w:pPr>
        <w:spacing w:after="200"/>
      </w:pPr>
      <w:r>
        <w:rPr>
          <w:color w:val="555B66"/>
          <w:sz w:val="23"/>
        </w:rPr>
        <w:t>Why anyone cares whether two genes are altered in the same tumour.</w:t>
      </w:r>
    </w:p>
    <w:p>
      <w:pPr>
        <w:pStyle w:val="Heading2"/>
      </w:pPr>
      <w:r>
        <w:t>2.1  What a tumour's genetic profile looks like</w:t>
      </w:r>
    </w:p>
    <w:p>
      <w:r>
        <w:t xml:space="preserve">A tumour grows because of changes in its DNA. A clinical sequencing test reads a chosen list of genes (a </w:t>
      </w:r>
      <w:r>
        <w:rPr>
          <w:b/>
        </w:rPr>
        <w:t>gene panel</w:t>
      </w:r>
      <w:r>
        <w:t xml:space="preserve">, typically a few hundred genes) and reports three kinds of change, called </w:t>
      </w:r>
      <w:r>
        <w:rPr>
          <w:b/>
        </w:rPr>
        <w:t>alterations</w:t>
      </w:r>
      <w:r>
        <w:t>:</w:t>
      </w:r>
    </w:p>
    <w:tbl>
      <w:tblPr>
        <w:tblW w:type="auto" w:w="0"/>
        <w:jc w:val="center"/>
        <w:tblLayout w:type="fixed"/>
        <w:tblLook w:firstColumn="1" w:firstRow="1" w:lastColumn="0" w:lastRow="0" w:noHBand="0" w:noVBand="1" w:val="04A0"/>
        <w:tblLayout w:type="fixed"/>
      </w:tblPr>
      <w:tblGrid>
        <w:gridCol w:w="1927"/>
        <w:gridCol w:w="3855"/>
        <w:gridCol w:w="3855"/>
      </w:tblGrid>
      <w:tr>
        <w:trPr>
          <w:cantSplit w:val="true"/>
          <w:tblHeader w:val="true"/>
        </w:trPr>
        <w:tc>
          <w:tcPr>
            <w:tcW w:type="dxa" w:w="1928"/>
            <w:shd w:val="clear" w:color="auto" w:fill="1F3A5F"/>
            <w:tcMar>
              <w:top w:w="60" w:type="dxa"/>
              <w:left w:w="90" w:type="dxa"/>
              <w:bottom w:w="60" w:type="dxa"/>
              <w:right w:w="90" w:type="dxa"/>
            </w:tcMar>
          </w:tcPr>
          <w:p>
            <w:pPr>
              <w:spacing w:after="0"/>
            </w:pPr>
            <w:r>
              <w:rPr>
                <w:b/>
                <w:color w:val="FFFFFF"/>
                <w:sz w:val="18"/>
              </w:rPr>
              <w:t>Alteration</w:t>
            </w:r>
          </w:p>
        </w:tc>
        <w:tc>
          <w:tcPr>
            <w:tcW w:type="dxa" w:w="3855"/>
            <w:shd w:val="clear" w:color="auto" w:fill="1F3A5F"/>
            <w:tcMar>
              <w:top w:w="60" w:type="dxa"/>
              <w:left w:w="90" w:type="dxa"/>
              <w:bottom w:w="60" w:type="dxa"/>
              <w:right w:w="90" w:type="dxa"/>
            </w:tcMar>
          </w:tcPr>
          <w:p>
            <w:pPr>
              <w:spacing w:after="0"/>
            </w:pPr>
            <w:r>
              <w:rPr>
                <w:b/>
                <w:color w:val="FFFFFF"/>
                <w:sz w:val="18"/>
              </w:rPr>
              <w:t>What it is</w:t>
            </w:r>
          </w:p>
        </w:tc>
        <w:tc>
          <w:tcPr>
            <w:tcW w:type="dxa" w:w="3855"/>
            <w:shd w:val="clear" w:color="auto" w:fill="1F3A5F"/>
            <w:tcMar>
              <w:top w:w="60" w:type="dxa"/>
              <w:left w:w="90" w:type="dxa"/>
              <w:bottom w:w="60" w:type="dxa"/>
              <w:right w:w="90" w:type="dxa"/>
            </w:tcMar>
          </w:tcPr>
          <w:p>
            <w:pPr>
              <w:spacing w:after="0"/>
            </w:pPr>
            <w:r>
              <w:rPr>
                <w:b/>
                <w:color w:val="FFFFFF"/>
                <w:sz w:val="18"/>
              </w:rPr>
              <w:t>Example</w:t>
            </w:r>
          </w:p>
        </w:tc>
      </w:tr>
      <w:tr>
        <w:trPr>
          <w:cantSplit w:val="true"/>
        </w:trPr>
        <w:tc>
          <w:tcPr>
            <w:tcW w:type="dxa" w:w="192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8"/>
              </w:rPr>
              <w:t>Mutation</w:t>
            </w:r>
          </w:p>
        </w:tc>
        <w:tc>
          <w:tcPr>
            <w:tcW w:type="dxa" w:w="385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A change in the DNA letters of a gene</w:t>
            </w:r>
          </w:p>
        </w:tc>
        <w:tc>
          <w:tcPr>
            <w:tcW w:type="dxa" w:w="385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i/>
                <w:sz w:val="18"/>
              </w:rPr>
              <w:t>KRAS</w:t>
            </w:r>
            <w:r>
              <w:rPr>
                <w:sz w:val="18"/>
              </w:rPr>
              <w:t xml:space="preserve"> G12C: one amino acid swapped, locking a growth switch on</w:t>
            </w:r>
          </w:p>
        </w:tc>
      </w:tr>
      <w:tr>
        <w:trPr>
          <w:cantSplit w:val="true"/>
        </w:trPr>
        <w:tc>
          <w:tcPr>
            <w:tcW w:type="dxa" w:w="192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8"/>
              </w:rPr>
              <w:t>Copy-number change</w:t>
            </w:r>
          </w:p>
        </w:tc>
        <w:tc>
          <w:tcPr>
            <w:tcW w:type="dxa" w:w="385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A gene is present in too many copies (amplification) or lost (deletion)</w:t>
            </w:r>
          </w:p>
        </w:tc>
        <w:tc>
          <w:tcPr>
            <w:tcW w:type="dxa" w:w="385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i/>
                <w:sz w:val="18"/>
              </w:rPr>
              <w:t>ERBB2</w:t>
            </w:r>
            <w:r>
              <w:rPr>
                <w:sz w:val="18"/>
              </w:rPr>
              <w:t xml:space="preserve"> amplified in breast cancer; </w:t>
            </w:r>
            <w:r>
              <w:rPr>
                <w:i/>
                <w:sz w:val="18"/>
              </w:rPr>
              <w:t>CDKN2A</w:t>
            </w:r>
            <w:r>
              <w:rPr>
                <w:sz w:val="18"/>
              </w:rPr>
              <w:t xml:space="preserve"> deleted in glioma</w:t>
            </w:r>
          </w:p>
        </w:tc>
      </w:tr>
      <w:tr>
        <w:trPr>
          <w:cantSplit w:val="true"/>
        </w:trPr>
        <w:tc>
          <w:tcPr>
            <w:tcW w:type="dxa" w:w="192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8"/>
              </w:rPr>
              <w:t>Gene fusion</w:t>
            </w:r>
          </w:p>
        </w:tc>
        <w:tc>
          <w:tcPr>
            <w:tcW w:type="dxa" w:w="385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Two genes are joined by a chromosomal rearrangement, creating a hybrid that is permanently active</w:t>
            </w:r>
          </w:p>
        </w:tc>
        <w:tc>
          <w:tcPr>
            <w:tcW w:type="dxa" w:w="385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i/>
                <w:sz w:val="18"/>
              </w:rPr>
              <w:t>ALK</w:t>
            </w:r>
            <w:r>
              <w:rPr>
                <w:sz w:val="18"/>
              </w:rPr>
              <w:t xml:space="preserve">, </w:t>
            </w:r>
            <w:r>
              <w:rPr>
                <w:i/>
                <w:sz w:val="18"/>
              </w:rPr>
              <w:t>ROS1</w:t>
            </w:r>
            <w:r>
              <w:rPr>
                <w:sz w:val="18"/>
              </w:rPr>
              <w:t xml:space="preserve"> and </w:t>
            </w:r>
            <w:r>
              <w:rPr>
                <w:i/>
                <w:sz w:val="18"/>
              </w:rPr>
              <w:t>RET</w:t>
            </w:r>
            <w:r>
              <w:rPr>
                <w:sz w:val="18"/>
              </w:rPr>
              <w:t xml:space="preserve"> fusions in lung cancer, all treatable with targeted drugs</w:t>
            </w:r>
          </w:p>
        </w:tc>
      </w:tr>
    </w:tbl>
    <w:p>
      <w:pPr>
        <w:spacing w:after="40"/>
      </w:pPr>
    </w:p>
    <w:p>
      <w:r>
        <w:t xml:space="preserve">A tumour usually has only a few true </w:t>
      </w:r>
      <w:r>
        <w:rPr>
          <w:b/>
        </w:rPr>
        <w:t>driver</w:t>
      </w:r>
      <w:r>
        <w:t xml:space="preserve"> alterations (the ones that push growth) and many harmless </w:t>
      </w:r>
      <w:r>
        <w:rPr>
          <w:b/>
        </w:rPr>
        <w:t>passengers</w:t>
      </w:r>
      <w:r>
        <w:t xml:space="preserve"> that happened along the way. Telling them apart is a core difficulty.</w:t>
      </w:r>
    </w:p>
    <w:p>
      <w:pPr>
        <w:pStyle w:val="Heading2"/>
      </w:pPr>
      <w:r>
        <w:t>2.2  Drivers do not combine at random</w:t>
      </w:r>
    </w:p>
    <w:p>
      <w:r>
        <w:t>If alterations were independent, two genes would be altered together exactly as often as multiplying their individual frequencies predicts. They are not. Two patterns stand out:</w:t>
      </w:r>
    </w:p>
    <w:tbl>
      <w:tblPr>
        <w:tblW w:type="auto" w:w="0"/>
        <w:jc w:val="center"/>
        <w:tblLayout w:type="fixed"/>
        <w:tblLook w:firstColumn="1" w:firstRow="1" w:lastColumn="0" w:lastRow="0" w:noHBand="0" w:noVBand="1" w:val="04A0"/>
        <w:tblLayout w:type="fixed"/>
      </w:tblPr>
      <w:tblGrid>
        <w:gridCol w:w="1814"/>
        <w:gridCol w:w="2041"/>
        <w:gridCol w:w="3175"/>
        <w:gridCol w:w="2608"/>
      </w:tblGrid>
      <w:tr>
        <w:trPr>
          <w:cantSplit w:val="true"/>
          <w:tblHeader w:val="true"/>
        </w:trPr>
        <w:tc>
          <w:tcPr>
            <w:tcW w:type="dxa" w:w="1814"/>
            <w:shd w:val="clear" w:color="auto" w:fill="1F3A5F"/>
            <w:tcMar>
              <w:top w:w="60" w:type="dxa"/>
              <w:left w:w="90" w:type="dxa"/>
              <w:bottom w:w="60" w:type="dxa"/>
              <w:right w:w="90" w:type="dxa"/>
            </w:tcMar>
          </w:tcPr>
          <w:p>
            <w:pPr>
              <w:spacing w:after="0"/>
            </w:pPr>
            <w:r>
              <w:rPr>
                <w:b/>
                <w:color w:val="FFFFFF"/>
                <w:sz w:val="18"/>
              </w:rPr>
              <w:t>Pattern</w:t>
            </w:r>
          </w:p>
        </w:tc>
        <w:tc>
          <w:tcPr>
            <w:tcW w:type="dxa" w:w="2041"/>
            <w:shd w:val="clear" w:color="auto" w:fill="1F3A5F"/>
            <w:tcMar>
              <w:top w:w="60" w:type="dxa"/>
              <w:left w:w="90" w:type="dxa"/>
              <w:bottom w:w="60" w:type="dxa"/>
              <w:right w:w="90" w:type="dxa"/>
            </w:tcMar>
          </w:tcPr>
          <w:p>
            <w:pPr>
              <w:spacing w:after="0"/>
            </w:pPr>
            <w:r>
              <w:rPr>
                <w:b/>
                <w:color w:val="FFFFFF"/>
                <w:sz w:val="18"/>
              </w:rPr>
              <w:t>Meaning</w:t>
            </w:r>
          </w:p>
        </w:tc>
        <w:tc>
          <w:tcPr>
            <w:tcW w:type="dxa" w:w="3175"/>
            <w:shd w:val="clear" w:color="auto" w:fill="1F3A5F"/>
            <w:tcMar>
              <w:top w:w="60" w:type="dxa"/>
              <w:left w:w="90" w:type="dxa"/>
              <w:bottom w:w="60" w:type="dxa"/>
              <w:right w:w="90" w:type="dxa"/>
            </w:tcMar>
          </w:tcPr>
          <w:p>
            <w:pPr>
              <w:spacing w:after="0"/>
            </w:pPr>
            <w:r>
              <w:rPr>
                <w:b/>
                <w:color w:val="FFFFFF"/>
                <w:sz w:val="18"/>
              </w:rPr>
              <w:t>Typical biological explanation</w:t>
            </w:r>
          </w:p>
        </w:tc>
        <w:tc>
          <w:tcPr>
            <w:tcW w:type="dxa" w:w="2608"/>
            <w:shd w:val="clear" w:color="auto" w:fill="1F3A5F"/>
            <w:tcMar>
              <w:top w:w="60" w:type="dxa"/>
              <w:left w:w="90" w:type="dxa"/>
              <w:bottom w:w="60" w:type="dxa"/>
              <w:right w:w="90" w:type="dxa"/>
            </w:tcMar>
          </w:tcPr>
          <w:p>
            <w:pPr>
              <w:spacing w:after="0"/>
            </w:pPr>
            <w:r>
              <w:rPr>
                <w:b/>
                <w:color w:val="FFFFFF"/>
                <w:sz w:val="18"/>
              </w:rPr>
              <w:t>Example</w:t>
            </w:r>
          </w:p>
        </w:tc>
      </w:tr>
      <w:tr>
        <w:trPr>
          <w:cantSplit w:val="true"/>
        </w:trPr>
        <w:tc>
          <w:tcPr>
            <w:tcW w:type="dxa" w:w="181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8"/>
              </w:rPr>
              <w:t>Mutual exclusivity</w:t>
            </w:r>
          </w:p>
        </w:tc>
        <w:tc>
          <w:tcPr>
            <w:tcW w:type="dxa" w:w="204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Rarely altered in the same tumour</w:t>
            </w:r>
          </w:p>
        </w:tc>
        <w:tc>
          <w:tcPr>
            <w:tcW w:type="dxa" w:w="317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Both hit the same pathway so one is enough (</w:t>
            </w:r>
            <w:r>
              <w:rPr>
                <w:i/>
                <w:sz w:val="18"/>
              </w:rPr>
              <w:t>redundancy</w:t>
            </w:r>
            <w:r>
              <w:rPr>
                <w:sz w:val="18"/>
              </w:rPr>
              <w:t>); or both together harm the cell (</w:t>
            </w:r>
            <w:r>
              <w:rPr>
                <w:i/>
                <w:sz w:val="18"/>
              </w:rPr>
              <w:t>incompatibility</w:t>
            </w:r>
            <w:r>
              <w:rPr>
                <w:sz w:val="18"/>
              </w:rPr>
              <w:t>)</w:t>
            </w:r>
          </w:p>
        </w:tc>
        <w:tc>
          <w:tcPr>
            <w:tcW w:type="dxa" w:w="260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i/>
                <w:sz w:val="18"/>
              </w:rPr>
              <w:t>KRAS</w:t>
            </w:r>
            <w:r>
              <w:rPr>
                <w:sz w:val="18"/>
              </w:rPr>
              <w:t xml:space="preserve"> vs </w:t>
            </w:r>
            <w:r>
              <w:rPr>
                <w:i/>
                <w:sz w:val="18"/>
              </w:rPr>
              <w:t>EGFR</w:t>
            </w:r>
            <w:r>
              <w:rPr>
                <w:sz w:val="18"/>
              </w:rPr>
              <w:t xml:space="preserve"> in lung cancer: both switch on the same growth signal</w:t>
            </w:r>
          </w:p>
        </w:tc>
      </w:tr>
      <w:tr>
        <w:trPr>
          <w:cantSplit w:val="true"/>
        </w:trPr>
        <w:tc>
          <w:tcPr>
            <w:tcW w:type="dxa" w:w="181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8"/>
              </w:rPr>
              <w:t>Co-occurrence</w:t>
            </w:r>
          </w:p>
        </w:tc>
        <w:tc>
          <w:tcPr>
            <w:tcW w:type="dxa" w:w="204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Altered together more than chance</w:t>
            </w:r>
          </w:p>
        </w:tc>
        <w:tc>
          <w:tcPr>
            <w:tcW w:type="dxa" w:w="317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They cooperate, or one makes the other tolerable</w:t>
            </w:r>
          </w:p>
        </w:tc>
        <w:tc>
          <w:tcPr>
            <w:tcW w:type="dxa" w:w="260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i/>
                <w:sz w:val="18"/>
              </w:rPr>
              <w:t>KRAS</w:t>
            </w:r>
            <w:r>
              <w:rPr>
                <w:sz w:val="18"/>
              </w:rPr>
              <w:t xml:space="preserve"> + </w:t>
            </w:r>
            <w:r>
              <w:rPr>
                <w:i/>
                <w:sz w:val="18"/>
              </w:rPr>
              <w:t>STK11</w:t>
            </w:r>
            <w:r>
              <w:rPr>
                <w:sz w:val="18"/>
              </w:rPr>
              <w:t xml:space="preserve"> in lung cancer</w:t>
            </w:r>
          </w:p>
        </w:tc>
      </w:tr>
    </w:tbl>
    <w:p>
      <w:pPr>
        <w:spacing w:after="40"/>
      </w:pPr>
    </w:p>
    <w:p>
      <w:pPr>
        <w:pStyle w:val="Heading2"/>
      </w:pPr>
      <w:r>
        <w:t>2.3  Why clinicians care</w:t>
      </w:r>
    </w:p>
    <w:p>
      <w:pPr>
        <w:pStyle w:val="ListBullet"/>
        <w:spacing w:after="60"/>
      </w:pPr>
      <w:r>
        <w:rPr>
          <w:b/>
        </w:rPr>
        <w:t>Prognosis and drug response change with the combination.</w:t>
      </w:r>
      <w:r>
        <w:t xml:space="preserve"> </w:t>
      </w:r>
      <w:r>
        <w:rPr>
          <w:i/>
        </w:rPr>
        <w:t>STK11</w:t>
      </w:r>
      <w:r>
        <w:t>/</w:t>
      </w:r>
      <w:r>
        <w:rPr>
          <w:i/>
        </w:rPr>
        <w:t>KEAP1</w:t>
      </w:r>
      <w:r>
        <w:t xml:space="preserve"> alongside </w:t>
      </w:r>
      <w:r>
        <w:rPr>
          <w:i/>
        </w:rPr>
        <w:t>KRAS</w:t>
      </w:r>
      <w:r>
        <w:t xml:space="preserve"> in lung cancer predicts a poor response to immunotherapy (Skoulidis &amp; Heymach 2019).</w:t>
      </w:r>
    </w:p>
    <w:p>
      <w:pPr>
        <w:pStyle w:val="ListBullet"/>
        <w:spacing w:after="60"/>
      </w:pPr>
      <w:r>
        <w:rPr>
          <w:b/>
        </w:rPr>
        <w:t>Some combinations block a drug.</w:t>
      </w:r>
      <w:r>
        <w:t xml:space="preserve"> </w:t>
      </w:r>
      <w:r>
        <w:rPr>
          <w:i/>
        </w:rPr>
        <w:t>BRAF</w:t>
      </w:r>
      <w:r>
        <w:t xml:space="preserve"> V600E together with </w:t>
      </w:r>
      <w:r>
        <w:rPr>
          <w:i/>
        </w:rPr>
        <w:t>NRAS</w:t>
      </w:r>
      <w:r>
        <w:t xml:space="preserve"> in melanoma predicts resistance to BRAF inhibitors (CIViC, evidence level B).</w:t>
      </w:r>
    </w:p>
    <w:p>
      <w:pPr>
        <w:pStyle w:val="ListBullet"/>
        <w:spacing w:after="60"/>
      </w:pPr>
      <w:r>
        <w:rPr>
          <w:b/>
        </w:rPr>
        <w:t>Fusion-positive lung cancers do worse with extra losses.</w:t>
      </w:r>
      <w:r>
        <w:t xml:space="preserve"> </w:t>
      </w:r>
      <w:r>
        <w:rPr>
          <w:i/>
        </w:rPr>
        <w:t>TP53</w:t>
      </w:r>
      <w:r>
        <w:t xml:space="preserve"> or </w:t>
      </w:r>
      <w:r>
        <w:rPr>
          <w:i/>
        </w:rPr>
        <w:t>CDKN2A/B</w:t>
      </w:r>
      <w:r>
        <w:t xml:space="preserve"> loss alongside </w:t>
      </w:r>
      <w:r>
        <w:rPr>
          <w:i/>
        </w:rPr>
        <w:t>ALK</w:t>
      </w:r>
      <w:r>
        <w:t xml:space="preserve">, </w:t>
      </w:r>
      <w:r>
        <w:rPr>
          <w:i/>
        </w:rPr>
        <w:t>RET</w:t>
      </w:r>
      <w:r>
        <w:t xml:space="preserve"> or </w:t>
      </w:r>
      <w:r>
        <w:rPr>
          <w:i/>
        </w:rPr>
        <w:t>ROS1</w:t>
      </w:r>
      <w:r>
        <w:t xml:space="preserve"> fusions predicts poorer targeted-therapy outcomes (Jiang 2023).</w:t>
      </w:r>
    </w:p>
    <w:p>
      <w:pPr>
        <w:pStyle w:val="ListBullet"/>
        <w:spacing w:after="60"/>
      </w:pPr>
      <w:r>
        <w:rPr>
          <w:b/>
        </w:rPr>
        <w:t>Rare combinations have no guidebook.</w:t>
      </w:r>
      <w:r>
        <w:t xml:space="preserve"> A hospital sees a handful of any rare combination per year, so clinicians ask experts to look it up in GENIE by hand. This is the clinical origin of the project.</w:t>
      </w:r>
    </w:p>
    <w:p>
      <w:pPr>
        <w:pStyle w:val="Heading2"/>
      </w:pPr>
      <w:r>
        <w:t>2.4  Why it is hard: four ways chance impersonates biology</w:t>
      </w:r>
    </w:p>
    <w:p>
      <w:r>
        <w:t>Most apparent patterns in mutation data are not gene interactions. Four mechanisms create fake ones, and the whole of Phases 1 and 2 is organised around removing them.</w:t>
      </w:r>
    </w:p>
    <w:tbl>
      <w:tblPr>
        <w:tblW w:type="auto" w:w="0"/>
        <w:jc w:val="center"/>
        <w:tblLayout w:type="fixed"/>
        <w:tblLook w:firstColumn="1" w:firstRow="1" w:lastColumn="0" w:lastRow="0" w:noHBand="0" w:noVBand="1" w:val="04A0"/>
        <w:tblLayout w:type="fixed"/>
      </w:tblPr>
      <w:tblGrid>
        <w:gridCol w:w="2041"/>
        <w:gridCol w:w="3628"/>
        <w:gridCol w:w="3969"/>
      </w:tblGrid>
      <w:tr>
        <w:trPr>
          <w:cantSplit w:val="true"/>
          <w:tblHeader w:val="true"/>
        </w:trPr>
        <w:tc>
          <w:tcPr>
            <w:tcW w:type="dxa" w:w="2041"/>
            <w:shd w:val="clear" w:color="auto" w:fill="1F3A5F"/>
            <w:tcMar>
              <w:top w:w="60" w:type="dxa"/>
              <w:left w:w="90" w:type="dxa"/>
              <w:bottom w:w="60" w:type="dxa"/>
              <w:right w:w="90" w:type="dxa"/>
            </w:tcMar>
          </w:tcPr>
          <w:p>
            <w:pPr>
              <w:spacing w:after="0"/>
            </w:pPr>
            <w:r>
              <w:rPr>
                <w:b/>
                <w:color w:val="FFFFFF"/>
                <w:sz w:val="18"/>
              </w:rPr>
              <w:t>Trap</w:t>
            </w:r>
          </w:p>
        </w:tc>
        <w:tc>
          <w:tcPr>
            <w:tcW w:type="dxa" w:w="3628"/>
            <w:shd w:val="clear" w:color="auto" w:fill="1F3A5F"/>
            <w:tcMar>
              <w:top w:w="60" w:type="dxa"/>
              <w:left w:w="90" w:type="dxa"/>
              <w:bottom w:w="60" w:type="dxa"/>
              <w:right w:w="90" w:type="dxa"/>
            </w:tcMar>
          </w:tcPr>
          <w:p>
            <w:pPr>
              <w:spacing w:after="0"/>
            </w:pPr>
            <w:r>
              <w:rPr>
                <w:b/>
                <w:color w:val="FFFFFF"/>
                <w:sz w:val="18"/>
              </w:rPr>
              <w:t>Plain-language analogy</w:t>
            </w:r>
          </w:p>
        </w:tc>
        <w:tc>
          <w:tcPr>
            <w:tcW w:type="dxa" w:w="3969"/>
            <w:shd w:val="clear" w:color="auto" w:fill="1F3A5F"/>
            <w:tcMar>
              <w:top w:w="60" w:type="dxa"/>
              <w:left w:w="90" w:type="dxa"/>
              <w:bottom w:w="60" w:type="dxa"/>
              <w:right w:w="90" w:type="dxa"/>
            </w:tcMar>
          </w:tcPr>
          <w:p>
            <w:pPr>
              <w:spacing w:after="0"/>
            </w:pPr>
            <w:r>
              <w:rPr>
                <w:b/>
                <w:color w:val="FFFFFF"/>
                <w:sz w:val="18"/>
              </w:rPr>
              <w:t>What happens in tumour data</w:t>
            </w:r>
          </w:p>
        </w:tc>
      </w:tr>
      <w:tr>
        <w:trPr>
          <w:cantSplit w:val="true"/>
        </w:trPr>
        <w:tc>
          <w:tcPr>
            <w:tcW w:type="dxa" w:w="204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8"/>
              </w:rPr>
              <w:t>1. Mutation load</w:t>
            </w:r>
          </w:p>
        </w:tc>
        <w:tc>
          <w:tcPr>
            <w:tcW w:type="dxa" w:w="362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 xml:space="preserve">A few students sit every exam. They appear in </w:t>
            </w:r>
            <w:r>
              <w:rPr>
                <w:i/>
                <w:sz w:val="18"/>
              </w:rPr>
              <w:t>every</w:t>
            </w:r>
            <w:r>
              <w:rPr>
                <w:sz w:val="18"/>
              </w:rPr>
              <w:t xml:space="preserve"> pair of exam lists, which makes every pair look linked.</w:t>
            </w:r>
          </w:p>
        </w:tc>
        <w:tc>
          <w:tcPr>
            <w:tcW w:type="dxa" w:w="3969"/>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A few hypermutated tumours carry dozens of alterations, so almost any pair “co-occurs” in them.</w:t>
            </w:r>
          </w:p>
        </w:tc>
      </w:tr>
      <w:tr>
        <w:trPr>
          <w:cantSplit w:val="true"/>
        </w:trPr>
        <w:tc>
          <w:tcPr>
            <w:tcW w:type="dxa" w:w="204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8"/>
              </w:rPr>
              <w:t>2. Subtype mixing</w:t>
            </w:r>
          </w:p>
        </w:tc>
        <w:tc>
          <w:tcPr>
            <w:tcW w:type="dxa" w:w="362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Pool a football team and a swim team: football and swimming look mutually exclusive.</w:t>
            </w:r>
          </w:p>
        </w:tc>
        <w:tc>
          <w:tcPr>
            <w:tcW w:type="dxa" w:w="3969"/>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A “cancer type” can mix diseases with different drivers (pancreatic adenocarcinoma with neuroendocrine tumours), creating fake exclusivity.</w:t>
            </w:r>
          </w:p>
        </w:tc>
      </w:tr>
      <w:tr>
        <w:trPr>
          <w:cantSplit w:val="true"/>
        </w:trPr>
        <w:tc>
          <w:tcPr>
            <w:tcW w:type="dxa" w:w="204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8"/>
              </w:rPr>
              <w:t>3. One DNA event, two genes</w:t>
            </w:r>
          </w:p>
        </w:tc>
        <w:tc>
          <w:tcPr>
            <w:tcW w:type="dxa" w:w="362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One photocopy of a page reproduces two paragraphs together.</w:t>
            </w:r>
          </w:p>
        </w:tc>
        <w:tc>
          <w:tcPr>
            <w:tcW w:type="dxa" w:w="3969"/>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A single amplification covers neighbouring genes, or a whole chromosome arm is gained; two “alterations” are really one event.</w:t>
            </w:r>
          </w:p>
        </w:tc>
      </w:tr>
      <w:tr>
        <w:trPr>
          <w:cantSplit w:val="true"/>
        </w:trPr>
        <w:tc>
          <w:tcPr>
            <w:tcW w:type="dxa" w:w="204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8"/>
              </w:rPr>
              <w:t>4. Testing gaps</w:t>
            </w:r>
          </w:p>
        </w:tc>
        <w:tc>
          <w:tcPr>
            <w:tcW w:type="dxa" w:w="362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Counting “did not say no” as “said yes” in a survey where some people were never asked.</w:t>
            </w:r>
          </w:p>
        </w:tc>
        <w:tc>
          <w:tcPr>
            <w:tcW w:type="dxa" w:w="3969"/>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A gene absent from a patient's panel is recorded as “no mutation”, which is the same as tested and clean.</w:t>
            </w:r>
          </w:p>
        </w:tc>
      </w:tr>
    </w:tbl>
    <w:p>
      <w:pPr>
        <w:spacing w:after="40"/>
      </w:pPr>
    </w:p>
    <w:p>
      <w:pPr>
        <w:pStyle w:val="Heading2"/>
      </w:pPr>
      <w:r>
        <w:t>2.5  Why a large, pooled database</w:t>
      </w:r>
    </w:p>
    <w:p>
      <w:r>
        <w:t>To say anything reliable about a rare combination you need tens of thousands of patients. TCGA, the standard research cohort, has about 10,000 tumours across 33 cancer types, which leaves too few per type. GENIE has about 27 times more samples, and its patients are real clinical cases rather than a research selection. The price is data that is much messier, which is why this project spends so much effort on data quality.</w:t>
      </w:r>
    </w:p>
    <w:tbl>
      <w:tblPr>
        <w:tblW w:type="auto" w:w="0"/>
        <w:jc w:val="center"/>
        <w:tblLook w:firstColumn="1" w:firstRow="1" w:lastColumn="0" w:lastRow="0" w:noHBand="0" w:noVBand="1" w:val="04A0"/>
        <w:tblLayout w:type="fixed"/>
      </w:tblPr>
      <w:tblGrid>
        <w:gridCol w:w="9639"/>
      </w:tblGrid>
      <w:tr>
        <w:trPr>
          <w:cantSplit w:val="true"/>
        </w:trPr>
        <w:tc>
          <w:tcPr>
            <w:tcW w:type="dxa" w:w="9638"/>
            <w:shd w:val="clear" w:color="auto" w:fill="E8EEF4"/>
            <w:tcMar>
              <w:top w:w="110" w:type="dxa"/>
              <w:left w:w="200" w:type="dxa"/>
              <w:bottom w:w="110" w:type="dxa"/>
              <w:right w:w="160" w:type="dxa"/>
            </w:tcMar>
            <w:tcBorders>
              <w:top w:val="nil" w:sz="0" w:color="FFFFFF"/>
              <w:left w:val="single" w:sz="24" w:color="1F3A5F"/>
              <w:bottom w:val="nil" w:sz="0" w:color="FFFFFF"/>
              <w:right w:val="nil" w:sz="0" w:color="FFFFFF"/>
            </w:tcBorders>
          </w:tcPr>
          <w:p>
            <w:pPr>
              <w:spacing w:after="40"/>
            </w:pPr>
            <w:r>
              <w:rPr>
                <w:b/>
                <w:color w:val="1F3A5F"/>
                <w:sz w:val="21"/>
              </w:rPr>
              <w:t>Questions worth asking at this point</w:t>
            </w:r>
          </w:p>
          <w:p>
            <w:pPr>
              <w:spacing w:after="60"/>
            </w:pPr>
            <w:r>
              <w:rPr>
                <w:sz w:val="20"/>
              </w:rPr>
              <w:t>•  Why is co-occurrence harder to trust than exclusivity? (Part 3 explains: chance produces co-occurrence easily.)</w:t>
            </w:r>
          </w:p>
          <w:p>
            <w:pPr>
              <w:spacing w:after="60"/>
            </w:pPr>
            <w:r>
              <w:rPr>
                <w:sz w:val="20"/>
              </w:rPr>
              <w:t>•  Does a significant pair mean the two genes interact? (No. Parts 7 and 9 show how often it does not.)</w:t>
            </w:r>
          </w:p>
        </w:tc>
      </w:tr>
    </w:tbl>
    <w:p>
      <w:pPr>
        <w:spacing w:after="40"/>
      </w:pPr>
    </w:p>
    <w:p>
      <w:pPr>
        <w:spacing w:before="120"/>
      </w:pPr>
      <w:r>
        <w:rPr>
          <w:i/>
          <w:color w:val="555B66"/>
          <w:sz w:val="17"/>
        </w:rPr>
        <w:t>Source files for this part:</w:t>
      </w:r>
      <w:r>
        <w:rPr>
          <w:color w:val="555B66"/>
          <w:sz w:val="17"/>
        </w:rPr>
        <w:t xml:space="preserve"> docs/literature_review.md §1, README.md, the original PLAN.md (git history, commit 92e8234).</w:t>
      </w:r>
    </w:p>
    <w:p>
      <w:r>
        <w:br w:type="page"/>
      </w:r>
    </w:p>
    <w:p>
      <w:pPr>
        <w:spacing w:after="0"/>
      </w:pPr>
      <w:r>
        <w:rPr>
          <w:b/>
          <w:color w:val="2A7F8E"/>
          <w:sz w:val="20"/>
        </w:rPr>
        <w:t>PART 3</w:t>
      </w:r>
    </w:p>
    <w:p>
      <w:pPr>
        <w:pStyle w:val="Heading1"/>
      </w:pPr>
      <w:r>
        <w:t>What has been done before</w:t>
      </w:r>
    </w:p>
    <w:p>
      <w:pPr>
        <w:spacing w:after="200"/>
      </w:pPr>
      <w:r>
        <w:rPr>
          <w:color w:val="555B66"/>
          <w:sz w:val="23"/>
        </w:rPr>
        <w:t>A map of the field: the data other studies used, the methods they built, where they disagree, and the gap this project fills.</w:t>
      </w:r>
    </w:p>
    <w:tbl>
      <w:tblPr>
        <w:tblW w:type="auto" w:w="0"/>
        <w:jc w:val="center"/>
        <w:tblLook w:firstColumn="1" w:firstRow="1" w:lastColumn="0" w:lastRow="0" w:noHBand="0" w:noVBand="1" w:val="04A0"/>
        <w:tblLayout w:type="fixed"/>
      </w:tblPr>
      <w:tblGrid>
        <w:gridCol w:w="9639"/>
      </w:tblGrid>
      <w:tr>
        <w:trPr>
          <w:cantSplit w:val="true"/>
        </w:trPr>
        <w:tc>
          <w:tcPr>
            <w:tcW w:type="dxa" w:w="9638"/>
            <w:shd w:val="clear" w:color="auto" w:fill="EAF3F5"/>
            <w:tcMar>
              <w:top w:w="110" w:type="dxa"/>
              <w:left w:w="200" w:type="dxa"/>
              <w:bottom w:w="110" w:type="dxa"/>
              <w:right w:w="160" w:type="dxa"/>
            </w:tcMar>
            <w:tcBorders>
              <w:top w:val="nil" w:sz="0" w:color="FFFFFF"/>
              <w:left w:val="single" w:sz="24" w:color="2A7F8E"/>
              <w:bottom w:val="nil" w:sz="0" w:color="FFFFFF"/>
              <w:right w:val="nil" w:sz="0" w:color="FFFFFF"/>
            </w:tcBorders>
          </w:tcPr>
          <w:p>
            <w:pPr>
              <w:spacing w:after="40"/>
            </w:pPr>
            <w:r>
              <w:rPr>
                <w:b/>
                <w:color w:val="2A7F8E"/>
                <w:sz w:val="21"/>
              </w:rPr>
              <w:t>How this review was done</w:t>
            </w:r>
          </w:p>
          <w:p>
            <w:pPr>
              <w:spacing w:after="60"/>
            </w:pPr>
            <w:r>
              <w:rPr>
                <w:sz w:val="20"/>
              </w:rPr>
              <w:t>Searched Europe PMC (PubMed, PubMed Central and preprints), the Firecrawl research index and tool documentation between 30 Sep and 22 Oct 2026. It is a narrative, single-reviewer review (not a formal systematic review) with 42 references, each checked against Europe PMC metadata. Full texts were read for the papers the design rests on, including van de Haar 2019, Scharpf 2022 and SELECT (Mina 2017, Methods S1), checked statement by statement on 26 Oct; a few papers cited for a single point were read as abstracts. The SelectSim atlas (Nature Genetics, July 2026) was added on 25 October.</w:t>
            </w:r>
          </w:p>
        </w:tc>
      </w:tr>
    </w:tbl>
    <w:p>
      <w:pPr>
        <w:spacing w:after="40"/>
      </w:pPr>
    </w:p>
    <w:p>
      <w:pPr>
        <w:pStyle w:val="Heading2"/>
      </w:pPr>
      <w:r>
        <w:t>3.1  Data sources used in earlier work</w:t>
      </w:r>
    </w:p>
    <w:tbl>
      <w:tblPr>
        <w:tblW w:type="auto" w:w="0"/>
        <w:jc w:val="center"/>
        <w:tblLayout w:type="fixed"/>
        <w:tblLook w:firstColumn="1" w:firstRow="1" w:lastColumn="0" w:lastRow="0" w:noHBand="0" w:noVBand="1" w:val="04A0"/>
        <w:tblLayout w:type="fixed"/>
      </w:tblPr>
      <w:tblGrid>
        <w:gridCol w:w="1587"/>
        <w:gridCol w:w="1814"/>
        <w:gridCol w:w="1530"/>
        <w:gridCol w:w="2381"/>
        <w:gridCol w:w="2324"/>
      </w:tblGrid>
      <w:tr>
        <w:trPr>
          <w:cantSplit w:val="true"/>
          <w:tblHeader w:val="true"/>
        </w:trPr>
        <w:tc>
          <w:tcPr>
            <w:tcW w:type="dxa" w:w="1587"/>
            <w:shd w:val="clear" w:color="auto" w:fill="1F3A5F"/>
            <w:tcMar>
              <w:top w:w="60" w:type="dxa"/>
              <w:left w:w="90" w:type="dxa"/>
              <w:bottom w:w="60" w:type="dxa"/>
              <w:right w:w="90" w:type="dxa"/>
            </w:tcMar>
          </w:tcPr>
          <w:p>
            <w:pPr>
              <w:spacing w:after="0"/>
            </w:pPr>
            <w:r>
              <w:rPr>
                <w:b/>
                <w:color w:val="FFFFFF"/>
                <w:sz w:val="17"/>
              </w:rPr>
              <w:t>Dataset</w:t>
            </w:r>
          </w:p>
        </w:tc>
        <w:tc>
          <w:tcPr>
            <w:tcW w:type="dxa" w:w="1814"/>
            <w:shd w:val="clear" w:color="auto" w:fill="1F3A5F"/>
            <w:tcMar>
              <w:top w:w="60" w:type="dxa"/>
              <w:left w:w="90" w:type="dxa"/>
              <w:bottom w:w="60" w:type="dxa"/>
              <w:right w:w="90" w:type="dxa"/>
            </w:tcMar>
          </w:tcPr>
          <w:p>
            <w:pPr>
              <w:spacing w:after="0"/>
            </w:pPr>
            <w:r>
              <w:rPr>
                <w:b/>
                <w:color w:val="FFFFFF"/>
                <w:sz w:val="17"/>
              </w:rPr>
              <w:t>Type</w:t>
            </w:r>
          </w:p>
        </w:tc>
        <w:tc>
          <w:tcPr>
            <w:tcW w:type="dxa" w:w="1531"/>
            <w:shd w:val="clear" w:color="auto" w:fill="1F3A5F"/>
            <w:tcMar>
              <w:top w:w="60" w:type="dxa"/>
              <w:left w:w="90" w:type="dxa"/>
              <w:bottom w:w="60" w:type="dxa"/>
              <w:right w:w="90" w:type="dxa"/>
            </w:tcMar>
          </w:tcPr>
          <w:p>
            <w:pPr>
              <w:spacing w:after="0"/>
            </w:pPr>
            <w:r>
              <w:rPr>
                <w:b/>
                <w:color w:val="FFFFFF"/>
                <w:sz w:val="17"/>
              </w:rPr>
              <w:t>Size</w:t>
            </w:r>
          </w:p>
        </w:tc>
        <w:tc>
          <w:tcPr>
            <w:tcW w:type="dxa" w:w="2381"/>
            <w:shd w:val="clear" w:color="auto" w:fill="1F3A5F"/>
            <w:tcMar>
              <w:top w:w="60" w:type="dxa"/>
              <w:left w:w="90" w:type="dxa"/>
              <w:bottom w:w="60" w:type="dxa"/>
              <w:right w:w="90" w:type="dxa"/>
            </w:tcMar>
          </w:tcPr>
          <w:p>
            <w:pPr>
              <w:spacing w:after="0"/>
            </w:pPr>
            <w:r>
              <w:rPr>
                <w:b/>
                <w:color w:val="FFFFFF"/>
                <w:sz w:val="17"/>
              </w:rPr>
              <w:t>Strength</w:t>
            </w:r>
          </w:p>
        </w:tc>
        <w:tc>
          <w:tcPr>
            <w:tcW w:type="dxa" w:w="2324"/>
            <w:shd w:val="clear" w:color="auto" w:fill="1F3A5F"/>
            <w:tcMar>
              <w:top w:w="60" w:type="dxa"/>
              <w:left w:w="90" w:type="dxa"/>
              <w:bottom w:w="60" w:type="dxa"/>
              <w:right w:w="90" w:type="dxa"/>
            </w:tcMar>
          </w:tcPr>
          <w:p>
            <w:pPr>
              <w:spacing w:after="0"/>
            </w:pPr>
            <w:r>
              <w:rPr>
                <w:b/>
                <w:color w:val="FFFFFF"/>
                <w:sz w:val="17"/>
              </w:rPr>
              <w:t>Weakness for this question</w:t>
            </w:r>
          </w:p>
        </w:tc>
      </w:tr>
      <w:tr>
        <w:trPr>
          <w:cantSplit w:val="true"/>
        </w:trPr>
        <w:tc>
          <w:tcPr>
            <w:tcW w:type="dxa" w:w="1587"/>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7"/>
              </w:rPr>
              <w:t>TCGA PanCanAtlas</w:t>
            </w:r>
          </w:p>
        </w:tc>
        <w:tc>
          <w:tcPr>
            <w:tcW w:type="dxa" w:w="181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Whole exome + copy number, research cohort</w:t>
            </w:r>
          </w:p>
        </w:tc>
        <w:tc>
          <w:tcPr>
            <w:tcW w:type="dxa" w:w="153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~10,000 tumours, 33 types</w:t>
            </w:r>
          </w:p>
        </w:tc>
        <w:tc>
          <w:tcPr>
            <w:tcW w:type="dxa" w:w="238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Every gene tested in every tumour; matched normal; uniform processing</w:t>
            </w:r>
          </w:p>
        </w:tc>
        <w:tc>
          <w:tcPr>
            <w:tcW w:type="dxa" w:w="232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Too few patients per type for rare pairs; mostly primary, untreated tumours</w:t>
            </w:r>
          </w:p>
        </w:tc>
      </w:tr>
      <w:tr>
        <w:trPr>
          <w:cantSplit w:val="true"/>
        </w:trPr>
        <w:tc>
          <w:tcPr>
            <w:tcW w:type="dxa" w:w="1587"/>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ICGC/TCGA PCAWG</w:t>
            </w:r>
          </w:p>
        </w:tc>
        <w:tc>
          <w:tcPr>
            <w:tcW w:type="dxa" w:w="181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Whole genome</w:t>
            </w:r>
          </w:p>
        </w:tc>
        <w:tc>
          <w:tcPr>
            <w:tcW w:type="dxa" w:w="153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~2,600 tumours</w:t>
            </w:r>
          </w:p>
        </w:tc>
        <w:tc>
          <w:tcPr>
            <w:tcW w:type="dxa" w:w="238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Covers non-coding DNA and rearrangements</w:t>
            </w:r>
          </w:p>
        </w:tc>
        <w:tc>
          <w:tcPr>
            <w:tcW w:type="dxa" w:w="232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Small</w:t>
            </w:r>
          </w:p>
        </w:tc>
      </w:tr>
      <w:tr>
        <w:trPr>
          <w:cantSplit w:val="true"/>
        </w:trPr>
        <w:tc>
          <w:tcPr>
            <w:tcW w:type="dxa" w:w="1587"/>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7"/>
              </w:rPr>
              <w:t>MSK-IMPACT</w:t>
            </w:r>
          </w:p>
        </w:tc>
        <w:tc>
          <w:tcPr>
            <w:tcW w:type="dxa" w:w="181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Clinical panel, one centre</w:t>
            </w:r>
          </w:p>
        </w:tc>
        <w:tc>
          <w:tcPr>
            <w:tcW w:type="dxa" w:w="153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~10,000 at publication</w:t>
            </w:r>
          </w:p>
        </w:tc>
        <w:tc>
          <w:tcPr>
            <w:tcW w:type="dxa" w:w="238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Real clinical samples incl. metastases</w:t>
            </w:r>
          </w:p>
        </w:tc>
        <w:tc>
          <w:tcPr>
            <w:tcW w:type="dxa" w:w="232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One centre, one panel family</w:t>
            </w:r>
          </w:p>
        </w:tc>
      </w:tr>
      <w:tr>
        <w:trPr>
          <w:cantSplit w:val="true"/>
        </w:trPr>
        <w:tc>
          <w:tcPr>
            <w:tcW w:type="dxa" w:w="1587"/>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AACR GENIE</w:t>
            </w:r>
          </w:p>
        </w:tc>
        <w:tc>
          <w:tcPr>
            <w:tcW w:type="dxa" w:w="181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Clinical panels pooled from many centres</w:t>
            </w:r>
          </w:p>
        </w:tc>
        <w:tc>
          <w:tcPr>
            <w:tcW w:type="dxa" w:w="153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~270,000 samples (v19)</w:t>
            </w:r>
          </w:p>
        </w:tc>
        <w:tc>
          <w:tcPr>
            <w:tcW w:type="dxa" w:w="238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By far the largest; real-world; enough for rare combinations</w:t>
            </w:r>
          </w:p>
        </w:tc>
        <w:tc>
          <w:tcPr>
            <w:tcW w:type="dxa" w:w="232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167 panels; centre-specific pipelines; little clinical detail</w:t>
            </w:r>
          </w:p>
        </w:tc>
      </w:tr>
      <w:tr>
        <w:trPr>
          <w:cantSplit w:val="true"/>
        </w:trPr>
        <w:tc>
          <w:tcPr>
            <w:tcW w:type="dxa" w:w="1587"/>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7"/>
              </w:rPr>
              <w:t>GENIE BPC</w:t>
            </w:r>
          </w:p>
        </w:tc>
        <w:tc>
          <w:tcPr>
            <w:tcW w:type="dxa" w:w="181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GENIE subset with curated treatment/outcome</w:t>
            </w:r>
          </w:p>
        </w:tc>
        <w:tc>
          <w:tcPr>
            <w:tcW w:type="dxa" w:w="153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Thousands; 6 cancer types</w:t>
            </w:r>
          </w:p>
        </w:tc>
        <w:tc>
          <w:tcPr>
            <w:tcW w:type="dxa" w:w="238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Treatment and survival</w:t>
            </w:r>
          </w:p>
        </w:tc>
        <w:tc>
          <w:tcPr>
            <w:tcW w:type="dxa" w:w="232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Separate access; small</w:t>
            </w:r>
          </w:p>
        </w:tc>
      </w:tr>
      <w:tr>
        <w:trPr>
          <w:cantSplit w:val="true"/>
        </w:trPr>
        <w:tc>
          <w:tcPr>
            <w:tcW w:type="dxa" w:w="1587"/>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Cell lines</w:t>
            </w:r>
          </w:p>
        </w:tc>
        <w:tc>
          <w:tcPr>
            <w:tcW w:type="dxa" w:w="181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CRISPR and drug screens</w:t>
            </w:r>
          </w:p>
        </w:tc>
        <w:tc>
          <w:tcPr>
            <w:tcW w:type="dxa" w:w="153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~1-2,000 lines</w:t>
            </w:r>
          </w:p>
        </w:tc>
        <w:tc>
          <w:tcPr>
            <w:tcW w:type="dxa" w:w="238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Can test whether a dependency is functional</w:t>
            </w:r>
          </w:p>
        </w:tc>
        <w:tc>
          <w:tcPr>
            <w:tcW w:type="dxa" w:w="232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Not patients</w:t>
            </w:r>
          </w:p>
        </w:tc>
      </w:tr>
    </w:tbl>
    <w:p>
      <w:pPr>
        <w:spacing w:after="40"/>
      </w:pPr>
    </w:p>
    <w:tbl>
      <w:tblPr>
        <w:tblW w:type="auto" w:w="0"/>
        <w:jc w:val="center"/>
        <w:tblLook w:firstColumn="1" w:firstRow="1" w:lastColumn="0" w:lastRow="0" w:noHBand="0" w:noVBand="1" w:val="04A0"/>
        <w:tblLayout w:type="fixed"/>
      </w:tblPr>
      <w:tblGrid>
        <w:gridCol w:w="9639"/>
      </w:tblGrid>
      <w:tr>
        <w:trPr>
          <w:cantSplit w:val="true"/>
        </w:trPr>
        <w:tc>
          <w:tcPr>
            <w:tcW w:type="dxa" w:w="9638"/>
            <w:shd w:val="clear" w:color="auto" w:fill="E8EEF4"/>
            <w:tcMar>
              <w:top w:w="110" w:type="dxa"/>
              <w:left w:w="200" w:type="dxa"/>
              <w:bottom w:w="110" w:type="dxa"/>
              <w:right w:w="160" w:type="dxa"/>
            </w:tcMar>
            <w:tcBorders>
              <w:top w:val="nil" w:sz="0" w:color="FFFFFF"/>
              <w:left w:val="single" w:sz="24" w:color="1F3A5F"/>
              <w:bottom w:val="nil" w:sz="0" w:color="FFFFFF"/>
              <w:right w:val="nil" w:sz="0" w:color="FFFFFF"/>
            </w:tcBorders>
          </w:tcPr>
          <w:p>
            <w:pPr>
              <w:spacing w:after="40"/>
            </w:pPr>
            <w:r>
              <w:rPr>
                <w:b/>
                <w:color w:val="1F3A5F"/>
                <w:sz w:val="21"/>
              </w:rPr>
              <w:t>Key point</w:t>
            </w:r>
          </w:p>
          <w:p>
            <w:pPr>
              <w:spacing w:after="60"/>
            </w:pPr>
            <w:r>
              <w:rPr>
                <w:sz w:val="20"/>
              </w:rPr>
              <w:t xml:space="preserve">Almost every </w:t>
            </w:r>
            <w:r>
              <w:rPr>
                <w:i/>
                <w:sz w:val="20"/>
              </w:rPr>
              <w:t>method</w:t>
            </w:r>
            <w:r>
              <w:rPr>
                <w:sz w:val="20"/>
              </w:rPr>
              <w:t xml:space="preserve"> paper was built and validated on TCGA, where every gene is tested in every tumour. GENIE breaks that assumption. This is why our Phase 1 tracks testing per patient, and why we use TCGA the other way round: as an </w:t>
            </w:r>
            <w:r>
              <w:rPr>
                <w:b/>
                <w:sz w:val="20"/>
              </w:rPr>
              <w:t>independent validation cohort</w:t>
            </w:r>
            <w:r>
              <w:rPr>
                <w:sz w:val="20"/>
              </w:rPr>
              <w:t>.</w:t>
            </w:r>
          </w:p>
        </w:tc>
      </w:tr>
    </w:tbl>
    <w:p>
      <w:pPr>
        <w:spacing w:after="40"/>
      </w:pPr>
    </w:p>
    <w:p>
      <w:pPr>
        <w:pStyle w:val="Heading2"/>
      </w:pPr>
      <w:r>
        <w:t>3.2  Method families</w:t>
      </w:r>
    </w:p>
    <w:p>
      <w:r>
        <w:t xml:space="preserve">Published methods fall into six families. The last column says what we did with each: </w:t>
      </w:r>
      <w:r>
        <w:rPr>
          <w:b/>
        </w:rPr>
        <w:t>adopted</w:t>
      </w:r>
      <w:r>
        <w:t xml:space="preserve">, </w:t>
      </w:r>
      <w:r>
        <w:rPr>
          <w:b/>
        </w:rPr>
        <w:t>tested on our data</w:t>
      </w:r>
      <w:r>
        <w:t xml:space="preserve">, </w:t>
      </w:r>
      <w:r>
        <w:rPr>
          <w:b/>
        </w:rPr>
        <w:t>idea borrowed</w:t>
      </w:r>
      <w:r>
        <w:t xml:space="preserve"> (when the method cannot run on panel data as published), or </w:t>
      </w:r>
      <w:r>
        <w:rPr>
          <w:b/>
        </w:rPr>
        <w:t>not used</w:t>
      </w:r>
      <w:r>
        <w:t>.</w:t>
      </w:r>
    </w:p>
    <w:p>
      <w:pPr>
        <w:pStyle w:val="Heading3"/>
      </w:pPr>
      <w:r>
        <w:t>A. Simple pairwise tests: the common default</w:t>
      </w:r>
    </w:p>
    <w:tbl>
      <w:tblPr>
        <w:tblW w:type="auto" w:w="0"/>
        <w:jc w:val="center"/>
        <w:tblLayout w:type="fixed"/>
        <w:tblLook w:firstColumn="1" w:firstRow="1" w:lastColumn="0" w:lastRow="0" w:noHBand="0" w:noVBand="1" w:val="04A0"/>
        <w:tblLayout w:type="fixed"/>
      </w:tblPr>
      <w:tblGrid>
        <w:gridCol w:w="3175"/>
        <w:gridCol w:w="3742"/>
        <w:gridCol w:w="2721"/>
      </w:tblGrid>
      <w:tr>
        <w:trPr>
          <w:cantSplit w:val="true"/>
          <w:tblHeader w:val="true"/>
        </w:trPr>
        <w:tc>
          <w:tcPr>
            <w:tcW w:type="dxa" w:w="3175"/>
            <w:shd w:val="clear" w:color="auto" w:fill="1F3A5F"/>
            <w:tcMar>
              <w:top w:w="60" w:type="dxa"/>
              <w:left w:w="90" w:type="dxa"/>
              <w:bottom w:w="60" w:type="dxa"/>
              <w:right w:w="90" w:type="dxa"/>
            </w:tcMar>
          </w:tcPr>
          <w:p>
            <w:pPr>
              <w:spacing w:after="0"/>
            </w:pPr>
            <w:r>
              <w:rPr>
                <w:b/>
                <w:color w:val="FFFFFF"/>
                <w:sz w:val="18"/>
              </w:rPr>
              <w:t>Method</w:t>
            </w:r>
          </w:p>
        </w:tc>
        <w:tc>
          <w:tcPr>
            <w:tcW w:type="dxa" w:w="3742"/>
            <w:shd w:val="clear" w:color="auto" w:fill="1F3A5F"/>
            <w:tcMar>
              <w:top w:w="60" w:type="dxa"/>
              <w:left w:w="90" w:type="dxa"/>
              <w:bottom w:w="60" w:type="dxa"/>
              <w:right w:w="90" w:type="dxa"/>
            </w:tcMar>
          </w:tcPr>
          <w:p>
            <w:pPr>
              <w:spacing w:after="0"/>
            </w:pPr>
            <w:r>
              <w:rPr>
                <w:b/>
                <w:color w:val="FFFFFF"/>
                <w:sz w:val="18"/>
              </w:rPr>
              <w:t>Idea</w:t>
            </w:r>
          </w:p>
        </w:tc>
        <w:tc>
          <w:tcPr>
            <w:tcW w:type="dxa" w:w="2721"/>
            <w:shd w:val="clear" w:color="auto" w:fill="1F3A5F"/>
            <w:tcMar>
              <w:top w:w="60" w:type="dxa"/>
              <w:left w:w="90" w:type="dxa"/>
              <w:bottom w:w="60" w:type="dxa"/>
              <w:right w:w="90" w:type="dxa"/>
            </w:tcMar>
          </w:tcPr>
          <w:p>
            <w:pPr>
              <w:spacing w:after="0"/>
            </w:pPr>
            <w:r>
              <w:rPr>
                <w:b/>
                <w:color w:val="FFFFFF"/>
                <w:sz w:val="18"/>
              </w:rPr>
              <w:t>Our status</w:t>
            </w:r>
          </w:p>
        </w:tc>
      </w:tr>
      <w:tr>
        <w:trPr>
          <w:cantSplit w:val="true"/>
        </w:trPr>
        <w:tc>
          <w:tcPr>
            <w:tcW w:type="dxa" w:w="317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Fisher's exact test</w:t>
            </w:r>
          </w:p>
        </w:tc>
        <w:tc>
          <w:tcPr>
            <w:tcW w:type="dxa" w:w="3742"/>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A 2×2 table per pair (both / A only / B only / neither)</w:t>
            </w:r>
          </w:p>
        </w:tc>
        <w:tc>
          <w:tcPr>
            <w:tcW w:type="dxa" w:w="272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Tested: miscalibrated on our data</w:t>
            </w:r>
          </w:p>
        </w:tc>
      </w:tr>
      <w:tr>
        <w:trPr>
          <w:cantSplit w:val="true"/>
        </w:trPr>
        <w:tc>
          <w:tcPr>
            <w:tcW w:type="dxa" w:w="317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cBioPortal “Mutual Exclusivity” tab (Cerami 2012; Gao 2013)</w:t>
            </w:r>
          </w:p>
        </w:tc>
        <w:tc>
          <w:tcPr>
            <w:tcW w:type="dxa" w:w="3742"/>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One-sided Fisher test plus log odds ratio</w:t>
            </w:r>
          </w:p>
        </w:tc>
        <w:tc>
          <w:tcPr>
            <w:tcW w:type="dxa" w:w="272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Same as Fisher</w:t>
            </w:r>
          </w:p>
        </w:tc>
      </w:tr>
      <w:tr>
        <w:trPr>
          <w:cantSplit w:val="true"/>
        </w:trPr>
        <w:tc>
          <w:tcPr>
            <w:tcW w:type="dxa" w:w="317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 xml:space="preserve">maftools </w:t>
            </w:r>
            <w:r>
              <w:rPr>
                <w:rFonts w:ascii="Menlo" w:hAnsi="Menlo" w:eastAsia="Menlo"/>
                <w:sz w:val="18"/>
              </w:rPr>
              <w:t>somaticInteractions()</w:t>
            </w:r>
            <w:r>
              <w:rPr>
                <w:sz w:val="18"/>
              </w:rPr>
              <w:t xml:space="preserve"> (Mayakonda 2018)</w:t>
            </w:r>
          </w:p>
        </w:tc>
        <w:tc>
          <w:tcPr>
            <w:tcW w:type="dxa" w:w="3742"/>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Pairwise Fisher on a mutation table</w:t>
            </w:r>
          </w:p>
        </w:tc>
        <w:tc>
          <w:tcPr>
            <w:tcW w:type="dxa" w:w="272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Same as Fisher</w:t>
            </w:r>
          </w:p>
        </w:tc>
      </w:tr>
    </w:tbl>
    <w:p>
      <w:pPr>
        <w:spacing w:after="40"/>
      </w:pPr>
    </w:p>
    <w:p>
      <w:r>
        <w:t>Most single-disease GENIE papers (bladder, gastric, GIST, angiosarcoma, chordoma and others, 2024-26) report raw pairwise p-values like this, typically through cBioPortal.</w:t>
      </w:r>
    </w:p>
    <w:p>
      <w:pPr>
        <w:pStyle w:val="Heading3"/>
      </w:pPr>
      <w:r>
        <w:t>B. Tests that respect each tumour's own alteration count: the current standard</w:t>
      </w:r>
    </w:p>
    <w:tbl>
      <w:tblPr>
        <w:tblW w:type="auto" w:w="0"/>
        <w:jc w:val="center"/>
        <w:tblLayout w:type="fixed"/>
        <w:tblLook w:firstColumn="1" w:firstRow="1" w:lastColumn="0" w:lastRow="0" w:noHBand="0" w:noVBand="1" w:val="04A0"/>
        <w:tblLayout w:type="fixed"/>
      </w:tblPr>
      <w:tblGrid>
        <w:gridCol w:w="2324"/>
        <w:gridCol w:w="1530"/>
        <w:gridCol w:w="3515"/>
        <w:gridCol w:w="2268"/>
      </w:tblGrid>
      <w:tr>
        <w:trPr>
          <w:cantSplit w:val="true"/>
          <w:tblHeader w:val="true"/>
        </w:trPr>
        <w:tc>
          <w:tcPr>
            <w:tcW w:type="dxa" w:w="2324"/>
            <w:shd w:val="clear" w:color="auto" w:fill="1F3A5F"/>
            <w:tcMar>
              <w:top w:w="60" w:type="dxa"/>
              <w:left w:w="90" w:type="dxa"/>
              <w:bottom w:w="60" w:type="dxa"/>
              <w:right w:w="90" w:type="dxa"/>
            </w:tcMar>
          </w:tcPr>
          <w:p>
            <w:pPr>
              <w:spacing w:after="0"/>
            </w:pPr>
            <w:r>
              <w:rPr>
                <w:b/>
                <w:color w:val="FFFFFF"/>
                <w:sz w:val="17"/>
              </w:rPr>
              <w:t>Method</w:t>
            </w:r>
          </w:p>
        </w:tc>
        <w:tc>
          <w:tcPr>
            <w:tcW w:type="dxa" w:w="1531"/>
            <w:shd w:val="clear" w:color="auto" w:fill="1F3A5F"/>
            <w:tcMar>
              <w:top w:w="60" w:type="dxa"/>
              <w:left w:w="90" w:type="dxa"/>
              <w:bottom w:w="60" w:type="dxa"/>
              <w:right w:w="90" w:type="dxa"/>
            </w:tcMar>
          </w:tcPr>
          <w:p>
            <w:pPr>
              <w:spacing w:after="0"/>
            </w:pPr>
            <w:r>
              <w:rPr>
                <w:b/>
                <w:color w:val="FFFFFF"/>
                <w:sz w:val="17"/>
              </w:rPr>
              <w:t>Data</w:t>
            </w:r>
          </w:p>
        </w:tc>
        <w:tc>
          <w:tcPr>
            <w:tcW w:type="dxa" w:w="3515"/>
            <w:shd w:val="clear" w:color="auto" w:fill="1F3A5F"/>
            <w:tcMar>
              <w:top w:w="60" w:type="dxa"/>
              <w:left w:w="90" w:type="dxa"/>
              <w:bottom w:w="60" w:type="dxa"/>
              <w:right w:w="90" w:type="dxa"/>
            </w:tcMar>
          </w:tcPr>
          <w:p>
            <w:pPr>
              <w:spacing w:after="0"/>
            </w:pPr>
            <w:r>
              <w:rPr>
                <w:b/>
                <w:color w:val="FFFFFF"/>
                <w:sz w:val="17"/>
              </w:rPr>
              <w:t>Idea</w:t>
            </w:r>
          </w:p>
        </w:tc>
        <w:tc>
          <w:tcPr>
            <w:tcW w:type="dxa" w:w="2268"/>
            <w:shd w:val="clear" w:color="auto" w:fill="1F3A5F"/>
            <w:tcMar>
              <w:top w:w="60" w:type="dxa"/>
              <w:left w:w="90" w:type="dxa"/>
              <w:bottom w:w="60" w:type="dxa"/>
              <w:right w:w="90" w:type="dxa"/>
            </w:tcMar>
          </w:tcPr>
          <w:p>
            <w:pPr>
              <w:spacing w:after="0"/>
            </w:pPr>
            <w:r>
              <w:rPr>
                <w:b/>
                <w:color w:val="FFFFFF"/>
                <w:sz w:val="17"/>
              </w:rPr>
              <w:t>Our status</w:t>
            </w:r>
          </w:p>
        </w:tc>
      </w:tr>
      <w:tr>
        <w:trPr>
          <w:cantSplit w:val="true"/>
        </w:trPr>
        <w:tc>
          <w:tcPr>
            <w:tcW w:type="dxa" w:w="232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7"/>
              </w:rPr>
              <w:t>DISCOVER</w:t>
            </w:r>
            <w:r>
              <w:rPr>
                <w:sz w:val="17"/>
              </w:rPr>
              <w:t xml:space="preserve"> (Canisius 2016)</w:t>
            </w:r>
          </w:p>
        </w:tc>
        <w:tc>
          <w:tcPr>
            <w:tcW w:type="dxa" w:w="153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TCGA pan-cancer</w:t>
            </w:r>
          </w:p>
        </w:tc>
        <w:tc>
          <w:tcPr>
            <w:tcW w:type="dxa" w:w="351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Each tumour gets its own alteration probability (estimated); Poisson-Binomial null</w:t>
            </w:r>
          </w:p>
        </w:tc>
        <w:tc>
          <w:tcPr>
            <w:tcW w:type="dxa" w:w="226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Tested: biased toward exclusivity on panel-sized gene sets</w:t>
            </w:r>
          </w:p>
        </w:tc>
      </w:tr>
      <w:tr>
        <w:trPr>
          <w:cantSplit w:val="true"/>
        </w:trPr>
        <w:tc>
          <w:tcPr>
            <w:tcW w:type="dxa" w:w="232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Rediscover</w:t>
            </w:r>
            <w:r>
              <w:rPr>
                <w:sz w:val="17"/>
              </w:rPr>
              <w:t xml:space="preserve"> (Ferrer-Bonsoms 2022)</w:t>
            </w:r>
          </w:p>
        </w:tc>
        <w:tc>
          <w:tcPr>
            <w:tcW w:type="dxa" w:w="153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w:t>
            </w:r>
          </w:p>
        </w:tc>
        <w:tc>
          <w:tcPr>
            <w:tcW w:type="dxa" w:w="351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Fast R version of DISCOVER</w:t>
            </w:r>
          </w:p>
        </w:tc>
        <w:tc>
          <w:tcPr>
            <w:tcW w:type="dxa" w:w="226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Tested: 69% false positives on our null benchmark</w:t>
            </w:r>
          </w:p>
        </w:tc>
      </w:tr>
      <w:tr>
        <w:trPr>
          <w:cantSplit w:val="true"/>
        </w:trPr>
        <w:tc>
          <w:tcPr>
            <w:tcW w:type="dxa" w:w="232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7"/>
              </w:rPr>
              <w:t>WeSME</w:t>
            </w:r>
            <w:r>
              <w:rPr>
                <w:sz w:val="17"/>
              </w:rPr>
              <w:t xml:space="preserve"> (Kim 2017)</w:t>
            </w:r>
          </w:p>
        </w:tc>
        <w:tc>
          <w:tcPr>
            <w:tcW w:type="dxa" w:w="153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TCGA</w:t>
            </w:r>
          </w:p>
        </w:tc>
        <w:tc>
          <w:tcPr>
            <w:tcW w:type="dxa" w:w="351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Permutations keeping each patient's and gene's totals fixed</w:t>
            </w:r>
          </w:p>
        </w:tc>
        <w:tc>
          <w:tcPr>
            <w:tcW w:type="dxa" w:w="226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Idea adopted: our test computes this null exactly</w:t>
            </w:r>
          </w:p>
        </w:tc>
      </w:tr>
      <w:tr>
        <w:trPr>
          <w:cantSplit w:val="true"/>
        </w:trPr>
        <w:tc>
          <w:tcPr>
            <w:tcW w:type="dxa" w:w="232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WExT</w:t>
            </w:r>
            <w:r>
              <w:rPr>
                <w:sz w:val="17"/>
              </w:rPr>
              <w:t xml:space="preserve"> (Leiserson 2016)</w:t>
            </w:r>
          </w:p>
        </w:tc>
        <w:tc>
          <w:tcPr>
            <w:tcW w:type="dxa" w:w="153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TCGA colorectal, endometrial</w:t>
            </w:r>
          </w:p>
        </w:tc>
        <w:tc>
          <w:tcPr>
            <w:tcW w:type="dxa" w:w="351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Exact test with per-sample, per-gene weights</w:t>
            </w:r>
          </w:p>
        </w:tc>
        <w:tc>
          <w:tcPr>
            <w:tcW w:type="dxa" w:w="226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Same family; superseded</w:t>
            </w:r>
          </w:p>
        </w:tc>
      </w:tr>
      <w:tr>
        <w:trPr>
          <w:cantSplit w:val="true"/>
        </w:trPr>
        <w:tc>
          <w:tcPr>
            <w:tcW w:type="dxa" w:w="232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7"/>
              </w:rPr>
              <w:t>Conditional (Rasch) test</w:t>
            </w:r>
          </w:p>
        </w:tc>
        <w:tc>
          <w:tcPr>
            <w:tcW w:type="dxa" w:w="153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GENIE</w:t>
            </w:r>
          </w:p>
        </w:tc>
        <w:tc>
          <w:tcPr>
            <w:tcW w:type="dxa" w:w="351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 xml:space="preserve">Each tumour's pair probability </w:t>
            </w:r>
            <w:r>
              <w:rPr>
                <w:i/>
                <w:sz w:val="17"/>
              </w:rPr>
              <w:t>given its own alteration count</w:t>
            </w:r>
            <w:r>
              <w:rPr>
                <w:sz w:val="17"/>
              </w:rPr>
              <w:t>; exact tail</w:t>
            </w:r>
          </w:p>
        </w:tc>
        <w:tc>
          <w:tcPr>
            <w:tcW w:type="dxa" w:w="226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7"/>
              </w:rPr>
              <w:t>Adopted</w:t>
            </w:r>
            <w:r>
              <w:rPr>
                <w:sz w:val="17"/>
              </w:rPr>
              <w:t xml:space="preserve"> in Phase 2</w:t>
            </w:r>
          </w:p>
        </w:tc>
      </w:tr>
    </w:tbl>
    <w:p>
      <w:pPr>
        <w:spacing w:after="40"/>
      </w:pPr>
    </w:p>
    <w:p>
      <w:pPr>
        <w:pStyle w:val="Heading3"/>
      </w:pPr>
      <w:r>
        <w:t>C. Sets of mutually exclusive genes (more than two)</w:t>
      </w:r>
    </w:p>
    <w:p>
      <w:r>
        <w:t xml:space="preserve">MEMo (Ciriello 2012), Dendrix and Multi-Dendrix (Vandin 2012; Leiserson 2013), CoMEt (Leiserson 2015) and Mutex (Babur 2015) look for </w:t>
      </w:r>
      <w:r>
        <w:rPr>
          <w:i/>
        </w:rPr>
        <w:t>sets</w:t>
      </w:r>
      <w:r>
        <w:t xml:space="preserve"> of genes that cover many tumours with little overlap, usually a pathway. They were built on TCGA and serve pathway discovery rather than pair-level clinical questions. Our lookup tool counts exact multi-gene combinations instead; we compared the Dendrix idea on GENIE (Part 10): a load-aware set score finds whole pathways three times as often.</w:t>
      </w:r>
    </w:p>
    <w:p>
      <w:pPr>
        <w:pStyle w:val="Heading3"/>
      </w:pPr>
      <w:r>
        <w:t>D. Selection- and evolution-based methods</w:t>
      </w:r>
    </w:p>
    <w:tbl>
      <w:tblPr>
        <w:tblW w:type="auto" w:w="0"/>
        <w:jc w:val="center"/>
        <w:tblLayout w:type="fixed"/>
        <w:tblLook w:firstColumn="1" w:firstRow="1" w:lastColumn="0" w:lastRow="0" w:noHBand="0" w:noVBand="1" w:val="04A0"/>
        <w:tblLayout w:type="fixed"/>
      </w:tblPr>
      <w:tblGrid>
        <w:gridCol w:w="2154"/>
        <w:gridCol w:w="1927"/>
        <w:gridCol w:w="3288"/>
        <w:gridCol w:w="2268"/>
      </w:tblGrid>
      <w:tr>
        <w:trPr>
          <w:cantSplit w:val="true"/>
          <w:tblHeader w:val="true"/>
        </w:trPr>
        <w:tc>
          <w:tcPr>
            <w:tcW w:type="dxa" w:w="2154"/>
            <w:shd w:val="clear" w:color="auto" w:fill="1F3A5F"/>
            <w:tcMar>
              <w:top w:w="60" w:type="dxa"/>
              <w:left w:w="90" w:type="dxa"/>
              <w:bottom w:w="60" w:type="dxa"/>
              <w:right w:w="90" w:type="dxa"/>
            </w:tcMar>
          </w:tcPr>
          <w:p>
            <w:pPr>
              <w:spacing w:after="0"/>
            </w:pPr>
            <w:r>
              <w:rPr>
                <w:b/>
                <w:color w:val="FFFFFF"/>
                <w:sz w:val="17"/>
              </w:rPr>
              <w:t>Method</w:t>
            </w:r>
          </w:p>
        </w:tc>
        <w:tc>
          <w:tcPr>
            <w:tcW w:type="dxa" w:w="1928"/>
            <w:shd w:val="clear" w:color="auto" w:fill="1F3A5F"/>
            <w:tcMar>
              <w:top w:w="60" w:type="dxa"/>
              <w:left w:w="90" w:type="dxa"/>
              <w:bottom w:w="60" w:type="dxa"/>
              <w:right w:w="90" w:type="dxa"/>
            </w:tcMar>
          </w:tcPr>
          <w:p>
            <w:pPr>
              <w:spacing w:after="0"/>
            </w:pPr>
            <w:r>
              <w:rPr>
                <w:b/>
                <w:color w:val="FFFFFF"/>
                <w:sz w:val="17"/>
              </w:rPr>
              <w:t>Data</w:t>
            </w:r>
          </w:p>
        </w:tc>
        <w:tc>
          <w:tcPr>
            <w:tcW w:type="dxa" w:w="3288"/>
            <w:shd w:val="clear" w:color="auto" w:fill="1F3A5F"/>
            <w:tcMar>
              <w:top w:w="60" w:type="dxa"/>
              <w:left w:w="90" w:type="dxa"/>
              <w:bottom w:w="60" w:type="dxa"/>
              <w:right w:w="90" w:type="dxa"/>
            </w:tcMar>
          </w:tcPr>
          <w:p>
            <w:pPr>
              <w:spacing w:after="0"/>
            </w:pPr>
            <w:r>
              <w:rPr>
                <w:b/>
                <w:color w:val="FFFFFF"/>
                <w:sz w:val="17"/>
              </w:rPr>
              <w:t>Idea</w:t>
            </w:r>
          </w:p>
        </w:tc>
        <w:tc>
          <w:tcPr>
            <w:tcW w:type="dxa" w:w="2268"/>
            <w:shd w:val="clear" w:color="auto" w:fill="1F3A5F"/>
            <w:tcMar>
              <w:top w:w="60" w:type="dxa"/>
              <w:left w:w="90" w:type="dxa"/>
              <w:bottom w:w="60" w:type="dxa"/>
              <w:right w:w="90" w:type="dxa"/>
            </w:tcMar>
          </w:tcPr>
          <w:p>
            <w:pPr>
              <w:spacing w:after="0"/>
            </w:pPr>
            <w:r>
              <w:rPr>
                <w:b/>
                <w:color w:val="FFFFFF"/>
                <w:sz w:val="17"/>
              </w:rPr>
              <w:t>Our status</w:t>
            </w:r>
          </w:p>
        </w:tc>
      </w:tr>
      <w:tr>
        <w:trPr>
          <w:cantSplit w:val="true"/>
        </w:trPr>
        <w:tc>
          <w:tcPr>
            <w:tcW w:type="dxa" w:w="215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7"/>
              </w:rPr>
              <w:t>SELECT</w:t>
            </w:r>
            <w:r>
              <w:rPr>
                <w:sz w:val="17"/>
              </w:rPr>
              <w:t xml:space="preserve"> (Mina 2017, 2020)</w:t>
            </w:r>
          </w:p>
        </w:tc>
        <w:tc>
          <w:tcPr>
            <w:tcW w:type="dxa" w:w="192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6-9k TCGA tumours + ~2k cell lines</w:t>
            </w:r>
          </w:p>
        </w:tc>
        <w:tc>
          <w:tcPr>
            <w:tcW w:type="dxa" w:w="328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Evolutionary dependencies; exclusivity ≈ redundancy, co-occurrence ≈ synergy; checked against CRISPR/drug screens</w:t>
            </w:r>
          </w:p>
        </w:tc>
        <w:tc>
          <w:tcPr>
            <w:tcW w:type="dxa" w:w="226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Re-implemented from its methods and benchmarked (Part 10.4): calibrated, best at ranking the strongest pairs; redundancy interpretation used in Phase 4</w:t>
            </w:r>
          </w:p>
        </w:tc>
      </w:tr>
      <w:tr>
        <w:trPr>
          <w:cantSplit w:val="true"/>
        </w:trPr>
        <w:tc>
          <w:tcPr>
            <w:tcW w:type="dxa" w:w="215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Coselens</w:t>
            </w:r>
            <w:r>
              <w:rPr>
                <w:sz w:val="17"/>
              </w:rPr>
              <w:t xml:space="preserve"> (Iranzo 2022)</w:t>
            </w:r>
          </w:p>
        </w:tc>
        <w:tc>
          <w:tcPr>
            <w:tcW w:type="dxa" w:w="192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TCGA, 16 types</w:t>
            </w:r>
          </w:p>
        </w:tc>
        <w:tc>
          <w:tcPr>
            <w:tcW w:type="dxa" w:w="328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Is a gene's protein-changing-to-silent ratio higher when another gene is mutated?</w:t>
            </w:r>
          </w:p>
        </w:tc>
        <w:tc>
          <w:tcPr>
            <w:tcW w:type="dxa" w:w="226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Idea borrowed: tested on GENIE panels (Part 10)</w:t>
            </w:r>
          </w:p>
        </w:tc>
      </w:tr>
      <w:tr>
        <w:trPr>
          <w:cantSplit w:val="true"/>
        </w:trPr>
        <w:tc>
          <w:tcPr>
            <w:tcW w:type="dxa" w:w="215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SelectSim (Iyer 2026)</w:t>
            </w:r>
          </w:p>
        </w:tc>
        <w:tc>
          <w:tcPr>
            <w:tcW w:type="dxa" w:w="192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GENIE v15 (MSK + DFCI) + TCGA; &gt;70,000 tumours</w:t>
            </w:r>
          </w:p>
        </w:tc>
        <w:tc>
          <w:tcPr>
            <w:tcW w:type="dxa" w:w="328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Simulate mutations under independence keeping gene frequency and TMB within subtypes; TMB-weighted effect size</w:t>
            </w:r>
          </w:p>
        </w:tc>
        <w:tc>
          <w:tcPr>
            <w:tcW w:type="dxa" w:w="226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Compared pair by pair (Part 9.3)</w:t>
            </w:r>
          </w:p>
        </w:tc>
      </w:tr>
    </w:tbl>
    <w:p>
      <w:pPr>
        <w:spacing w:after="40"/>
      </w:pPr>
    </w:p>
    <w:p>
      <w:pPr>
        <w:pStyle w:val="Heading3"/>
      </w:pPr>
      <w:r>
        <w:t>E. Confounders and context</w:t>
      </w:r>
    </w:p>
    <w:tbl>
      <w:tblPr>
        <w:tblW w:type="auto" w:w="0"/>
        <w:jc w:val="center"/>
        <w:tblLayout w:type="fixed"/>
        <w:tblLook w:firstColumn="1" w:firstRow="1" w:lastColumn="0" w:lastRow="0" w:noHBand="0" w:noVBand="1" w:val="04A0"/>
        <w:tblLayout w:type="fixed"/>
      </w:tblPr>
      <w:tblGrid>
        <w:gridCol w:w="2381"/>
        <w:gridCol w:w="4309"/>
        <w:gridCol w:w="2948"/>
      </w:tblGrid>
      <w:tr>
        <w:trPr>
          <w:cantSplit w:val="true"/>
          <w:tblHeader w:val="true"/>
        </w:trPr>
        <w:tc>
          <w:tcPr>
            <w:tcW w:type="dxa" w:w="2381"/>
            <w:shd w:val="clear" w:color="auto" w:fill="1F3A5F"/>
            <w:tcMar>
              <w:top w:w="60" w:type="dxa"/>
              <w:left w:w="90" w:type="dxa"/>
              <w:bottom w:w="60" w:type="dxa"/>
              <w:right w:w="90" w:type="dxa"/>
            </w:tcMar>
          </w:tcPr>
          <w:p>
            <w:pPr>
              <w:spacing w:after="0"/>
            </w:pPr>
            <w:r>
              <w:rPr>
                <w:b/>
                <w:color w:val="FFFFFF"/>
                <w:sz w:val="17"/>
              </w:rPr>
              <w:t>Paper</w:t>
            </w:r>
          </w:p>
        </w:tc>
        <w:tc>
          <w:tcPr>
            <w:tcW w:type="dxa" w:w="4309"/>
            <w:shd w:val="clear" w:color="auto" w:fill="1F3A5F"/>
            <w:tcMar>
              <w:top w:w="60" w:type="dxa"/>
              <w:left w:w="90" w:type="dxa"/>
              <w:bottom w:w="60" w:type="dxa"/>
              <w:right w:w="90" w:type="dxa"/>
            </w:tcMar>
          </w:tcPr>
          <w:p>
            <w:pPr>
              <w:spacing w:after="0"/>
            </w:pPr>
            <w:r>
              <w:rPr>
                <w:b/>
                <w:color w:val="FFFFFF"/>
                <w:sz w:val="17"/>
              </w:rPr>
              <w:t>Finding</w:t>
            </w:r>
          </w:p>
        </w:tc>
        <w:tc>
          <w:tcPr>
            <w:tcW w:type="dxa" w:w="2948"/>
            <w:shd w:val="clear" w:color="auto" w:fill="1F3A5F"/>
            <w:tcMar>
              <w:top w:w="60" w:type="dxa"/>
              <w:left w:w="90" w:type="dxa"/>
              <w:bottom w:w="60" w:type="dxa"/>
              <w:right w:w="90" w:type="dxa"/>
            </w:tcMar>
          </w:tcPr>
          <w:p>
            <w:pPr>
              <w:spacing w:after="0"/>
            </w:pPr>
            <w:r>
              <w:rPr>
                <w:b/>
                <w:color w:val="FFFFFF"/>
                <w:sz w:val="17"/>
              </w:rPr>
              <w:t>How we used it</w:t>
            </w:r>
          </w:p>
        </w:tc>
      </w:tr>
      <w:tr>
        <w:trPr>
          <w:cantSplit w:val="true"/>
        </w:trPr>
        <w:tc>
          <w:tcPr>
            <w:tcW w:type="dxa" w:w="238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7"/>
              </w:rPr>
              <w:t>van de Haar 2019</w:t>
            </w:r>
            <w:r>
              <w:rPr>
                <w:sz w:val="17"/>
              </w:rPr>
              <w:t xml:space="preserve"> (</w:t>
            </w:r>
            <w:r>
              <w:rPr>
                <w:i/>
                <w:sz w:val="17"/>
              </w:rPr>
              <w:t>Cell</w:t>
            </w:r>
            <w:r>
              <w:rPr>
                <w:sz w:val="17"/>
              </w:rPr>
              <w:t>)</w:t>
            </w:r>
          </w:p>
        </w:tc>
        <w:tc>
          <w:tcPr>
            <w:tcW w:type="dxa" w:w="4309"/>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Re-ran five methods (incl. DISCOVER, Fisher) on 13 TCGA + MSKCC cohorts: most exclusivity they find tracks subtype and mutation load, not pathways -- even for load-aware DISCOVER</w:t>
            </w:r>
          </w:p>
        </w:tc>
        <w:tc>
          <w:tcPr>
            <w:tcW w:type="dxa" w:w="294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Adopted: subtype strata + load-conditional test</w:t>
            </w:r>
          </w:p>
        </w:tc>
      </w:tr>
      <w:tr>
        <w:trPr>
          <w:cantSplit w:val="true"/>
        </w:trPr>
        <w:tc>
          <w:tcPr>
            <w:tcW w:type="dxa" w:w="238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Park &amp; Lehner 2015</w:t>
            </w:r>
          </w:p>
        </w:tc>
        <w:tc>
          <w:tcPr>
            <w:tcW w:type="dxa" w:w="4309"/>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Interactions change between cancer types (30 of 52 re-testable ones were type-specific)</w:t>
            </w:r>
          </w:p>
        </w:tc>
        <w:tc>
          <w:tcPr>
            <w:tcW w:type="dxa" w:w="294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Adopted: Phase 4 heterogeneity test</w:t>
            </w:r>
          </w:p>
        </w:tc>
      </w:tr>
      <w:tr>
        <w:trPr>
          <w:cantSplit w:val="true"/>
        </w:trPr>
        <w:tc>
          <w:tcPr>
            <w:tcW w:type="dxa" w:w="238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7"/>
              </w:rPr>
              <w:t>Sanchez-Vega 2018</w:t>
            </w:r>
          </w:p>
        </w:tc>
        <w:tc>
          <w:tcPr>
            <w:tcW w:type="dxa" w:w="4309"/>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10 curated oncogenic pathways; exclusivity common within a pathway</w:t>
            </w:r>
          </w:p>
        </w:tc>
        <w:tc>
          <w:tcPr>
            <w:tcW w:type="dxa" w:w="294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Adopted: Phase 4 pathway test</w:t>
            </w:r>
          </w:p>
        </w:tc>
      </w:tr>
      <w:tr>
        <w:trPr>
          <w:cantSplit w:val="true"/>
        </w:trPr>
        <w:tc>
          <w:tcPr>
            <w:tcW w:type="dxa" w:w="238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MOSAIC</w:t>
            </w:r>
            <w:r>
              <w:rPr>
                <w:sz w:val="17"/>
              </w:rPr>
              <w:t xml:space="preserve"> (Campbell &amp; Reyna 2026)</w:t>
            </w:r>
          </w:p>
        </w:tc>
        <w:tc>
          <w:tcPr>
            <w:tcW w:type="dxa" w:w="4309"/>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Methods cannot separate true exclusivity from subgroup structure</w:t>
            </w:r>
          </w:p>
        </w:tc>
        <w:tc>
          <w:tcPr>
            <w:tcW w:type="dxa" w:w="294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Addressed by subtype strata</w:t>
            </w:r>
          </w:p>
        </w:tc>
      </w:tr>
      <w:tr>
        <w:trPr>
          <w:cantSplit w:val="true"/>
        </w:trPr>
        <w:tc>
          <w:tcPr>
            <w:tcW w:type="dxa" w:w="238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7"/>
              </w:rPr>
              <w:t>CDCOCA, Zack 2013, Watkins 2020</w:t>
            </w:r>
          </w:p>
        </w:tc>
        <w:tc>
          <w:tcPr>
            <w:tcW w:type="dxa" w:w="4309"/>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Copy-number co-occurrence must be judged against each tumour's copy-number complexity</w:t>
            </w:r>
          </w:p>
        </w:tc>
        <w:tc>
          <w:tcPr>
            <w:tcW w:type="dxa" w:w="294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Tested: burden check (Part 9)</w:t>
            </w:r>
          </w:p>
        </w:tc>
      </w:tr>
      <w:tr>
        <w:trPr>
          <w:cantSplit w:val="true"/>
        </w:trPr>
        <w:tc>
          <w:tcPr>
            <w:tcW w:type="dxa" w:w="238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GeneAccord</w:t>
            </w:r>
            <w:r>
              <w:rPr>
                <w:sz w:val="17"/>
              </w:rPr>
              <w:t xml:space="preserve"> (Kuipers 2021)</w:t>
            </w:r>
          </w:p>
        </w:tc>
        <w:tc>
          <w:tcPr>
            <w:tcW w:type="dxa" w:w="4309"/>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Clonal co-occurrence inside a tumour</w:t>
            </w:r>
          </w:p>
        </w:tc>
        <w:tc>
          <w:tcPr>
            <w:tcW w:type="dxa" w:w="294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Not used: panels have no clonal reconstruction</w:t>
            </w:r>
          </w:p>
        </w:tc>
      </w:tr>
    </w:tbl>
    <w:p>
      <w:pPr>
        <w:spacing w:after="40"/>
      </w:pPr>
    </w:p>
    <w:p>
      <w:pPr>
        <w:pStyle w:val="Heading3"/>
      </w:pPr>
      <w:r>
        <w:t>F. Allele-level, fusion and GENIE-scale studies: closest to this project</w:t>
      </w:r>
    </w:p>
    <w:tbl>
      <w:tblPr>
        <w:tblW w:type="auto" w:w="0"/>
        <w:jc w:val="center"/>
        <w:tblLayout w:type="fixed"/>
        <w:tblLook w:firstColumn="1" w:firstRow="1" w:lastColumn="0" w:lastRow="0" w:noHBand="0" w:noVBand="1" w:val="04A0"/>
        <w:tblLayout w:type="fixed"/>
      </w:tblPr>
      <w:tblGrid>
        <w:gridCol w:w="2041"/>
        <w:gridCol w:w="1871"/>
        <w:gridCol w:w="3515"/>
        <w:gridCol w:w="2211"/>
      </w:tblGrid>
      <w:tr>
        <w:trPr>
          <w:cantSplit w:val="true"/>
          <w:tblHeader w:val="true"/>
        </w:trPr>
        <w:tc>
          <w:tcPr>
            <w:tcW w:type="dxa" w:w="2041"/>
            <w:shd w:val="clear" w:color="auto" w:fill="1F3A5F"/>
            <w:tcMar>
              <w:top w:w="60" w:type="dxa"/>
              <w:left w:w="90" w:type="dxa"/>
              <w:bottom w:w="60" w:type="dxa"/>
              <w:right w:w="90" w:type="dxa"/>
            </w:tcMar>
          </w:tcPr>
          <w:p>
            <w:pPr>
              <w:spacing w:after="0"/>
            </w:pPr>
            <w:r>
              <w:rPr>
                <w:b/>
                <w:color w:val="FFFFFF"/>
                <w:sz w:val="17"/>
              </w:rPr>
              <w:t>Paper</w:t>
            </w:r>
          </w:p>
        </w:tc>
        <w:tc>
          <w:tcPr>
            <w:tcW w:type="dxa" w:w="1871"/>
            <w:shd w:val="clear" w:color="auto" w:fill="1F3A5F"/>
            <w:tcMar>
              <w:top w:w="60" w:type="dxa"/>
              <w:left w:w="90" w:type="dxa"/>
              <w:bottom w:w="60" w:type="dxa"/>
              <w:right w:w="90" w:type="dxa"/>
            </w:tcMar>
          </w:tcPr>
          <w:p>
            <w:pPr>
              <w:spacing w:after="0"/>
            </w:pPr>
            <w:r>
              <w:rPr>
                <w:b/>
                <w:color w:val="FFFFFF"/>
                <w:sz w:val="17"/>
              </w:rPr>
              <w:t>Data</w:t>
            </w:r>
          </w:p>
        </w:tc>
        <w:tc>
          <w:tcPr>
            <w:tcW w:type="dxa" w:w="3515"/>
            <w:shd w:val="clear" w:color="auto" w:fill="1F3A5F"/>
            <w:tcMar>
              <w:top w:w="60" w:type="dxa"/>
              <w:left w:w="90" w:type="dxa"/>
              <w:bottom w:w="60" w:type="dxa"/>
              <w:right w:w="90" w:type="dxa"/>
            </w:tcMar>
          </w:tcPr>
          <w:p>
            <w:pPr>
              <w:spacing w:after="0"/>
            </w:pPr>
            <w:r>
              <w:rPr>
                <w:b/>
                <w:color w:val="FFFFFF"/>
                <w:sz w:val="17"/>
              </w:rPr>
              <w:t>Finding</w:t>
            </w:r>
          </w:p>
        </w:tc>
        <w:tc>
          <w:tcPr>
            <w:tcW w:type="dxa" w:w="2211"/>
            <w:shd w:val="clear" w:color="auto" w:fill="1F3A5F"/>
            <w:tcMar>
              <w:top w:w="60" w:type="dxa"/>
              <w:left w:w="90" w:type="dxa"/>
              <w:bottom w:w="60" w:type="dxa"/>
              <w:right w:w="90" w:type="dxa"/>
            </w:tcMar>
          </w:tcPr>
          <w:p>
            <w:pPr>
              <w:spacing w:after="0"/>
            </w:pPr>
            <w:r>
              <w:rPr>
                <w:b/>
                <w:color w:val="FFFFFF"/>
                <w:sz w:val="17"/>
              </w:rPr>
              <w:t>How we used it</w:t>
            </w:r>
          </w:p>
        </w:tc>
      </w:tr>
      <w:tr>
        <w:trPr>
          <w:cantSplit w:val="true"/>
        </w:trPr>
        <w:tc>
          <w:tcPr>
            <w:tcW w:type="dxa" w:w="204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7"/>
              </w:rPr>
              <w:t>Scharpf 2022</w:t>
            </w:r>
          </w:p>
        </w:tc>
        <w:tc>
          <w:tcPr>
            <w:tcW w:type="dxa" w:w="187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66,372 GENIE tumours (27,257 tumour-normal for co-mutation)</w:t>
            </w:r>
          </w:p>
        </w:tc>
        <w:tc>
          <w:tcPr>
            <w:tcW w:type="dxa" w:w="351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RAS co-mutation depends on lineage and allele; Bayesian hierarchical model pooled across cancer types, with TMB-quintile and smoking-signature stratified checks</w:t>
            </w:r>
          </w:p>
        </w:tc>
        <w:tc>
          <w:tcPr>
            <w:tcW w:type="dxa" w:w="221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Smoking adjustment (Phase 4); pooling tested, small gain (Part 10)</w:t>
            </w:r>
          </w:p>
        </w:tc>
      </w:tr>
      <w:tr>
        <w:trPr>
          <w:cantSplit w:val="true"/>
        </w:trPr>
        <w:tc>
          <w:tcPr>
            <w:tcW w:type="dxa" w:w="204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Cook 2021</w:t>
            </w:r>
          </w:p>
        </w:tc>
        <w:tc>
          <w:tcPr>
            <w:tcW w:type="dxa" w:w="187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13,492 tumours</w:t>
            </w:r>
          </w:p>
        </w:tc>
        <w:tc>
          <w:tcPr>
            <w:tcW w:type="dxa" w:w="351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Each KRAS allele has its own partners in each tissue</w:t>
            </w:r>
          </w:p>
        </w:tc>
        <w:tc>
          <w:tcPr>
            <w:tcW w:type="dxa" w:w="221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Allele screen (Phase 4)</w:t>
            </w:r>
          </w:p>
        </w:tc>
      </w:tr>
      <w:tr>
        <w:trPr>
          <w:cantSplit w:val="true"/>
        </w:trPr>
        <w:tc>
          <w:tcPr>
            <w:tcW w:type="dxa" w:w="204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7"/>
              </w:rPr>
              <w:t>Vaeyens 2023</w:t>
            </w:r>
          </w:p>
        </w:tc>
        <w:tc>
          <w:tcPr>
            <w:tcW w:type="dxa" w:w="187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64,807 cBioPortal samples</w:t>
            </w:r>
          </w:p>
        </w:tc>
        <w:tc>
          <w:tcPr>
            <w:tcW w:type="dxa" w:w="351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BRAF/EGFR exclusivity depends on variant class</w:t>
            </w:r>
          </w:p>
        </w:tc>
        <w:tc>
          <w:tcPr>
            <w:tcW w:type="dxa" w:w="221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Variant-level lookup tool</w:t>
            </w:r>
          </w:p>
        </w:tc>
      </w:tr>
      <w:tr>
        <w:trPr>
          <w:cantSplit w:val="true"/>
        </w:trPr>
        <w:tc>
          <w:tcPr>
            <w:tcW w:type="dxa" w:w="204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Jiang 2023; Tang 2018; Zhang 2020</w:t>
            </w:r>
          </w:p>
        </w:tc>
        <w:tc>
          <w:tcPr>
            <w:tcW w:type="dxa" w:w="187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Fusion-positive cohorts</w:t>
            </w:r>
          </w:p>
        </w:tc>
        <w:tc>
          <w:tcPr>
            <w:tcW w:type="dxa" w:w="351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TP53/CDKN2A loss common and prognostic with ALK/RET/ROS1 fusions</w:t>
            </w:r>
          </w:p>
        </w:tc>
        <w:tc>
          <w:tcPr>
            <w:tcW w:type="dxa" w:w="221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Fusion screen</w:t>
            </w:r>
          </w:p>
        </w:tc>
      </w:tr>
    </w:tbl>
    <w:p>
      <w:pPr>
        <w:spacing w:after="40"/>
      </w:pPr>
    </w:p>
    <w:tbl>
      <w:tblPr>
        <w:tblW w:type="auto" w:w="0"/>
        <w:jc w:val="center"/>
        <w:tblLook w:firstColumn="1" w:firstRow="1" w:lastColumn="0" w:lastRow="0" w:noHBand="0" w:noVBand="1" w:val="04A0"/>
        <w:tblLayout w:type="fixed"/>
      </w:tblPr>
      <w:tblGrid>
        <w:gridCol w:w="9639"/>
      </w:tblGrid>
      <w:tr>
        <w:trPr>
          <w:cantSplit w:val="true"/>
        </w:trPr>
        <w:tc>
          <w:tcPr>
            <w:tcW w:type="dxa" w:w="9638"/>
            <w:shd w:val="clear" w:color="auto" w:fill="E8EEF4"/>
            <w:tcMar>
              <w:top w:w="110" w:type="dxa"/>
              <w:left w:w="200" w:type="dxa"/>
              <w:bottom w:w="110" w:type="dxa"/>
              <w:right w:w="160" w:type="dxa"/>
            </w:tcMar>
            <w:tcBorders>
              <w:top w:val="nil" w:sz="0" w:color="FFFFFF"/>
              <w:left w:val="single" w:sz="24" w:color="1F3A5F"/>
              <w:bottom w:val="nil" w:sz="0" w:color="FFFFFF"/>
              <w:right w:val="nil" w:sz="0" w:color="FFFFFF"/>
            </w:tcBorders>
          </w:tcPr>
          <w:p>
            <w:pPr>
              <w:spacing w:after="40"/>
            </w:pPr>
            <w:r>
              <w:rPr>
                <w:b/>
                <w:color w:val="1F3A5F"/>
                <w:sz w:val="21"/>
              </w:rPr>
              <w:t>The closest prior work: Scharpf et al. 2022</w:t>
            </w:r>
          </w:p>
          <w:p>
            <w:pPr>
              <w:spacing w:after="60"/>
            </w:pPr>
            <w:r>
              <w:rPr>
                <w:sz w:val="20"/>
              </w:rPr>
              <w:t>Same database, same concern with mutation load, and panel-aware denominators like ours. Differences: it covers RAS genes only; it stratifies mutation load into TMB quintiles rather than conditioning on each tumour's own count; it does not adjust for copy-number burden; and it offers no lookup tool. It found G12C/STK11 and G12C/KEAP1 strongest in low-TMB tumours, and fewer of them with a smoking signature -- consistent with our smoking adjustment.</w:t>
            </w:r>
          </w:p>
        </w:tc>
      </w:tr>
    </w:tbl>
    <w:p>
      <w:pPr>
        <w:spacing w:after="40"/>
      </w:pPr>
    </w:p>
    <w:tbl>
      <w:tblPr>
        <w:tblW w:type="auto" w:w="0"/>
        <w:jc w:val="center"/>
        <w:tblLook w:firstColumn="1" w:firstRow="1" w:lastColumn="0" w:lastRow="0" w:noHBand="0" w:noVBand="1" w:val="04A0"/>
        <w:tblLayout w:type="fixed"/>
      </w:tblPr>
      <w:tblGrid>
        <w:gridCol w:w="9639"/>
      </w:tblGrid>
      <w:tr>
        <w:trPr>
          <w:cantSplit w:val="true"/>
        </w:trPr>
        <w:tc>
          <w:tcPr>
            <w:tcW w:type="dxa" w:w="9638"/>
            <w:shd w:val="clear" w:color="auto" w:fill="E8EEF4"/>
            <w:tcMar>
              <w:top w:w="110" w:type="dxa"/>
              <w:left w:w="200" w:type="dxa"/>
              <w:bottom w:w="110" w:type="dxa"/>
              <w:right w:w="160" w:type="dxa"/>
            </w:tcMar>
            <w:tcBorders>
              <w:top w:val="nil" w:sz="0" w:color="FFFFFF"/>
              <w:left w:val="single" w:sz="24" w:color="1F3A5F"/>
              <w:bottom w:val="nil" w:sz="0" w:color="FFFFFF"/>
              <w:right w:val="nil" w:sz="0" w:color="FFFFFF"/>
            </w:tcBorders>
          </w:tcPr>
          <w:p>
            <w:pPr>
              <w:spacing w:after="40"/>
            </w:pPr>
            <w:r>
              <w:rPr>
                <w:b/>
                <w:color w:val="1F3A5F"/>
                <w:sz w:val="21"/>
              </w:rPr>
              <w:t>The closest recent atlas: SelectSim (Iyer ... Mina, Ciriello, Nat Genet 2026)</w:t>
            </w:r>
          </w:p>
          <w:p>
            <w:pPr>
              <w:spacing w:after="60"/>
            </w:pPr>
            <w:r>
              <w:rPr>
                <w:sz w:val="20"/>
              </w:rPr>
              <w:t>Built a co-mutation atlas from GENIE v15 and TCGA (&gt;70,000 tumours, 119 subtypes) and reports 892 independently validated co-mutations, including metastasis-specific ones and their rarity in normal tissue.</w:t>
            </w:r>
          </w:p>
          <w:p>
            <w:pPr>
              <w:spacing w:after="60"/>
            </w:pPr>
            <w:r>
              <w:rPr>
                <w:b/>
                <w:sz w:val="20"/>
              </w:rPr>
              <w:t>How it handles the GENIE trap:</w:t>
            </w:r>
            <w:r>
              <w:rPr>
                <w:sz w:val="20"/>
              </w:rPr>
              <w:t xml:space="preserve"> it keeps only the two largest centres (MSK, DFCI) and runs each panel separately or on the genes all panels share. </w:t>
            </w:r>
            <w:r>
              <w:rPr>
                <w:b/>
                <w:sz w:val="20"/>
              </w:rPr>
              <w:t>What it does not cover:</w:t>
            </w:r>
            <w:r>
              <w:rPr>
                <w:sz w:val="20"/>
              </w:rPr>
              <w:t xml:space="preserve"> copy-number changes, fusions, the other 17 centres, or a lookup tool.</w:t>
            </w:r>
          </w:p>
          <w:p>
            <w:pPr>
              <w:spacing w:after="60"/>
            </w:pPr>
            <w:r>
              <w:rPr>
                <w:b/>
                <w:sz w:val="20"/>
              </w:rPr>
              <w:t>How we relate to it:</w:t>
            </w:r>
            <w:r>
              <w:rPr>
                <w:sz w:val="20"/>
              </w:rPr>
              <w:t xml:space="preserve"> every robust pair of ours that SelectSim reports for the same cancer type agrees in direction (an independent confirmation of both), while most of our copy-number and mixed pairs are outside its scope (Part 9.3).</w:t>
            </w:r>
          </w:p>
        </w:tc>
      </w:tr>
    </w:tbl>
    <w:p>
      <w:pPr>
        <w:spacing w:before="120"/>
      </w:pPr>
    </w:p>
    <w:p>
      <w:pPr>
        <w:pStyle w:val="Heading2"/>
      </w:pPr>
      <w:r>
        <w:t>3.3  Tools a clinician uses today</w:t>
      </w:r>
    </w:p>
    <w:tbl>
      <w:tblPr>
        <w:tblW w:type="auto" w:w="0"/>
        <w:jc w:val="center"/>
        <w:tblLayout w:type="fixed"/>
        <w:tblLook w:firstColumn="1" w:firstRow="1" w:lastColumn="0" w:lastRow="0" w:noHBand="0" w:noVBand="1" w:val="04A0"/>
        <w:tblLayout w:type="fixed"/>
      </w:tblPr>
      <w:tblGrid>
        <w:gridCol w:w="2608"/>
        <w:gridCol w:w="3515"/>
        <w:gridCol w:w="3515"/>
      </w:tblGrid>
      <w:tr>
        <w:trPr>
          <w:cantSplit w:val="true"/>
          <w:tblHeader w:val="true"/>
        </w:trPr>
        <w:tc>
          <w:tcPr>
            <w:tcW w:type="dxa" w:w="2608"/>
            <w:shd w:val="clear" w:color="auto" w:fill="1F3A5F"/>
            <w:tcMar>
              <w:top w:w="60" w:type="dxa"/>
              <w:left w:w="90" w:type="dxa"/>
              <w:bottom w:w="60" w:type="dxa"/>
              <w:right w:w="90" w:type="dxa"/>
            </w:tcMar>
          </w:tcPr>
          <w:p>
            <w:pPr>
              <w:spacing w:after="0"/>
            </w:pPr>
            <w:r>
              <w:rPr>
                <w:b/>
                <w:color w:val="FFFFFF"/>
                <w:sz w:val="18"/>
              </w:rPr>
              <w:t>Tool</w:t>
            </w:r>
          </w:p>
        </w:tc>
        <w:tc>
          <w:tcPr>
            <w:tcW w:type="dxa" w:w="3515"/>
            <w:shd w:val="clear" w:color="auto" w:fill="1F3A5F"/>
            <w:tcMar>
              <w:top w:w="60" w:type="dxa"/>
              <w:left w:w="90" w:type="dxa"/>
              <w:bottom w:w="60" w:type="dxa"/>
              <w:right w:w="90" w:type="dxa"/>
            </w:tcMar>
          </w:tcPr>
          <w:p>
            <w:pPr>
              <w:spacing w:after="0"/>
            </w:pPr>
            <w:r>
              <w:rPr>
                <w:b/>
                <w:color w:val="FFFFFF"/>
                <w:sz w:val="18"/>
              </w:rPr>
              <w:t>What it gives</w:t>
            </w:r>
          </w:p>
        </w:tc>
        <w:tc>
          <w:tcPr>
            <w:tcW w:type="dxa" w:w="3515"/>
            <w:shd w:val="clear" w:color="auto" w:fill="1F3A5F"/>
            <w:tcMar>
              <w:top w:w="60" w:type="dxa"/>
              <w:left w:w="90" w:type="dxa"/>
              <w:bottom w:w="60" w:type="dxa"/>
              <w:right w:w="90" w:type="dxa"/>
            </w:tcMar>
          </w:tcPr>
          <w:p>
            <w:pPr>
              <w:spacing w:after="0"/>
            </w:pPr>
            <w:r>
              <w:rPr>
                <w:b/>
                <w:color w:val="FFFFFF"/>
                <w:sz w:val="18"/>
              </w:rPr>
              <w:t>What it lacks for this question</w:t>
            </w:r>
          </w:p>
        </w:tc>
      </w:tr>
      <w:tr>
        <w:trPr>
          <w:cantSplit w:val="true"/>
        </w:trPr>
        <w:tc>
          <w:tcPr>
            <w:tcW w:type="dxa" w:w="260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8"/>
              </w:rPr>
              <w:t>cBioPortal</w:t>
            </w:r>
            <w:r>
              <w:rPr>
                <w:sz w:val="18"/>
              </w:rPr>
              <w:t xml:space="preserve"> (incl. GENIE's instance)</w:t>
            </w:r>
          </w:p>
        </w:tc>
        <w:tc>
          <w:tcPr>
            <w:tcW w:type="dxa" w:w="351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Interactive counts; Fisher-based co-occurrence</w:t>
            </w:r>
          </w:p>
        </w:tc>
        <w:tc>
          <w:tcPr>
            <w:tcW w:type="dxa" w:w="351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No adjustment for load, subtype or testing gaps; one query at a time</w:t>
            </w:r>
          </w:p>
        </w:tc>
      </w:tr>
      <w:tr>
        <w:trPr>
          <w:cantSplit w:val="true"/>
        </w:trPr>
        <w:tc>
          <w:tcPr>
            <w:tcW w:type="dxa" w:w="260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8"/>
              </w:rPr>
              <w:t>OncoKB</w:t>
            </w:r>
            <w:r>
              <w:rPr>
                <w:sz w:val="18"/>
              </w:rPr>
              <w:t xml:space="preserve"> (Chakravarty 2017)</w:t>
            </w:r>
          </w:p>
        </w:tc>
        <w:tc>
          <w:tcPr>
            <w:tcW w:type="dxa" w:w="351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Evidence level per variant</w:t>
            </w:r>
          </w:p>
        </w:tc>
        <w:tc>
          <w:tcPr>
            <w:tcW w:type="dxa" w:w="351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Single variants, not combinations; licence needed</w:t>
            </w:r>
          </w:p>
        </w:tc>
      </w:tr>
      <w:tr>
        <w:trPr>
          <w:cantSplit w:val="true"/>
        </w:trPr>
        <w:tc>
          <w:tcPr>
            <w:tcW w:type="dxa" w:w="260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8"/>
              </w:rPr>
              <w:t>CIViC</w:t>
            </w:r>
            <w:r>
              <w:rPr>
                <w:sz w:val="18"/>
              </w:rPr>
              <w:t xml:space="preserve"> (Griffith 2017)</w:t>
            </w:r>
          </w:p>
        </w:tc>
        <w:tc>
          <w:tcPr>
            <w:tcW w:type="dxa" w:w="351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Open, curated clinical evidence, some combinations</w:t>
            </w:r>
          </w:p>
        </w:tc>
        <w:tc>
          <w:tcPr>
            <w:tcW w:type="dxa" w:w="351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No frequencies</w:t>
            </w:r>
          </w:p>
        </w:tc>
      </w:tr>
      <w:tr>
        <w:trPr>
          <w:cantSplit w:val="true"/>
        </w:trPr>
        <w:tc>
          <w:tcPr>
            <w:tcW w:type="dxa" w:w="260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8"/>
              </w:rPr>
              <w:t>Cancer Hotspots, COSMIC</w:t>
            </w:r>
          </w:p>
        </w:tc>
        <w:tc>
          <w:tcPr>
            <w:tcW w:type="dxa" w:w="351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Where recurrent mutations sit and how often</w:t>
            </w:r>
          </w:p>
        </w:tc>
        <w:tc>
          <w:tcPr>
            <w:tcW w:type="dxa" w:w="351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No co-occurrence statistics</w:t>
            </w:r>
          </w:p>
        </w:tc>
      </w:tr>
    </w:tbl>
    <w:p>
      <w:pPr>
        <w:spacing w:after="40"/>
      </w:pPr>
    </w:p>
    <w:p>
      <w:pPr>
        <w:pStyle w:val="Heading2"/>
      </w:pPr>
      <w:r>
        <w:t>3.4  Where the field disagrees, and what our data say</w:t>
      </w:r>
    </w:p>
    <w:tbl>
      <w:tblPr>
        <w:tblW w:type="auto" w:w="0"/>
        <w:jc w:val="center"/>
        <w:tblLayout w:type="fixed"/>
        <w:tblLook w:firstColumn="1" w:firstRow="1" w:lastColumn="0" w:lastRow="0" w:noHBand="0" w:noVBand="1" w:val="04A0"/>
        <w:tblLayout w:type="fixed"/>
      </w:tblPr>
      <w:tblGrid>
        <w:gridCol w:w="1701"/>
        <w:gridCol w:w="2268"/>
        <w:gridCol w:w="2494"/>
        <w:gridCol w:w="3175"/>
      </w:tblGrid>
      <w:tr>
        <w:trPr>
          <w:cantSplit w:val="true"/>
          <w:tblHeader w:val="true"/>
        </w:trPr>
        <w:tc>
          <w:tcPr>
            <w:tcW w:type="dxa" w:w="1701"/>
            <w:shd w:val="clear" w:color="auto" w:fill="1F3A5F"/>
            <w:tcMar>
              <w:top w:w="60" w:type="dxa"/>
              <w:left w:w="90" w:type="dxa"/>
              <w:bottom w:w="60" w:type="dxa"/>
              <w:right w:w="90" w:type="dxa"/>
            </w:tcMar>
          </w:tcPr>
          <w:p>
            <w:pPr>
              <w:spacing w:after="0"/>
            </w:pPr>
            <w:r>
              <w:rPr>
                <w:b/>
                <w:color w:val="FFFFFF"/>
                <w:sz w:val="17"/>
              </w:rPr>
              <w:t>Debate</w:t>
            </w:r>
          </w:p>
        </w:tc>
        <w:tc>
          <w:tcPr>
            <w:tcW w:type="dxa" w:w="2268"/>
            <w:shd w:val="clear" w:color="auto" w:fill="1F3A5F"/>
            <w:tcMar>
              <w:top w:w="60" w:type="dxa"/>
              <w:left w:w="90" w:type="dxa"/>
              <w:bottom w:w="60" w:type="dxa"/>
              <w:right w:w="90" w:type="dxa"/>
            </w:tcMar>
          </w:tcPr>
          <w:p>
            <w:pPr>
              <w:spacing w:after="0"/>
            </w:pPr>
            <w:r>
              <w:rPr>
                <w:b/>
                <w:color w:val="FFFFFF"/>
                <w:sz w:val="17"/>
              </w:rPr>
              <w:t>One side</w:t>
            </w:r>
          </w:p>
        </w:tc>
        <w:tc>
          <w:tcPr>
            <w:tcW w:type="dxa" w:w="2494"/>
            <w:shd w:val="clear" w:color="auto" w:fill="1F3A5F"/>
            <w:tcMar>
              <w:top w:w="60" w:type="dxa"/>
              <w:left w:w="90" w:type="dxa"/>
              <w:bottom w:w="60" w:type="dxa"/>
              <w:right w:w="90" w:type="dxa"/>
            </w:tcMar>
          </w:tcPr>
          <w:p>
            <w:pPr>
              <w:spacing w:after="0"/>
            </w:pPr>
            <w:r>
              <w:rPr>
                <w:b/>
                <w:color w:val="FFFFFF"/>
                <w:sz w:val="17"/>
              </w:rPr>
              <w:t>Other side</w:t>
            </w:r>
          </w:p>
        </w:tc>
        <w:tc>
          <w:tcPr>
            <w:tcW w:type="dxa" w:w="3175"/>
            <w:shd w:val="clear" w:color="auto" w:fill="1F3A5F"/>
            <w:tcMar>
              <w:top w:w="60" w:type="dxa"/>
              <w:left w:w="90" w:type="dxa"/>
              <w:bottom w:w="60" w:type="dxa"/>
              <w:right w:w="90" w:type="dxa"/>
            </w:tcMar>
          </w:tcPr>
          <w:p>
            <w:pPr>
              <w:spacing w:after="0"/>
            </w:pPr>
            <w:r>
              <w:rPr>
                <w:b/>
                <w:color w:val="FFFFFF"/>
                <w:sz w:val="17"/>
              </w:rPr>
              <w:t>What our data show</w:t>
            </w:r>
          </w:p>
        </w:tc>
      </w:tr>
      <w:tr>
        <w:trPr>
          <w:cantSplit w:val="true"/>
        </w:trPr>
        <w:tc>
          <w:tcPr>
            <w:tcW w:type="dxa" w:w="170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Biology or chance?</w:t>
            </w:r>
          </w:p>
        </w:tc>
        <w:tc>
          <w:tcPr>
            <w:tcW w:type="dxa" w:w="226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Mostly chance once heterogeneity is modelled (Canisius)</w:t>
            </w:r>
          </w:p>
        </w:tc>
        <w:tc>
          <w:tcPr>
            <w:tcW w:type="dxa" w:w="249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Co-selection is widespread (Mina 2020: 852 dependencies in &gt;9,000 tumours, 44% co-occurring, robust to TMB; Iranzo)</w:t>
            </w:r>
          </w:p>
        </w:tc>
        <w:tc>
          <w:tcPr>
            <w:tcW w:type="dxa" w:w="317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Both: exclusive candidates outnumber co-occurring ~3:1 and are pathway-structured; some co-occurrences are strong and replicate (KEAP1/STK11)</w:t>
            </w:r>
          </w:p>
        </w:tc>
      </w:tr>
      <w:tr>
        <w:trPr>
          <w:cantSplit w:val="true"/>
        </w:trPr>
        <w:tc>
          <w:tcPr>
            <w:tcW w:type="dxa" w:w="170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What does exclusivity mean?</w:t>
            </w:r>
          </w:p>
        </w:tc>
        <w:tc>
          <w:tcPr>
            <w:tcW w:type="dxa" w:w="226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Pathway redundancy (Sanchez-Vega)</w:t>
            </w:r>
          </w:p>
        </w:tc>
        <w:tc>
          <w:tcPr>
            <w:tcW w:type="dxa" w:w="249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Artefact of subtype and load (van de Haar); incompatibility (El Tekle); redundancy shown in cell-line knockouts (Mina 2020)</w:t>
            </w:r>
          </w:p>
        </w:tc>
        <w:tc>
          <w:tcPr>
            <w:tcW w:type="dxa" w:w="317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All three occur: 3-4x within-pathway enrichment; subtype strata remove about a quarter of hits</w:t>
            </w:r>
          </w:p>
        </w:tc>
      </w:tr>
      <w:tr>
        <w:trPr>
          <w:cantSplit w:val="true"/>
        </w:trPr>
        <w:tc>
          <w:tcPr>
            <w:tcW w:type="dxa" w:w="170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Universal or tissue-specific?</w:t>
            </w:r>
          </w:p>
        </w:tc>
        <w:tc>
          <w:tcPr>
            <w:tcW w:type="dxa" w:w="226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Core interactions recur pan-cancer</w:t>
            </w:r>
          </w:p>
        </w:tc>
        <w:tc>
          <w:tcPr>
            <w:tcW w:type="dxa" w:w="249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Interactions rewire between tissues (Park &amp; Lehner)</w:t>
            </w:r>
          </w:p>
        </w:tc>
        <w:tc>
          <w:tcPr>
            <w:tcW w:type="dxa" w:w="317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A third differ between types; 47 reverse; 21 universal</w:t>
            </w:r>
          </w:p>
        </w:tc>
      </w:tr>
      <w:tr>
        <w:trPr>
          <w:cantSplit w:val="true"/>
        </w:trPr>
        <w:tc>
          <w:tcPr>
            <w:tcW w:type="dxa" w:w="170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Gene or variant level?</w:t>
            </w:r>
          </w:p>
        </w:tc>
        <w:tc>
          <w:tcPr>
            <w:tcW w:type="dxa" w:w="226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Gene-level screens</w:t>
            </w:r>
          </w:p>
        </w:tc>
        <w:tc>
          <w:tcPr>
            <w:tcW w:type="dxa" w:w="249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Allele-specific partners (Cook; Scharpf)</w:t>
            </w:r>
          </w:p>
        </w:tc>
        <w:tc>
          <w:tcPr>
            <w:tcW w:type="dxa" w:w="317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Real but few: 10 of 201; partly smoking</w:t>
            </w:r>
          </w:p>
        </w:tc>
      </w:tr>
    </w:tbl>
    <w:p>
      <w:pPr>
        <w:spacing w:after="40"/>
      </w:pPr>
    </w:p>
    <w:p>
      <w:pPr>
        <w:pStyle w:val="Heading2"/>
      </w:pPr>
      <w:r>
        <w:t>3.5  The gap this project fills</w:t>
      </w:r>
    </w:p>
    <w:p>
      <w:pPr>
        <w:pStyle w:val="ListNumber"/>
        <w:spacing w:after="60"/>
        <w:numPr>
          <w:ilvl w:val="0"/>
          <w:numId w:val="11"/>
        </w:numPr>
      </w:pPr>
      <w:r>
        <w:rPr>
          <w:b/>
        </w:rPr>
        <w:t>Panel-aware statistics at GENIE scale.</w:t>
      </w:r>
      <w:r>
        <w:t xml:space="preserve"> The rigorous methods (family B) were built on TCGA; GENIE papers mostly use family A. We bring the rigorous method to GENIE </w:t>
      </w:r>
      <w:r>
        <w:rPr>
          <w:i/>
        </w:rPr>
        <w:t>and</w:t>
      </w:r>
      <w:r>
        <w:t xml:space="preserve"> track testing per patient for mutations, copy number and fusions. None of the reviewed methods does the latter.</w:t>
      </w:r>
    </w:p>
    <w:p>
      <w:pPr>
        <w:pStyle w:val="ListNumber"/>
        <w:spacing w:after="60"/>
        <w:numPr>
          <w:ilvl w:val="0"/>
          <w:numId w:val="11"/>
        </w:numPr>
      </w:pPr>
      <w:r>
        <w:rPr>
          <w:b/>
        </w:rPr>
        <w:t>Confounders handled together:</w:t>
      </w:r>
      <w:r>
        <w:t xml:space="preserve"> load, hypermutation, subtype, one-DNA-event artefacts, copy-number complexity and centre effects, each tested before adoption, with rejected options documented.</w:t>
      </w:r>
    </w:p>
    <w:p>
      <w:pPr>
        <w:pStyle w:val="ListNumber"/>
        <w:spacing w:after="60"/>
        <w:numPr>
          <w:ilvl w:val="0"/>
          <w:numId w:val="11"/>
        </w:numPr>
      </w:pPr>
      <w:r>
        <w:rPr>
          <w:b/>
        </w:rPr>
        <w:t>Validation built in:</w:t>
      </w:r>
      <w:r>
        <w:t xml:space="preserve"> out-of-centre replication for every pair, an independent cohort (TCGA) and an independent statistical route (silent-mutation ratios).</w:t>
      </w:r>
    </w:p>
    <w:p>
      <w:pPr>
        <w:pStyle w:val="ListNumber"/>
        <w:spacing w:after="60"/>
        <w:numPr>
          <w:ilvl w:val="0"/>
          <w:numId w:val="11"/>
        </w:numPr>
      </w:pPr>
      <w:r>
        <w:rPr>
          <w:b/>
        </w:rPr>
        <w:t>A clinical lookup tool</w:t>
      </w:r>
      <w:r>
        <w:t xml:space="preserve"> combining variant-level frequencies, exact combination counts, an on-demand test, partner prediction and treatment evidence. Existing tools offer one of these each.</w:t>
      </w:r>
    </w:p>
    <w:tbl>
      <w:tblPr>
        <w:tblW w:type="auto" w:w="0"/>
        <w:jc w:val="center"/>
        <w:tblLook w:firstColumn="1" w:firstRow="1" w:lastColumn="0" w:lastRow="0" w:noHBand="0" w:noVBand="1" w:val="04A0"/>
        <w:tblLayout w:type="fixed"/>
      </w:tblPr>
      <w:tblGrid>
        <w:gridCol w:w="9639"/>
      </w:tblGrid>
      <w:tr>
        <w:trPr>
          <w:cantSplit w:val="true"/>
        </w:trPr>
        <w:tc>
          <w:tcPr>
            <w:tcW w:type="dxa" w:w="9638"/>
            <w:shd w:val="clear" w:color="auto" w:fill="E8EEF4"/>
            <w:tcMar>
              <w:top w:w="110" w:type="dxa"/>
              <w:left w:w="200" w:type="dxa"/>
              <w:bottom w:w="110" w:type="dxa"/>
              <w:right w:w="160" w:type="dxa"/>
            </w:tcMar>
            <w:tcBorders>
              <w:top w:val="nil" w:sz="0" w:color="FFFFFF"/>
              <w:left w:val="single" w:sz="24" w:color="1F3A5F"/>
              <w:bottom w:val="nil" w:sz="0" w:color="FFFFFF"/>
              <w:right w:val="nil" w:sz="0" w:color="FFFFFF"/>
            </w:tcBorders>
          </w:tcPr>
          <w:p>
            <w:pPr>
              <w:spacing w:after="40"/>
            </w:pPr>
            <w:r>
              <w:rPr>
                <w:b/>
                <w:color w:val="1F3A5F"/>
                <w:sz w:val="21"/>
              </w:rPr>
              <w:t>Questions worth asking at this point</w:t>
            </w:r>
          </w:p>
          <w:p>
            <w:pPr>
              <w:spacing w:after="60"/>
            </w:pPr>
            <w:r>
              <w:rPr>
                <w:sz w:val="20"/>
              </w:rPr>
              <w:t>•  Why not simply use DISCOVER or Rediscover? (Part 7: they are biased toward exclusivity on panel-sized gene sets.)</w:t>
            </w:r>
          </w:p>
          <w:p>
            <w:pPr>
              <w:spacing w:after="60"/>
            </w:pPr>
            <w:r>
              <w:rPr>
                <w:sz w:val="20"/>
              </w:rPr>
              <w:t>•  Why was TCGA not used as the main dataset? (Too few patients per cancer type; used for validation instead.)</w:t>
            </w:r>
          </w:p>
        </w:tc>
      </w:tr>
    </w:tbl>
    <w:p>
      <w:pPr>
        <w:spacing w:after="40"/>
      </w:pPr>
    </w:p>
    <w:p>
      <w:pPr>
        <w:spacing w:before="120"/>
      </w:pPr>
      <w:r>
        <w:rPr>
          <w:i/>
          <w:color w:val="555B66"/>
          <w:sz w:val="17"/>
        </w:rPr>
        <w:t>Source files for this part:</w:t>
      </w:r>
      <w:r>
        <w:rPr>
          <w:color w:val="555B66"/>
          <w:sz w:val="17"/>
        </w:rPr>
        <w:t xml:space="preserve"> docs/literature_review.md §0-§5, §9; reference list in Appendix C.</w:t>
      </w:r>
    </w:p>
    <w:p>
      <w:r>
        <w:br w:type="page"/>
      </w:r>
    </w:p>
    <w:p>
      <w:pPr>
        <w:spacing w:after="0"/>
      </w:pPr>
      <w:r>
        <w:rPr>
          <w:b/>
          <w:color w:val="2A7F8E"/>
          <w:sz w:val="20"/>
        </w:rPr>
        <w:t>PART 4</w:t>
      </w:r>
    </w:p>
    <w:p>
      <w:pPr>
        <w:pStyle w:val="Heading1"/>
      </w:pPr>
      <w:r>
        <w:t>The data: AACR GENIE</w:t>
      </w:r>
    </w:p>
    <w:p>
      <w:pPr>
        <w:spacing w:after="200"/>
      </w:pPr>
      <w:r>
        <w:rPr>
          <w:color w:val="555B66"/>
          <w:sz w:val="23"/>
        </w:rPr>
        <w:t>What we analyse, what is in it, and the hidden trap that shapes the whole project.</w:t>
      </w:r>
    </w:p>
    <w:p>
      <w:pPr>
        <w:pStyle w:val="Heading2"/>
      </w:pPr>
      <w:r>
        <w:t>4.1  What GENIE is</w:t>
      </w:r>
    </w:p>
    <w:p>
      <w:r>
        <w:t xml:space="preserve">AACR Project GENIE (Genomics Evidence Neoplasia Information Exchange) is an international consortium of cancer centres that share clinical-grade tumour sequencing results in one public dataset. We use release </w:t>
      </w:r>
      <w:r>
        <w:rPr>
          <w:b/>
        </w:rPr>
        <w:t>v19.0</w:t>
      </w:r>
      <w:r>
        <w:t xml:space="preserve">: </w:t>
      </w:r>
      <w:r>
        <w:rPr>
          <w:b/>
        </w:rPr>
        <w:t>271,837 samples</w:t>
      </w:r>
      <w:r>
        <w:t>, 3.46 million mutation records, copy-number calls for about 172,900 samples, and a fusion (structural variant) file. GENIE data cannot be redistributed, so it is kept out of git; only derived aggregate tables are tracked.</w:t>
      </w:r>
    </w:p>
    <w:p>
      <w:pPr>
        <w:pStyle w:val="Heading2"/>
      </w:pPr>
      <w:r>
        <w:t>4.2  What is in the release</w:t>
      </w:r>
    </w:p>
    <w:tbl>
      <w:tblPr>
        <w:tblW w:type="auto" w:w="0"/>
        <w:jc w:val="center"/>
        <w:tblLayout w:type="fixed"/>
        <w:tblLook w:firstColumn="1" w:firstRow="1" w:lastColumn="0" w:lastRow="0" w:noHBand="0" w:noVBand="1" w:val="04A0"/>
        <w:tblLayout w:type="fixed"/>
      </w:tblPr>
      <w:tblGrid>
        <w:gridCol w:w="3175"/>
        <w:gridCol w:w="2494"/>
        <w:gridCol w:w="3969"/>
      </w:tblGrid>
      <w:tr>
        <w:trPr>
          <w:cantSplit w:val="true"/>
          <w:tblHeader w:val="true"/>
        </w:trPr>
        <w:tc>
          <w:tcPr>
            <w:tcW w:type="dxa" w:w="3175"/>
            <w:shd w:val="clear" w:color="auto" w:fill="1F3A5F"/>
            <w:tcMar>
              <w:top w:w="60" w:type="dxa"/>
              <w:left w:w="90" w:type="dxa"/>
              <w:bottom w:w="60" w:type="dxa"/>
              <w:right w:w="90" w:type="dxa"/>
            </w:tcMar>
          </w:tcPr>
          <w:p>
            <w:pPr>
              <w:spacing w:after="0"/>
            </w:pPr>
            <w:r>
              <w:rPr>
                <w:b/>
                <w:color w:val="FFFFFF"/>
                <w:sz w:val="18"/>
              </w:rPr>
              <w:t>File</w:t>
            </w:r>
          </w:p>
        </w:tc>
        <w:tc>
          <w:tcPr>
            <w:tcW w:type="dxa" w:w="2494"/>
            <w:shd w:val="clear" w:color="auto" w:fill="1F3A5F"/>
            <w:tcMar>
              <w:top w:w="60" w:type="dxa"/>
              <w:left w:w="90" w:type="dxa"/>
              <w:bottom w:w="60" w:type="dxa"/>
              <w:right w:w="90" w:type="dxa"/>
            </w:tcMar>
          </w:tcPr>
          <w:p>
            <w:pPr>
              <w:spacing w:after="0"/>
            </w:pPr>
            <w:r>
              <w:rPr>
                <w:b/>
                <w:color w:val="FFFFFF"/>
                <w:sz w:val="18"/>
              </w:rPr>
              <w:t>Size</w:t>
            </w:r>
          </w:p>
        </w:tc>
        <w:tc>
          <w:tcPr>
            <w:tcW w:type="dxa" w:w="3969"/>
            <w:shd w:val="clear" w:color="auto" w:fill="1F3A5F"/>
            <w:tcMar>
              <w:top w:w="60" w:type="dxa"/>
              <w:left w:w="90" w:type="dxa"/>
              <w:bottom w:w="60" w:type="dxa"/>
              <w:right w:w="90" w:type="dxa"/>
            </w:tcMar>
          </w:tcPr>
          <w:p>
            <w:pPr>
              <w:spacing w:after="0"/>
            </w:pPr>
            <w:r>
              <w:rPr>
                <w:b/>
                <w:color w:val="FFFFFF"/>
                <w:sz w:val="18"/>
              </w:rPr>
              <w:t>Role</w:t>
            </w:r>
          </w:p>
        </w:tc>
      </w:tr>
      <w:tr>
        <w:trPr>
          <w:cantSplit w:val="true"/>
        </w:trPr>
        <w:tc>
          <w:tcPr>
            <w:tcW w:type="dxa" w:w="317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rFonts w:ascii="Menlo" w:hAnsi="Menlo" w:eastAsia="Menlo"/>
                <w:sz w:val="18"/>
              </w:rPr>
              <w:t>data_mutations_extended.txt</w:t>
            </w:r>
          </w:p>
        </w:tc>
        <w:tc>
          <w:tcPr>
            <w:tcW w:type="dxa" w:w="249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3.46M rows, 1.0 GB</w:t>
            </w:r>
          </w:p>
        </w:tc>
        <w:tc>
          <w:tcPr>
            <w:tcW w:type="dxa" w:w="3969"/>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Somatic mutation calls, one row per variant per sample</w:t>
            </w:r>
          </w:p>
        </w:tc>
      </w:tr>
      <w:tr>
        <w:trPr>
          <w:cantSplit w:val="true"/>
        </w:trPr>
        <w:tc>
          <w:tcPr>
            <w:tcW w:type="dxa" w:w="317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rFonts w:ascii="Menlo" w:hAnsi="Menlo" w:eastAsia="Menlo"/>
                <w:sz w:val="18"/>
              </w:rPr>
              <w:t>data_CNA.txt</w:t>
            </w:r>
          </w:p>
        </w:tc>
        <w:tc>
          <w:tcPr>
            <w:tcW w:type="dxa" w:w="249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1,004 genes × 172,875 samples</w:t>
            </w:r>
          </w:p>
        </w:tc>
        <w:tc>
          <w:tcPr>
            <w:tcW w:type="dxa" w:w="3969"/>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 xml:space="preserve">Copy-number calls (-2 deep deletion … +2 amplification); </w:t>
            </w:r>
            <w:r>
              <w:rPr>
                <w:rFonts w:ascii="Menlo" w:hAnsi="Menlo" w:eastAsia="Menlo"/>
                <w:sz w:val="18"/>
              </w:rPr>
              <w:t>NA</w:t>
            </w:r>
            <w:r>
              <w:rPr>
                <w:sz w:val="18"/>
              </w:rPr>
              <w:t xml:space="preserve"> = gene not tested</w:t>
            </w:r>
          </w:p>
        </w:tc>
      </w:tr>
      <w:tr>
        <w:trPr>
          <w:cantSplit w:val="true"/>
        </w:trPr>
        <w:tc>
          <w:tcPr>
            <w:tcW w:type="dxa" w:w="317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rFonts w:ascii="Menlo" w:hAnsi="Menlo" w:eastAsia="Menlo"/>
                <w:sz w:val="18"/>
              </w:rPr>
              <w:t>data_clinical_sample.txt</w:t>
            </w:r>
            <w:r>
              <w:rPr>
                <w:sz w:val="18"/>
              </w:rPr>
              <w:t xml:space="preserve"> / </w:t>
            </w:r>
            <w:r>
              <w:rPr>
                <w:rFonts w:ascii="Menlo" w:hAnsi="Menlo" w:eastAsia="Menlo"/>
                <w:sz w:val="18"/>
              </w:rPr>
              <w:t>_patient.txt</w:t>
            </w:r>
          </w:p>
        </w:tc>
        <w:tc>
          <w:tcPr>
            <w:tcW w:type="dxa" w:w="249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271,837 rows / one per patient</w:t>
            </w:r>
          </w:p>
        </w:tc>
        <w:tc>
          <w:tcPr>
            <w:tcW w:type="dxa" w:w="3969"/>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Cancer type, panel, sample type; sex, survival fields</w:t>
            </w:r>
          </w:p>
        </w:tc>
      </w:tr>
      <w:tr>
        <w:trPr>
          <w:cantSplit w:val="true"/>
        </w:trPr>
        <w:tc>
          <w:tcPr>
            <w:tcW w:type="dxa" w:w="317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rFonts w:ascii="Menlo" w:hAnsi="Menlo" w:eastAsia="Menlo"/>
                <w:sz w:val="18"/>
              </w:rPr>
              <w:t>genomic_information.txt</w:t>
            </w:r>
          </w:p>
        </w:tc>
        <w:tc>
          <w:tcPr>
            <w:tcW w:type="dxa" w:w="249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71 MB</w:t>
            </w:r>
          </w:p>
        </w:tc>
        <w:tc>
          <w:tcPr>
            <w:tcW w:type="dxa" w:w="3969"/>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Which gene each panel's probes cover</w:t>
            </w:r>
          </w:p>
        </w:tc>
      </w:tr>
      <w:tr>
        <w:trPr>
          <w:cantSplit w:val="true"/>
        </w:trPr>
        <w:tc>
          <w:tcPr>
            <w:tcW w:type="dxa" w:w="317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rFonts w:ascii="Menlo" w:hAnsi="Menlo" w:eastAsia="Menlo"/>
                <w:sz w:val="18"/>
              </w:rPr>
              <w:t>tmb_19.0-public.tsv</w:t>
            </w:r>
          </w:p>
        </w:tc>
        <w:tc>
          <w:tcPr>
            <w:tcW w:type="dxa" w:w="249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271,838 rows</w:t>
            </w:r>
          </w:p>
        </w:tc>
        <w:tc>
          <w:tcPr>
            <w:tcW w:type="dxa" w:w="3969"/>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Tumour mutational burden per sample</w:t>
            </w:r>
          </w:p>
        </w:tc>
      </w:tr>
      <w:tr>
        <w:trPr>
          <w:cantSplit w:val="true"/>
        </w:trPr>
        <w:tc>
          <w:tcPr>
            <w:tcW w:type="dxa" w:w="317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rFonts w:ascii="Menlo" w:hAnsi="Menlo" w:eastAsia="Menlo"/>
                <w:sz w:val="18"/>
              </w:rPr>
              <w:t>data_sv.txt</w:t>
            </w:r>
          </w:p>
        </w:tc>
        <w:tc>
          <w:tcPr>
            <w:tcW w:type="dxa" w:w="249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56,356 structural variants</w:t>
            </w:r>
          </w:p>
        </w:tc>
        <w:tc>
          <w:tcPr>
            <w:tcW w:type="dxa" w:w="3969"/>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Gene fusions and other rearrangements</w:t>
            </w:r>
          </w:p>
        </w:tc>
      </w:tr>
      <w:tr>
        <w:trPr>
          <w:cantSplit w:val="true"/>
        </w:trPr>
        <w:tc>
          <w:tcPr>
            <w:tcW w:type="dxa" w:w="317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rFonts w:ascii="Menlo" w:hAnsi="Menlo" w:eastAsia="Menlo"/>
                <w:sz w:val="18"/>
              </w:rPr>
              <w:t>assay_information.txt</w:t>
            </w:r>
          </w:p>
        </w:tc>
        <w:tc>
          <w:tcPr>
            <w:tcW w:type="dxa" w:w="249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36 KB</w:t>
            </w:r>
          </w:p>
        </w:tc>
        <w:tc>
          <w:tcPr>
            <w:tcW w:type="dxa" w:w="3969"/>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Panel metadata (platform, claimed alteration types)</w:t>
            </w:r>
          </w:p>
        </w:tc>
      </w:tr>
    </w:tbl>
    <w:p>
      <w:pPr>
        <w:spacing w:after="40"/>
      </w:pPr>
    </w:p>
    <w:p>
      <w:pPr>
        <w:pStyle w:val="Heading2"/>
      </w:pPr>
      <w:r>
        <w:t>4.3  The trap: “not reported” does not mean “not mutated”</w:t>
      </w:r>
    </w:p>
    <w:tbl>
      <w:tblPr>
        <w:tblW w:type="auto" w:w="0"/>
        <w:jc w:val="center"/>
        <w:tblLook w:firstColumn="1" w:firstRow="1" w:lastColumn="0" w:lastRow="0" w:noHBand="0" w:noVBand="1" w:val="04A0"/>
        <w:tblLayout w:type="fixed"/>
      </w:tblPr>
      <w:tblGrid>
        <w:gridCol w:w="9639"/>
      </w:tblGrid>
      <w:tr>
        <w:trPr>
          <w:cantSplit w:val="true"/>
        </w:trPr>
        <w:tc>
          <w:tcPr>
            <w:tcW w:type="dxa" w:w="9638"/>
            <w:shd w:val="clear" w:color="auto" w:fill="EAF3F5"/>
            <w:tcMar>
              <w:top w:w="110" w:type="dxa"/>
              <w:left w:w="200" w:type="dxa"/>
              <w:bottom w:w="110" w:type="dxa"/>
              <w:right w:w="160" w:type="dxa"/>
            </w:tcMar>
            <w:tcBorders>
              <w:top w:val="nil" w:sz="0" w:color="FFFFFF"/>
              <w:left w:val="single" w:sz="24" w:color="2A7F8E"/>
              <w:bottom w:val="nil" w:sz="0" w:color="FFFFFF"/>
              <w:right w:val="nil" w:sz="0" w:color="FFFFFF"/>
            </w:tcBorders>
          </w:tcPr>
          <w:p>
            <w:pPr>
              <w:spacing w:after="40"/>
            </w:pPr>
            <w:r>
              <w:rPr>
                <w:b/>
                <w:color w:val="2A7F8E"/>
                <w:sz w:val="21"/>
              </w:rPr>
              <w:t>A worked example</w:t>
            </w:r>
          </w:p>
          <w:p>
            <w:pPr>
              <w:spacing w:after="60"/>
            </w:pPr>
            <w:r>
              <w:rPr>
                <w:sz w:val="20"/>
              </w:rPr>
              <w:t xml:space="preserve">A gene sits only on a small panel used for 800 of 5,000 lung cancer samples, and 40 of those 800 are altered. The true rate is 40/800 = </w:t>
            </w:r>
            <w:r>
              <w:rPr>
                <w:b/>
                <w:sz w:val="20"/>
              </w:rPr>
              <w:t>5%</w:t>
            </w:r>
            <w:r>
              <w:rPr>
                <w:sz w:val="20"/>
              </w:rPr>
              <w:t xml:space="preserve">. Dividing by all 5,000 gives </w:t>
            </w:r>
            <w:r>
              <w:rPr>
                <w:b/>
                <w:sz w:val="20"/>
              </w:rPr>
              <w:t>0.8%</w:t>
            </w:r>
            <w:r>
              <w:rPr>
                <w:sz w:val="20"/>
              </w:rPr>
              <w:t>, a number that only reflects which panel was used.</w:t>
            </w:r>
          </w:p>
          <w:p>
            <w:pPr>
              <w:spacing w:after="60"/>
            </w:pPr>
            <w:r>
              <w:rPr>
                <w:sz w:val="20"/>
              </w:rPr>
              <w:t>Every frequency, every pair test and every tool answer in this project divides only by the patients actually tested for the genes involved.</w:t>
            </w:r>
          </w:p>
        </w:tc>
      </w:tr>
    </w:tbl>
    <w:p>
      <w:pPr>
        <w:spacing w:after="40"/>
      </w:pPr>
    </w:p>
    <w:p>
      <w:r>
        <w:t xml:space="preserve">The raw files make this hard in two ways. Copy-number </w:t>
      </w:r>
      <w:r>
        <w:rPr>
          <w:rFonts w:ascii="Menlo" w:hAnsi="Menlo" w:eastAsia="Menlo"/>
          <w:sz w:val="18"/>
        </w:rPr>
        <w:t>NA</w:t>
      </w:r>
      <w:r>
        <w:t xml:space="preserve"> values are explicit, but mutation files only list mutations that were found, so testing must be reconstructed from the panel definitions. And, as the next table shows, the panel definitions themselves are sometimes wrong.</w:t>
      </w:r>
    </w:p>
    <w:p>
      <w:pPr>
        <w:pStyle w:val="Heading2"/>
      </w:pPr>
      <w:r>
        <w:t>4.4  Problems found in the GENIE data itself</w:t>
      </w:r>
    </w:p>
    <w:p>
      <w:r>
        <w:t>Each was checked directly against the data rather than trusting the documentation, and each would have silently biased results.</w:t>
      </w:r>
    </w:p>
    <w:tbl>
      <w:tblPr>
        <w:tblW w:type="auto" w:w="0"/>
        <w:jc w:val="center"/>
        <w:tblLayout w:type="fixed"/>
        <w:tblLook w:firstColumn="1" w:firstRow="1" w:lastColumn="0" w:lastRow="0" w:noHBand="0" w:noVBand="1" w:val="04A0"/>
        <w:tblLayout w:type="fixed"/>
      </w:tblPr>
      <w:tblGrid>
        <w:gridCol w:w="2494"/>
        <w:gridCol w:w="4536"/>
        <w:gridCol w:w="2608"/>
      </w:tblGrid>
      <w:tr>
        <w:trPr>
          <w:cantSplit w:val="true"/>
          <w:tblHeader w:val="true"/>
        </w:trPr>
        <w:tc>
          <w:tcPr>
            <w:tcW w:type="dxa" w:w="2494"/>
            <w:shd w:val="clear" w:color="auto" w:fill="1F3A5F"/>
            <w:tcMar>
              <w:top w:w="60" w:type="dxa"/>
              <w:left w:w="90" w:type="dxa"/>
              <w:bottom w:w="60" w:type="dxa"/>
              <w:right w:w="90" w:type="dxa"/>
            </w:tcMar>
          </w:tcPr>
          <w:p>
            <w:pPr>
              <w:spacing w:after="0"/>
            </w:pPr>
            <w:r>
              <w:rPr>
                <w:b/>
                <w:color w:val="FFFFFF"/>
                <w:sz w:val="17"/>
              </w:rPr>
              <w:t>Problem</w:t>
            </w:r>
          </w:p>
        </w:tc>
        <w:tc>
          <w:tcPr>
            <w:tcW w:type="dxa" w:w="4535"/>
            <w:shd w:val="clear" w:color="auto" w:fill="1F3A5F"/>
            <w:tcMar>
              <w:top w:w="60" w:type="dxa"/>
              <w:left w:w="90" w:type="dxa"/>
              <w:bottom w:w="60" w:type="dxa"/>
              <w:right w:w="90" w:type="dxa"/>
            </w:tcMar>
          </w:tcPr>
          <w:p>
            <w:pPr>
              <w:spacing w:after="0"/>
            </w:pPr>
            <w:r>
              <w:rPr>
                <w:b/>
                <w:color w:val="FFFFFF"/>
                <w:sz w:val="17"/>
              </w:rPr>
              <w:t>Evidence</w:t>
            </w:r>
          </w:p>
        </w:tc>
        <w:tc>
          <w:tcPr>
            <w:tcW w:type="dxa" w:w="2608"/>
            <w:shd w:val="clear" w:color="auto" w:fill="1F3A5F"/>
            <w:tcMar>
              <w:top w:w="60" w:type="dxa"/>
              <w:left w:w="90" w:type="dxa"/>
              <w:bottom w:w="60" w:type="dxa"/>
              <w:right w:w="90" w:type="dxa"/>
            </w:tcMar>
          </w:tcPr>
          <w:p>
            <w:pPr>
              <w:spacing w:after="0"/>
            </w:pPr>
            <w:r>
              <w:rPr>
                <w:b/>
                <w:color w:val="FFFFFF"/>
                <w:sz w:val="17"/>
              </w:rPr>
              <w:t>What we do</w:t>
            </w:r>
          </w:p>
        </w:tc>
      </w:tr>
      <w:tr>
        <w:trPr>
          <w:cantSplit w:val="true"/>
        </w:trPr>
        <w:tc>
          <w:tcPr>
            <w:tcW w:type="dxa" w:w="249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7"/>
              </w:rPr>
              <w:t>Panel metadata overstates copy-number testing</w:t>
            </w:r>
          </w:p>
        </w:tc>
        <w:tc>
          <w:tcPr>
            <w:tcW w:type="dxa" w:w="453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 xml:space="preserve">48 panels claim copy number; 20 have no samples in </w:t>
            </w:r>
            <w:r>
              <w:rPr>
                <w:rFonts w:ascii="Menlo" w:hAnsi="Menlo" w:eastAsia="Menlo"/>
                <w:sz w:val="17"/>
              </w:rPr>
              <w:t>data_CNA.txt</w:t>
            </w:r>
            <w:r>
              <w:rPr>
                <w:sz w:val="17"/>
              </w:rPr>
              <w:t xml:space="preserve">. 98,963 samples were counted “no change” when never tested. </w:t>
            </w:r>
            <w:r>
              <w:rPr>
                <w:i/>
                <w:sz w:val="17"/>
              </w:rPr>
              <w:t>CDKN2A</w:t>
            </w:r>
            <w:r>
              <w:rPr>
                <w:sz w:val="17"/>
              </w:rPr>
              <w:t xml:space="preserve"> deletion in glioma: 17.4% → 34.4% once fixed (published ~30-40%)</w:t>
            </w:r>
          </w:p>
        </w:tc>
        <w:tc>
          <w:tcPr>
            <w:tcW w:type="dxa" w:w="260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Read testing per sample from the data (</w:t>
            </w:r>
            <w:r>
              <w:rPr>
                <w:rFonts w:ascii="Menlo" w:hAnsi="Menlo" w:eastAsia="Menlo"/>
                <w:sz w:val="17"/>
              </w:rPr>
              <w:t>CNA_TESTED</w:t>
            </w:r>
            <w:r>
              <w:rPr>
                <w:sz w:val="17"/>
              </w:rPr>
              <w:t>)</w:t>
            </w:r>
          </w:p>
        </w:tc>
      </w:tr>
      <w:tr>
        <w:trPr>
          <w:cantSplit w:val="true"/>
        </w:trPr>
        <w:tc>
          <w:tcPr>
            <w:tcW w:type="dxa" w:w="249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Copy-number and mutation gene lists differ</w:t>
            </w:r>
          </w:p>
        </w:tc>
        <w:tc>
          <w:tcPr>
            <w:tcW w:type="dxa" w:w="453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16.2% of (panel, gene) pairs sequenced for mutations have no copy-number values</w:t>
            </w:r>
          </w:p>
        </w:tc>
        <w:tc>
          <w:tcPr>
            <w:tcW w:type="dxa" w:w="260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Separate copy-number coverage table</w:t>
            </w:r>
          </w:p>
        </w:tc>
      </w:tr>
      <w:tr>
        <w:trPr>
          <w:cantSplit w:val="true"/>
        </w:trPr>
        <w:tc>
          <w:tcPr>
            <w:tcW w:type="dxa" w:w="249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7"/>
              </w:rPr>
              <w:t>Panel gene lists overstate mutation reporting</w:t>
            </w:r>
          </w:p>
        </w:tc>
        <w:tc>
          <w:tcPr>
            <w:tcW w:type="dxa" w:w="453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 xml:space="preserve">1,144 (panel, gene) pairs in 47 panels expect ≥10 mutated patients but report zero; e.g. </w:t>
            </w:r>
            <w:r>
              <w:rPr>
                <w:rFonts w:ascii="Menlo" w:hAnsi="Menlo" w:eastAsia="Menlo"/>
                <w:sz w:val="17"/>
              </w:rPr>
              <w:t>JHU-500STP</w:t>
            </w:r>
            <w:r>
              <w:rPr>
                <w:sz w:val="17"/>
              </w:rPr>
              <w:t xml:space="preserve"> lists 760 genes, reports 46</w:t>
            </w:r>
          </w:p>
        </w:tc>
        <w:tc>
          <w:tcPr>
            <w:tcW w:type="dxa" w:w="260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Partly fixed from the data: 8 panels that released no mutations count as untested. Statistical gaps documented, left as is</w:t>
            </w:r>
          </w:p>
        </w:tc>
      </w:tr>
      <w:tr>
        <w:trPr>
          <w:cantSplit w:val="true"/>
        </w:trPr>
        <w:tc>
          <w:tcPr>
            <w:tcW w:type="dxa" w:w="249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Fusion metadata is wrong too</w:t>
            </w:r>
          </w:p>
        </w:tc>
        <w:tc>
          <w:tcPr>
            <w:tcW w:type="dxa" w:w="453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9 panels claim structural-variant detection but released none; 3 released fusions without claiming to</w:t>
            </w:r>
          </w:p>
        </w:tc>
        <w:tc>
          <w:tcPr>
            <w:tcW w:type="dxa" w:w="260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Fusion testing also read from the data (</w:t>
            </w:r>
            <w:r>
              <w:rPr>
                <w:rFonts w:ascii="Menlo" w:hAnsi="Menlo" w:eastAsia="Menlo"/>
                <w:sz w:val="17"/>
              </w:rPr>
              <w:t>SV_TESTED</w:t>
            </w:r>
            <w:r>
              <w:rPr>
                <w:sz w:val="17"/>
              </w:rPr>
              <w:t>)</w:t>
            </w:r>
          </w:p>
        </w:tc>
      </w:tr>
      <w:tr>
        <w:trPr>
          <w:cantSplit w:val="true"/>
        </w:trPr>
        <w:tc>
          <w:tcPr>
            <w:tcW w:type="dxa" w:w="249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7"/>
              </w:rPr>
              <w:t>Germline filter removed real mutations</w:t>
            </w:r>
          </w:p>
        </w:tc>
        <w:tc>
          <w:tcPr>
            <w:tcW w:type="dxa" w:w="453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At gnomAD 1e-4, ~104k real calls removed (JAK2 V617F lost 90%) through clonal haematopoiesis</w:t>
            </w:r>
          </w:p>
        </w:tc>
        <w:tc>
          <w:tcPr>
            <w:tcW w:type="dxa" w:w="260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Cutoff relaxed to 1e-3</w:t>
            </w:r>
          </w:p>
        </w:tc>
      </w:tr>
      <w:tr>
        <w:trPr>
          <w:cantSplit w:val="true"/>
        </w:trPr>
        <w:tc>
          <w:tcPr>
            <w:tcW w:type="dxa" w:w="249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Copy-number bystanders</w:t>
            </w:r>
          </w:p>
        </w:tc>
        <w:tc>
          <w:tcPr>
            <w:tcW w:type="dxa" w:w="453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85,254 deep calls go the wrong way for the gene's role (deleted oncogene, amplified suppressor)</w:t>
            </w:r>
          </w:p>
        </w:tc>
        <w:tc>
          <w:tcPr>
            <w:tcW w:type="dxa" w:w="260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Dropped using OncoKB roles</w:t>
            </w:r>
          </w:p>
        </w:tc>
      </w:tr>
      <w:tr>
        <w:trPr>
          <w:cantSplit w:val="true"/>
        </w:trPr>
        <w:tc>
          <w:tcPr>
            <w:tcW w:type="dxa" w:w="249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7"/>
              </w:rPr>
              <w:t>Shallow copy-number calls not comparable</w:t>
            </w:r>
          </w:p>
        </w:tc>
        <w:tc>
          <w:tcPr>
            <w:tcW w:type="dxa" w:w="453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MSK panels report ±1 in ~5% of samples, DFCI panels in 98-99%</w:t>
            </w:r>
          </w:p>
        </w:tc>
        <w:tc>
          <w:tcPr>
            <w:tcW w:type="dxa" w:w="260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Deep calls only</w:t>
            </w:r>
          </w:p>
        </w:tc>
      </w:tr>
      <w:tr>
        <w:trPr>
          <w:cantSplit w:val="true"/>
        </w:trPr>
        <w:tc>
          <w:tcPr>
            <w:tcW w:type="dxa" w:w="249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TMB meaningless on small panels</w:t>
            </w:r>
          </w:p>
        </w:tc>
        <w:tc>
          <w:tcPr>
            <w:tcW w:type="dxa" w:w="453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~61% of samples on panels &lt;1 Mb come out “TMB ≥ 10”</w:t>
            </w:r>
          </w:p>
        </w:tc>
        <w:tc>
          <w:tcPr>
            <w:tcW w:type="dxa" w:w="260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TMB trusted only on panels ≥1 Mb</w:t>
            </w:r>
          </w:p>
        </w:tc>
      </w:tr>
      <w:tr>
        <w:trPr>
          <w:cantSplit w:val="true"/>
        </w:trPr>
        <w:tc>
          <w:tcPr>
            <w:tcW w:type="dxa" w:w="249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7"/>
              </w:rPr>
              <w:t>Corrupted gene coordinates</w:t>
            </w:r>
          </w:p>
        </w:tc>
        <w:tc>
          <w:tcPr>
            <w:tcW w:type="dxa" w:w="453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33 of 19,605 genes have impossible spans (</w:t>
            </w:r>
            <w:r>
              <w:rPr>
                <w:i/>
                <w:sz w:val="17"/>
              </w:rPr>
              <w:t>ZNF703</w:t>
            </w:r>
            <w:r>
              <w:rPr>
                <w:sz w:val="17"/>
              </w:rPr>
              <w:t xml:space="preserve"> ~97 Mb)</w:t>
            </w:r>
          </w:p>
        </w:tc>
        <w:tc>
          <w:tcPr>
            <w:tcW w:type="dxa" w:w="260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Excluded from the gene-distance check</w:t>
            </w:r>
          </w:p>
        </w:tc>
      </w:tr>
    </w:tbl>
    <w:p>
      <w:pPr>
        <w:spacing w:after="40"/>
      </w:pPr>
    </w:p>
    <w:tbl>
      <w:tblPr>
        <w:tblW w:type="auto" w:w="0"/>
        <w:jc w:val="center"/>
        <w:tblLook w:firstColumn="1" w:firstRow="1" w:lastColumn="0" w:lastRow="0" w:noHBand="0" w:noVBand="1" w:val="04A0"/>
        <w:tblLayout w:type="fixed"/>
      </w:tblPr>
      <w:tblGrid>
        <w:gridCol w:w="9639"/>
      </w:tblGrid>
      <w:tr>
        <w:trPr>
          <w:cantSplit w:val="true"/>
        </w:trPr>
        <w:tc>
          <w:tcPr>
            <w:tcW w:type="dxa" w:w="9638"/>
            <w:shd w:val="clear" w:color="auto" w:fill="E8EEF4"/>
            <w:tcMar>
              <w:top w:w="110" w:type="dxa"/>
              <w:left w:w="200" w:type="dxa"/>
              <w:bottom w:w="110" w:type="dxa"/>
              <w:right w:w="160" w:type="dxa"/>
            </w:tcMar>
            <w:tcBorders>
              <w:top w:val="nil" w:sz="0" w:color="FFFFFF"/>
              <w:left w:val="single" w:sz="24" w:color="1F3A5F"/>
              <w:bottom w:val="nil" w:sz="0" w:color="FFFFFF"/>
              <w:right w:val="nil" w:sz="0" w:color="FFFFFF"/>
            </w:tcBorders>
          </w:tcPr>
          <w:p>
            <w:pPr>
              <w:spacing w:after="40"/>
            </w:pPr>
            <w:r>
              <w:rPr>
                <w:b/>
                <w:color w:val="1F3A5F"/>
                <w:sz w:val="21"/>
              </w:rPr>
              <w:t>Why this matters beyond the project</w:t>
            </w:r>
          </w:p>
          <w:p>
            <w:pPr>
              <w:spacing w:after="60"/>
            </w:pPr>
            <w:r>
              <w:rPr>
                <w:sz w:val="20"/>
              </w:rPr>
              <w:t>This table is a contribution in its own right: it documents ways the public GENIE release can mislead anyone who takes the panel metadata at face value.</w:t>
            </w:r>
          </w:p>
        </w:tc>
      </w:tr>
    </w:tbl>
    <w:p>
      <w:pPr>
        <w:spacing w:after="40"/>
      </w:pPr>
    </w:p>
    <w:tbl>
      <w:tblPr>
        <w:tblW w:type="auto" w:w="0"/>
        <w:jc w:val="center"/>
        <w:tblLook w:firstColumn="1" w:firstRow="1" w:lastColumn="0" w:lastRow="0" w:noHBand="0" w:noVBand="1" w:val="04A0"/>
        <w:tblLayout w:type="fixed"/>
      </w:tblPr>
      <w:tblGrid>
        <w:gridCol w:w="9639"/>
      </w:tblGrid>
      <w:tr>
        <w:trPr>
          <w:cantSplit w:val="true"/>
        </w:trPr>
        <w:tc>
          <w:tcPr>
            <w:tcW w:type="dxa" w:w="9638"/>
            <w:shd w:val="clear" w:color="auto" w:fill="E8EEF4"/>
            <w:tcMar>
              <w:top w:w="110" w:type="dxa"/>
              <w:left w:w="200" w:type="dxa"/>
              <w:bottom w:w="110" w:type="dxa"/>
              <w:right w:w="160" w:type="dxa"/>
            </w:tcMar>
            <w:tcBorders>
              <w:top w:val="nil" w:sz="0" w:color="FFFFFF"/>
              <w:left w:val="single" w:sz="24" w:color="1F3A5F"/>
              <w:bottom w:val="nil" w:sz="0" w:color="FFFFFF"/>
              <w:right w:val="nil" w:sz="0" w:color="FFFFFF"/>
            </w:tcBorders>
          </w:tcPr>
          <w:p>
            <w:pPr>
              <w:spacing w:after="40"/>
            </w:pPr>
            <w:r>
              <w:rPr>
                <w:b/>
                <w:color w:val="1F3A5F"/>
                <w:sz w:val="21"/>
              </w:rPr>
              <w:t>Questions worth asking at this point</w:t>
            </w:r>
          </w:p>
          <w:p>
            <w:pPr>
              <w:spacing w:after="60"/>
            </w:pPr>
            <w:r>
              <w:rPr>
                <w:sz w:val="20"/>
              </w:rPr>
              <w:t>•  Why can mutation testing only be partly fixed from the data? (Some panels list genes they never report; only statistics can reveal it.)</w:t>
            </w:r>
          </w:p>
        </w:tc>
      </w:tr>
    </w:tbl>
    <w:p>
      <w:pPr>
        <w:spacing w:after="40"/>
      </w:pPr>
    </w:p>
    <w:p>
      <w:pPr>
        <w:spacing w:before="120"/>
      </w:pPr>
      <w:r>
        <w:rPr>
          <w:i/>
          <w:color w:val="555B66"/>
          <w:sz w:val="17"/>
        </w:rPr>
        <w:t>Source files for this part:</w:t>
      </w:r>
      <w:r>
        <w:rPr>
          <w:color w:val="555B66"/>
          <w:sz w:val="17"/>
        </w:rPr>
        <w:t xml:space="preserve"> README.md (Problems found in the GENIE data), the original PLAN.md data inventory (git history, commit 92e8234), docs/supervisor_summary.md.</w:t>
      </w:r>
    </w:p>
    <w:p>
      <w:r>
        <w:br w:type="page"/>
      </w:r>
    </w:p>
    <w:p>
      <w:pPr>
        <w:spacing w:after="0"/>
      </w:pPr>
      <w:r>
        <w:rPr>
          <w:b/>
          <w:color w:val="2A7F8E"/>
          <w:sz w:val="20"/>
        </w:rPr>
        <w:t>PART 5</w:t>
      </w:r>
    </w:p>
    <w:p>
      <w:pPr>
        <w:pStyle w:val="Heading1"/>
      </w:pPr>
      <w:r>
        <w:t>Aims and how they evolved</w:t>
      </w:r>
    </w:p>
    <w:p>
      <w:pPr>
        <w:spacing w:after="200"/>
      </w:pPr>
      <w:r>
        <w:rPr>
          <w:color w:val="555B66"/>
          <w:sz w:val="23"/>
        </w:rPr>
        <w:t>The project changed shape on 24 September 2026. Knowing the history prevents confusion when you meet old wording.</w:t>
      </w:r>
    </w:p>
    <w:tbl>
      <w:tblPr>
        <w:tblW w:type="auto" w:w="0"/>
        <w:jc w:val="center"/>
        <w:tblLayout w:type="fixed"/>
        <w:tblLook w:firstColumn="1" w:firstRow="1" w:lastColumn="0" w:lastRow="0" w:noHBand="0" w:noVBand="1" w:val="04A0"/>
        <w:tblLayout w:type="fixed"/>
      </w:tblPr>
      <w:tblGrid>
        <w:gridCol w:w="2154"/>
        <w:gridCol w:w="5443"/>
        <w:gridCol w:w="2041"/>
      </w:tblGrid>
      <w:tr>
        <w:trPr>
          <w:cantSplit w:val="true"/>
          <w:tblHeader w:val="true"/>
        </w:trPr>
        <w:tc>
          <w:tcPr>
            <w:tcW w:type="dxa" w:w="2154"/>
            <w:shd w:val="clear" w:color="auto" w:fill="1F3A5F"/>
            <w:tcMar>
              <w:top w:w="60" w:type="dxa"/>
              <w:left w:w="90" w:type="dxa"/>
              <w:bottom w:w="60" w:type="dxa"/>
              <w:right w:w="90" w:type="dxa"/>
            </w:tcMar>
          </w:tcPr>
          <w:p>
            <w:pPr>
              <w:spacing w:after="0"/>
            </w:pPr>
            <w:r>
              <w:rPr>
                <w:b/>
                <w:color w:val="FFFFFF"/>
                <w:sz w:val="18"/>
              </w:rPr>
              <w:t>When</w:t>
            </w:r>
          </w:p>
        </w:tc>
        <w:tc>
          <w:tcPr>
            <w:tcW w:type="dxa" w:w="5443"/>
            <w:shd w:val="clear" w:color="auto" w:fill="1F3A5F"/>
            <w:tcMar>
              <w:top w:w="60" w:type="dxa"/>
              <w:left w:w="90" w:type="dxa"/>
              <w:bottom w:w="60" w:type="dxa"/>
              <w:right w:w="90" w:type="dxa"/>
            </w:tcMar>
          </w:tcPr>
          <w:p>
            <w:pPr>
              <w:spacing w:after="0"/>
            </w:pPr>
            <w:r>
              <w:rPr>
                <w:b/>
                <w:color w:val="FFFFFF"/>
                <w:sz w:val="18"/>
              </w:rPr>
              <w:t>Framing</w:t>
            </w:r>
          </w:p>
        </w:tc>
        <w:tc>
          <w:tcPr>
            <w:tcW w:type="dxa" w:w="2041"/>
            <w:shd w:val="clear" w:color="auto" w:fill="1F3A5F"/>
            <w:tcMar>
              <w:top w:w="60" w:type="dxa"/>
              <w:left w:w="90" w:type="dxa"/>
              <w:bottom w:w="60" w:type="dxa"/>
              <w:right w:w="90" w:type="dxa"/>
            </w:tcMar>
          </w:tcPr>
          <w:p>
            <w:pPr>
              <w:spacing w:after="0"/>
            </w:pPr>
            <w:r>
              <w:rPr>
                <w:b/>
                <w:color w:val="FFFFFF"/>
                <w:sz w:val="18"/>
              </w:rPr>
              <w:t>Main deliverable</w:t>
            </w:r>
          </w:p>
        </w:tc>
      </w:tr>
      <w:tr>
        <w:trPr>
          <w:cantSplit w:val="true"/>
        </w:trPr>
        <w:tc>
          <w:tcPr>
            <w:tcW w:type="dxa" w:w="215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8"/>
              </w:rPr>
              <w:t>Original brief</w:t>
            </w:r>
            <w:r>
              <w:rPr>
                <w:sz w:val="18"/>
              </w:rPr>
              <w:t xml:space="preserve"> (supervisor)</w:t>
            </w:r>
          </w:p>
        </w:tc>
        <w:tc>
          <w:tcPr>
            <w:tcW w:type="dxa" w:w="5443"/>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 xml:space="preserve">Define co-mutation </w:t>
            </w:r>
            <w:r>
              <w:rPr>
                <w:b/>
                <w:sz w:val="18"/>
              </w:rPr>
              <w:t>clusters</w:t>
            </w:r>
            <w:r>
              <w:rPr>
                <w:sz w:val="18"/>
              </w:rPr>
              <w:t xml:space="preserve"> of more than two genes; test them against survival; build an algorithm that assigns a new sample to a cluster. Constraints: include copy-number changes, and only likely-pathogenic mutations</w:t>
            </w:r>
          </w:p>
        </w:tc>
        <w:tc>
          <w:tcPr>
            <w:tcW w:type="dxa" w:w="204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Clusters + survival + assignment</w:t>
            </w:r>
          </w:p>
        </w:tc>
      </w:tr>
      <w:tr>
        <w:trPr>
          <w:cantSplit w:val="true"/>
        </w:trPr>
        <w:tc>
          <w:tcPr>
            <w:tcW w:type="dxa" w:w="215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8"/>
              </w:rPr>
              <w:t>Registered description</w:t>
            </w:r>
            <w:r>
              <w:rPr>
                <w:sz w:val="18"/>
              </w:rPr>
              <w:t xml:space="preserve"> (official FYP form)</w:t>
            </w:r>
          </w:p>
        </w:tc>
        <w:tc>
          <w:tcPr>
            <w:tcW w:type="dxa" w:w="5443"/>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Aim 1: genes whose mutations co-occur more than expected, within and across cancers. Aim 2: match a new patient's profile to similar cases and report how common the combination is</w:t>
            </w:r>
          </w:p>
        </w:tc>
        <w:tc>
          <w:tcPr>
            <w:tcW w:type="dxa" w:w="204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Pairwise co-occurrence + similarity matching</w:t>
            </w:r>
          </w:p>
        </w:tc>
      </w:tr>
      <w:tr>
        <w:trPr>
          <w:cantSplit w:val="true"/>
        </w:trPr>
        <w:tc>
          <w:tcPr>
            <w:tcW w:type="dxa" w:w="215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8"/>
              </w:rPr>
              <w:t>Refocused 24 Sep 2026</w:t>
            </w:r>
            <w:r>
              <w:rPr>
                <w:sz w:val="18"/>
              </w:rPr>
              <w:t xml:space="preserve"> (with Prof. Wong)</w:t>
            </w:r>
          </w:p>
        </w:tc>
        <w:tc>
          <w:tcPr>
            <w:tcW w:type="dxa" w:w="5443"/>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8"/>
              </w:rPr>
              <w:t>Aim 1:</w:t>
            </w:r>
            <w:r>
              <w:rPr>
                <w:sz w:val="18"/>
              </w:rPr>
              <w:t xml:space="preserve"> a lookup tool for the clinic. </w:t>
            </w:r>
            <w:r>
              <w:rPr>
                <w:b/>
                <w:sz w:val="18"/>
              </w:rPr>
              <w:t>Aim 2:</w:t>
            </w:r>
            <w:r>
              <w:rPr>
                <w:sz w:val="18"/>
              </w:rPr>
              <w:t xml:space="preserve"> scientific insight from the patterns</w:t>
            </w:r>
          </w:p>
        </w:tc>
        <w:tc>
          <w:tcPr>
            <w:tcW w:type="dxa" w:w="204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Lookup tool; insight analyses</w:t>
            </w:r>
          </w:p>
        </w:tc>
      </w:tr>
    </w:tbl>
    <w:p>
      <w:pPr>
        <w:spacing w:after="40"/>
      </w:pPr>
    </w:p>
    <w:tbl>
      <w:tblPr>
        <w:tblW w:type="auto" w:w="0"/>
        <w:jc w:val="center"/>
        <w:tblLook w:firstColumn="1" w:firstRow="1" w:lastColumn="0" w:lastRow="0" w:noHBand="0" w:noVBand="1" w:val="04A0"/>
        <w:tblLayout w:type="fixed"/>
      </w:tblPr>
      <w:tblGrid>
        <w:gridCol w:w="9639"/>
      </w:tblGrid>
      <w:tr>
        <w:trPr>
          <w:cantSplit w:val="true"/>
        </w:trPr>
        <w:tc>
          <w:tcPr>
            <w:tcW w:type="dxa" w:w="9638"/>
            <w:shd w:val="clear" w:color="auto" w:fill="FDF1E3"/>
            <w:tcMar>
              <w:top w:w="110" w:type="dxa"/>
              <w:left w:w="200" w:type="dxa"/>
              <w:bottom w:w="110" w:type="dxa"/>
              <w:right w:w="160" w:type="dxa"/>
            </w:tcMar>
            <w:tcBorders>
              <w:top w:val="nil" w:sz="0" w:color="FFFFFF"/>
              <w:left w:val="single" w:sz="24" w:color="D9822B"/>
              <w:bottom w:val="nil" w:sz="0" w:color="FFFFFF"/>
              <w:right w:val="nil" w:sz="0" w:color="FFFFFF"/>
            </w:tcBorders>
          </w:tcPr>
          <w:p>
            <w:pPr>
              <w:spacing w:after="40"/>
            </w:pPr>
            <w:r>
              <w:rPr>
                <w:b/>
                <w:color w:val="8A4B0A"/>
                <w:sz w:val="21"/>
              </w:rPr>
              <w:t>Two numbering schemes</w:t>
            </w:r>
          </w:p>
          <w:p>
            <w:pPr>
              <w:spacing w:after="60"/>
            </w:pPr>
            <w:r>
              <w:rPr>
                <w:sz w:val="20"/>
              </w:rPr>
              <w:t xml:space="preserve">The registered form and the refocused plan both say “Aim 1 / Aim 2” but mean different things. In the refocused plan, </w:t>
            </w:r>
            <w:r>
              <w:rPr>
                <w:b/>
                <w:sz w:val="20"/>
              </w:rPr>
              <w:t>Aim 1 = Phase 3 (tool)</w:t>
            </w:r>
            <w:r>
              <w:rPr>
                <w:sz w:val="20"/>
              </w:rPr>
              <w:t xml:space="preserve"> and </w:t>
            </w:r>
            <w:r>
              <w:rPr>
                <w:b/>
                <w:sz w:val="20"/>
              </w:rPr>
              <w:t>Aim 2 = Phase 4 (insight)</w:t>
            </w:r>
            <w:r>
              <w:rPr>
                <w:sz w:val="20"/>
              </w:rPr>
              <w:t>. The registered “Aim 2” (match a patient to similar cases) is delivered by the tool.</w:t>
            </w:r>
          </w:p>
        </w:tc>
      </w:tr>
    </w:tbl>
    <w:p>
      <w:pPr>
        <w:spacing w:after="40"/>
      </w:pPr>
    </w:p>
    <w:p>
      <w:pPr>
        <w:pStyle w:val="Heading3"/>
      </w:pPr>
      <w:r>
        <w:t>Why the project was refocused</w:t>
      </w:r>
    </w:p>
    <w:p>
      <w:pPr>
        <w:pStyle w:val="ListBullet"/>
        <w:spacing w:after="60"/>
      </w:pPr>
      <w:r>
        <w:t>Clinicians already ask Prof. Wong to look up rare combinations by hand. A tool that does it is directly useful.</w:t>
      </w:r>
    </w:p>
    <w:p>
      <w:pPr>
        <w:pStyle w:val="ListBullet"/>
        <w:spacing w:after="60"/>
      </w:pPr>
      <w:r>
        <w:t xml:space="preserve">Phase 2's statistical gates (gene altered in ≥3% of patients; ≥5 patients expected to carry both) remove exactly the rare combinations clinicians ask about. For </w:t>
      </w:r>
      <w:r>
        <w:rPr>
          <w:i/>
        </w:rPr>
        <w:t>EGFR</w:t>
      </w:r>
      <w:r>
        <w:t xml:space="preserve"> in lung cancer, 651 partner genes occur in at least 3 patients but only 28 are testable pairs. So the tool reads the Phase 1 tables directly and uses Phase 2 only to annotate its answers.</w:t>
      </w:r>
    </w:p>
    <w:p>
      <w:pPr>
        <w:pStyle w:val="ListBullet"/>
        <w:spacing w:after="60"/>
      </w:pPr>
      <w:r>
        <w:t xml:space="preserve">GENIE survival data is coarse (year-level, a subset of centres), so multi-gene clusters and survival analysis were </w:t>
      </w:r>
      <w:r>
        <w:rPr>
          <w:b/>
        </w:rPr>
        <w:t>demoted to optional</w:t>
      </w:r>
      <w:r>
        <w:t>.</w:t>
      </w:r>
    </w:p>
    <w:tbl>
      <w:tblPr>
        <w:tblW w:type="auto" w:w="0"/>
        <w:jc w:val="center"/>
        <w:tblLook w:firstColumn="1" w:firstRow="1" w:lastColumn="0" w:lastRow="0" w:noHBand="0" w:noVBand="1" w:val="04A0"/>
        <w:tblLayout w:type="fixed"/>
      </w:tblPr>
      <w:tblGrid>
        <w:gridCol w:w="9639"/>
      </w:tblGrid>
      <w:tr>
        <w:trPr>
          <w:cantSplit w:val="true"/>
        </w:trPr>
        <w:tc>
          <w:tcPr>
            <w:tcW w:type="dxa" w:w="9638"/>
            <w:shd w:val="clear" w:color="auto" w:fill="E8EEF4"/>
            <w:tcMar>
              <w:top w:w="110" w:type="dxa"/>
              <w:left w:w="200" w:type="dxa"/>
              <w:bottom w:w="110" w:type="dxa"/>
              <w:right w:w="160" w:type="dxa"/>
            </w:tcMar>
            <w:tcBorders>
              <w:top w:val="nil" w:sz="0" w:color="FFFFFF"/>
              <w:left w:val="single" w:sz="24" w:color="1F3A5F"/>
              <w:bottom w:val="nil" w:sz="0" w:color="FFFFFF"/>
              <w:right w:val="nil" w:sz="0" w:color="FFFFFF"/>
            </w:tcBorders>
          </w:tcPr>
          <w:p>
            <w:pPr>
              <w:spacing w:after="40"/>
            </w:pPr>
            <w:r>
              <w:rPr>
                <w:b/>
                <w:color w:val="1F3A5F"/>
                <w:sz w:val="21"/>
              </w:rPr>
              <w:t>What the tool cannot do</w:t>
            </w:r>
          </w:p>
          <w:p>
            <w:pPr>
              <w:spacing w:after="60"/>
            </w:pPr>
            <w:r>
              <w:rPr>
                <w:sz w:val="20"/>
              </w:rPr>
              <w:t>It cannot predict treatment response. GENIE's main release has no treatment or response data, so therapy information comes from a knowledge base (CIViC). Outcome links would need GENIE BPC, which is a separate access request.</w:t>
            </w:r>
          </w:p>
        </w:tc>
      </w:tr>
    </w:tbl>
    <w:p>
      <w:pPr>
        <w:spacing w:after="40"/>
      </w:pPr>
    </w:p>
    <w:p>
      <w:pPr>
        <w:spacing w:before="120"/>
      </w:pPr>
      <w:r>
        <w:rPr>
          <w:i/>
          <w:color w:val="555B66"/>
          <w:sz w:val="17"/>
        </w:rPr>
        <w:t>Source files for this part:</w:t>
      </w:r>
      <w:r>
        <w:rPr>
          <w:color w:val="555B66"/>
          <w:sz w:val="17"/>
        </w:rPr>
        <w:t xml:space="preserve"> README.md (Project aims; Registered project description), the original PLAN.md (git history, commit 92e8234) for the supervisor's brief.</w:t>
      </w:r>
    </w:p>
    <w:p>
      <w:r>
        <w:br w:type="page"/>
      </w:r>
    </w:p>
    <w:p>
      <w:pPr>
        <w:spacing w:after="0"/>
      </w:pPr>
      <w:r>
        <w:rPr>
          <w:b/>
          <w:color w:val="2A7F8E"/>
          <w:sz w:val="20"/>
        </w:rPr>
        <w:t>PART 6</w:t>
      </w:r>
    </w:p>
    <w:p>
      <w:pPr>
        <w:pStyle w:val="Heading1"/>
      </w:pPr>
      <w:r>
        <w:t>Phase 1: cleaning the data</w:t>
      </w:r>
    </w:p>
    <w:p>
      <w:pPr>
        <w:spacing w:after="200"/>
      </w:pPr>
      <w:r>
        <w:rPr>
          <w:color w:val="555B66"/>
          <w:sz w:val="23"/>
        </w:rPr>
        <w:t>No analysis happens here. The job is to build one table everyone can trust, and to record what was tested.</w:t>
      </w:r>
    </w:p>
    <w:p>
      <w:r>
        <w:rPr>
          <w:b/>
        </w:rPr>
        <w:t>Notebook:</w:t>
      </w:r>
      <w:r>
        <w:t xml:space="preserve"> </w:t>
      </w:r>
      <w:r>
        <w:rPr>
          <w:rFonts w:ascii="Menlo" w:hAnsi="Menlo" w:eastAsia="Menlo"/>
          <w:sz w:val="18"/>
        </w:rPr>
        <w:t>notebooks/01_phase1_preprocessing.ipynb</w:t>
      </w:r>
      <w:r>
        <w:t xml:space="preserve">   </w:t>
      </w:r>
      <w:r>
        <w:rPr>
          <w:b/>
        </w:rPr>
        <w:t>Output:</w:t>
      </w:r>
      <w:r>
        <w:t xml:space="preserve"> </w:t>
      </w:r>
      <w:r>
        <w:rPr>
          <w:rFonts w:ascii="Menlo" w:hAnsi="Menlo" w:eastAsia="Menlo"/>
          <w:sz w:val="18"/>
        </w:rPr>
        <w:t>alterations_long.parquet</w:t>
      </w:r>
      <w:r>
        <w:t xml:space="preserve">, </w:t>
      </w:r>
      <w:r>
        <w:rPr>
          <w:rFonts w:ascii="Menlo" w:hAnsi="Menlo" w:eastAsia="Menlo"/>
          <w:sz w:val="18"/>
        </w:rPr>
        <w:t>clinical_tidy.parquet</w:t>
      </w:r>
      <w:r>
        <w:t xml:space="preserve">, </w:t>
      </w:r>
      <w:r>
        <w:rPr>
          <w:rFonts w:ascii="Menlo" w:hAnsi="Menlo" w:eastAsia="Menlo"/>
          <w:sz w:val="18"/>
        </w:rPr>
        <w:t>panel_gene_coverage.parquet</w:t>
      </w:r>
      <w:r>
        <w:t xml:space="preserve">, </w:t>
      </w:r>
      <w:r>
        <w:rPr>
          <w:rFonts w:ascii="Menlo" w:hAnsi="Menlo" w:eastAsia="Menlo"/>
          <w:sz w:val="18"/>
        </w:rPr>
        <w:t>cna_gene_panel_coverage.parquet</w:t>
      </w:r>
    </w:p>
    <w:tbl>
      <w:tblPr>
        <w:tblW w:type="auto" w:w="0"/>
        <w:jc w:val="center"/>
        <w:tblLook w:firstColumn="1" w:firstRow="1" w:lastColumn="0" w:lastRow="0" w:noHBand="0" w:noVBand="1" w:val="04A0"/>
        <w:tblLayout w:type="fixed"/>
      </w:tblPr>
      <w:tblGrid>
        <w:gridCol w:w="9639"/>
      </w:tblGrid>
      <w:tr>
        <w:trPr>
          <w:cantSplit w:val="true"/>
        </w:trPr>
        <w:tc>
          <w:tcPr>
            <w:tcW w:type="dxa" w:w="9638"/>
            <w:shd w:val="clear" w:color="auto" w:fill="EAF3F5"/>
            <w:tcMar>
              <w:top w:w="110" w:type="dxa"/>
              <w:left w:w="200" w:type="dxa"/>
              <w:bottom w:w="110" w:type="dxa"/>
              <w:right w:w="160" w:type="dxa"/>
            </w:tcMar>
            <w:tcBorders>
              <w:top w:val="nil" w:sz="0" w:color="FFFFFF"/>
              <w:left w:val="single" w:sz="24" w:color="2A7F8E"/>
              <w:bottom w:val="nil" w:sz="0" w:color="FFFFFF"/>
              <w:right w:val="nil" w:sz="0" w:color="FFFFFF"/>
            </w:tcBorders>
          </w:tcPr>
          <w:p>
            <w:pPr>
              <w:spacing w:after="40"/>
            </w:pPr>
            <w:r>
              <w:rPr>
                <w:b/>
                <w:color w:val="2A7F8E"/>
                <w:sz w:val="21"/>
              </w:rPr>
              <w:t>The question Phase 1 answers</w:t>
            </w:r>
          </w:p>
          <w:p>
            <w:pPr>
              <w:spacing w:after="60"/>
            </w:pPr>
            <w:r>
              <w:rPr>
                <w:sz w:val="20"/>
              </w:rPr>
              <w:t>“For every patient, which genes carry a likely-harmful alteration, and for every gene, was that patient actually tested?”</w:t>
            </w:r>
          </w:p>
        </w:tc>
      </w:tr>
    </w:tbl>
    <w:p>
      <w:pPr>
        <w:spacing w:after="40"/>
      </w:pPr>
    </w:p>
    <w:p>
      <w:pPr>
        <w:pStyle w:val="Heading2"/>
      </w:pPr>
      <w:r>
        <w:t>6.1  Step by step, with the reason for each choice</w:t>
      </w:r>
    </w:p>
    <w:tbl>
      <w:tblPr>
        <w:tblW w:type="auto" w:w="0"/>
        <w:jc w:val="center"/>
        <w:tblLayout w:type="fixed"/>
        <w:tblLook w:firstColumn="1" w:firstRow="1" w:lastColumn="0" w:lastRow="0" w:noHBand="0" w:noVBand="1" w:val="04A0"/>
        <w:tblLayout w:type="fixed"/>
      </w:tblPr>
      <w:tblGrid>
        <w:gridCol w:w="2041"/>
        <w:gridCol w:w="4082"/>
        <w:gridCol w:w="3515"/>
      </w:tblGrid>
      <w:tr>
        <w:trPr>
          <w:cantSplit w:val="true"/>
          <w:tblHeader w:val="true"/>
        </w:trPr>
        <w:tc>
          <w:tcPr>
            <w:tcW w:type="dxa" w:w="2041"/>
            <w:shd w:val="clear" w:color="auto" w:fill="1F3A5F"/>
            <w:tcMar>
              <w:top w:w="60" w:type="dxa"/>
              <w:left w:w="90" w:type="dxa"/>
              <w:bottom w:w="60" w:type="dxa"/>
              <w:right w:w="90" w:type="dxa"/>
            </w:tcMar>
          </w:tcPr>
          <w:p>
            <w:pPr>
              <w:spacing w:after="0"/>
            </w:pPr>
            <w:r>
              <w:rPr>
                <w:b/>
                <w:color w:val="FFFFFF"/>
                <w:sz w:val="17"/>
              </w:rPr>
              <w:t>Step</w:t>
            </w:r>
          </w:p>
        </w:tc>
        <w:tc>
          <w:tcPr>
            <w:tcW w:type="dxa" w:w="4082"/>
            <w:shd w:val="clear" w:color="auto" w:fill="1F3A5F"/>
            <w:tcMar>
              <w:top w:w="60" w:type="dxa"/>
              <w:left w:w="90" w:type="dxa"/>
              <w:bottom w:w="60" w:type="dxa"/>
              <w:right w:w="90" w:type="dxa"/>
            </w:tcMar>
          </w:tcPr>
          <w:p>
            <w:pPr>
              <w:spacing w:after="0"/>
            </w:pPr>
            <w:r>
              <w:rPr>
                <w:b/>
                <w:color w:val="FFFFFF"/>
                <w:sz w:val="17"/>
              </w:rPr>
              <w:t>What we do</w:t>
            </w:r>
          </w:p>
        </w:tc>
        <w:tc>
          <w:tcPr>
            <w:tcW w:type="dxa" w:w="3515"/>
            <w:shd w:val="clear" w:color="auto" w:fill="1F3A5F"/>
            <w:tcMar>
              <w:top w:w="60" w:type="dxa"/>
              <w:left w:w="90" w:type="dxa"/>
              <w:bottom w:w="60" w:type="dxa"/>
              <w:right w:w="90" w:type="dxa"/>
            </w:tcMar>
          </w:tcPr>
          <w:p>
            <w:pPr>
              <w:spacing w:after="0"/>
            </w:pPr>
            <w:r>
              <w:rPr>
                <w:b/>
                <w:color w:val="FFFFFF"/>
                <w:sz w:val="17"/>
              </w:rPr>
              <w:t>Why</w:t>
            </w:r>
          </w:p>
        </w:tc>
      </w:tr>
      <w:tr>
        <w:trPr>
          <w:cantSplit w:val="true"/>
        </w:trPr>
        <w:tc>
          <w:tcPr>
            <w:tcW w:type="dxa" w:w="204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7"/>
              </w:rPr>
              <w:t>1. One sample per patient</w:t>
            </w:r>
          </w:p>
        </w:tc>
        <w:tc>
          <w:tcPr>
            <w:tcW w:type="dxa" w:w="4082"/>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 xml:space="preserve">271,837 samples → </w:t>
            </w:r>
            <w:r>
              <w:rPr>
                <w:b/>
                <w:sz w:val="17"/>
              </w:rPr>
              <w:t>227,696 patients</w:t>
            </w:r>
            <w:r>
              <w:rPr>
                <w:sz w:val="17"/>
              </w:rPr>
              <w:t>. Keep the sample with copy-number data, then the primary tumour, then the larger panel</w:t>
            </w:r>
          </w:p>
        </w:tc>
        <w:tc>
          <w:tcPr>
            <w:tcW w:type="dxa" w:w="351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A primary tumour and its metastasis share early mutations; keeping both counts the same pair twice</w:t>
            </w:r>
          </w:p>
        </w:tc>
      </w:tr>
      <w:tr>
        <w:trPr>
          <w:cantSplit w:val="true"/>
        </w:trPr>
        <w:tc>
          <w:tcPr>
            <w:tcW w:type="dxa" w:w="204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2. Hypermutation label</w:t>
            </w:r>
          </w:p>
        </w:tc>
        <w:tc>
          <w:tcPr>
            <w:tcW w:type="dxa" w:w="4082"/>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Use GENIE's official TMB, trusted only on panels ≥1 Mb</w:t>
            </w:r>
          </w:p>
        </w:tc>
        <w:tc>
          <w:tcPr>
            <w:tcW w:type="dxa" w:w="351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On smaller panels ~61% come out as TMB ≥ 10, which is noise</w:t>
            </w:r>
          </w:p>
        </w:tc>
      </w:tr>
      <w:tr>
        <w:trPr>
          <w:cantSplit w:val="true"/>
        </w:trPr>
        <w:tc>
          <w:tcPr>
            <w:tcW w:type="dxa" w:w="204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7"/>
              </w:rPr>
              <w:t>3. Record what was tested</w:t>
            </w:r>
          </w:p>
        </w:tc>
        <w:tc>
          <w:tcPr>
            <w:tcW w:type="dxa" w:w="4082"/>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 xml:space="preserve">Separate tables for genes tested for mutations (exon probes) and for copy number (read from </w:t>
            </w:r>
            <w:r>
              <w:rPr>
                <w:rFonts w:ascii="Menlo" w:hAnsi="Menlo" w:eastAsia="Menlo"/>
                <w:sz w:val="17"/>
              </w:rPr>
              <w:t>data_CNA.txt</w:t>
            </w:r>
            <w:r>
              <w:rPr>
                <w:sz w:val="17"/>
              </w:rPr>
              <w:t xml:space="preserve">). Per patient </w:t>
            </w:r>
            <w:r>
              <w:rPr>
                <w:rFonts w:ascii="Menlo" w:hAnsi="Menlo" w:eastAsia="Menlo"/>
                <w:sz w:val="17"/>
              </w:rPr>
              <w:t>CNA_TESTED</w:t>
            </w:r>
            <w:r>
              <w:rPr>
                <w:sz w:val="17"/>
              </w:rPr>
              <w:t xml:space="preserve"> and </w:t>
            </w:r>
            <w:r>
              <w:rPr>
                <w:rFonts w:ascii="Menlo" w:hAnsi="Menlo" w:eastAsia="Menlo"/>
                <w:sz w:val="17"/>
              </w:rPr>
              <w:t>MUT_TESTED</w:t>
            </w:r>
          </w:p>
        </w:tc>
        <w:tc>
          <w:tcPr>
            <w:tcW w:type="dxa" w:w="351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Frequencies must divide by patients actually tested (Part 4); the same is done for fusions</w:t>
            </w:r>
          </w:p>
        </w:tc>
      </w:tr>
      <w:tr>
        <w:trPr>
          <w:cantSplit w:val="true"/>
        </w:trPr>
        <w:tc>
          <w:tcPr>
            <w:tcW w:type="dxa" w:w="204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4. Keep likely-harmful mutations</w:t>
            </w:r>
          </w:p>
        </w:tc>
        <w:tc>
          <w:tcPr>
            <w:tcW w:type="dxa" w:w="4082"/>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 xml:space="preserve">Somatic, protein-changing, gnomAD frequency ≤1e-3. Missense also needs AlphaMissense pathogenic, </w:t>
            </w:r>
            <w:r>
              <w:rPr>
                <w:i/>
                <w:sz w:val="17"/>
              </w:rPr>
              <w:t>or</w:t>
            </w:r>
            <w:r>
              <w:rPr>
                <w:sz w:val="17"/>
              </w:rPr>
              <w:t xml:space="preserve"> PolyPhen damaging </w:t>
            </w:r>
            <w:r>
              <w:rPr>
                <w:b/>
                <w:sz w:val="17"/>
              </w:rPr>
              <w:t>and</w:t>
            </w:r>
            <w:r>
              <w:rPr>
                <w:sz w:val="17"/>
              </w:rPr>
              <w:t xml:space="preserve"> SIFT deleterious, </w:t>
            </w:r>
            <w:r>
              <w:rPr>
                <w:i/>
                <w:sz w:val="17"/>
              </w:rPr>
              <w:t>or</w:t>
            </w:r>
            <w:r>
              <w:rPr>
                <w:sz w:val="17"/>
              </w:rPr>
              <w:t xml:space="preserve"> a cancerhotspots.org hotspot. 3.46M → </w:t>
            </w:r>
            <w:r>
              <w:rPr>
                <w:b/>
                <w:sz w:val="17"/>
              </w:rPr>
              <w:t>1,644,226</w:t>
            </w:r>
          </w:p>
        </w:tc>
        <w:tc>
          <w:tcPr>
            <w:tcW w:type="dxa" w:w="351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Counting every raw variant would flood the analysis with passengers. AlphaMissense is newer and better calibrated; hotspots rescue known drivers (rule approved by Prof. Wong)</w:t>
            </w:r>
          </w:p>
        </w:tc>
      </w:tr>
      <w:tr>
        <w:trPr>
          <w:cantSplit w:val="true"/>
        </w:trPr>
        <w:tc>
          <w:tcPr>
            <w:tcW w:type="dxa" w:w="204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7"/>
              </w:rPr>
              <w:t>5. Copy number: deep calls only</w:t>
            </w:r>
          </w:p>
        </w:tc>
        <w:tc>
          <w:tcPr>
            <w:tcW w:type="dxa" w:w="4082"/>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 xml:space="preserve">Keep +2 and -2. Drop calls that contradict the gene's role (deleted oncogene, amplified suppressor): 377,216 → </w:t>
            </w:r>
            <w:r>
              <w:rPr>
                <w:b/>
                <w:sz w:val="17"/>
              </w:rPr>
              <w:t>291,962</w:t>
            </w:r>
          </w:p>
        </w:tc>
        <w:tc>
          <w:tcPr>
            <w:tcW w:type="dxa" w:w="351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One-copy gains/losses are mostly arm-level passengers and differ wildly by centre (MSK ~5%, DFCI 98-99%); contradicting calls are usually bystanders next to the real target</w:t>
            </w:r>
          </w:p>
        </w:tc>
      </w:tr>
      <w:tr>
        <w:trPr>
          <w:cantSplit w:val="true"/>
        </w:trPr>
        <w:tc>
          <w:tcPr>
            <w:tcW w:type="dxa" w:w="204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6. Two-hit feature (separate)</w:t>
            </w:r>
          </w:p>
        </w:tc>
        <w:tc>
          <w:tcPr>
            <w:tcW w:type="dxa" w:w="4082"/>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A shallow deletion plus a damaging mutation in the same tumour suppressor is stored apart (</w:t>
            </w:r>
            <w:r>
              <w:rPr>
                <w:rFonts w:ascii="Menlo" w:hAnsi="Menlo" w:eastAsia="Menlo"/>
                <w:sz w:val="17"/>
              </w:rPr>
              <w:t>putative_biallelic_tsg_events</w:t>
            </w:r>
            <w:r>
              <w:rPr>
                <w:sz w:val="17"/>
              </w:rPr>
              <w:t>)</w:t>
            </w:r>
          </w:p>
        </w:tc>
        <w:tc>
          <w:tcPr>
            <w:tcW w:type="dxa" w:w="351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Prof. Wong's point: together they suggest both copies are gone, but alone a shallow deletion is no signal</w:t>
            </w:r>
          </w:p>
        </w:tc>
      </w:tr>
      <w:tr>
        <w:trPr>
          <w:cantSplit w:val="true"/>
        </w:trPr>
        <w:tc>
          <w:tcPr>
            <w:tcW w:type="dxa" w:w="204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7"/>
              </w:rPr>
              <w:t>7. Gene fusions</w:t>
            </w:r>
          </w:p>
        </w:tc>
        <w:tc>
          <w:tcPr>
            <w:tcW w:type="dxa" w:w="4082"/>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 xml:space="preserve">Keep events joining two different genes where one is a known fusion driver (OncoKB / Mitelman-recurrent list, antisense excluded); named after the driver, e.g. </w:t>
            </w:r>
            <w:r>
              <w:rPr>
                <w:rFonts w:ascii="Menlo" w:hAnsi="Menlo" w:eastAsia="Menlo"/>
                <w:sz w:val="17"/>
              </w:rPr>
              <w:t>ALK_fusion</w:t>
            </w:r>
            <w:r>
              <w:rPr>
                <w:sz w:val="17"/>
              </w:rPr>
              <w:t xml:space="preserve">. 56,356 structural variants → </w:t>
            </w:r>
            <w:r>
              <w:rPr>
                <w:b/>
                <w:sz w:val="17"/>
              </w:rPr>
              <w:t>9,619</w:t>
            </w:r>
            <w:r>
              <w:rPr>
                <w:sz w:val="17"/>
              </w:rPr>
              <w:t xml:space="preserve"> driver-fusion calls</w:t>
            </w:r>
          </w:p>
        </w:tc>
        <w:tc>
          <w:tcPr>
            <w:tcW w:type="dxa" w:w="351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Fusions are rare but clinically decisive (</w:t>
            </w:r>
            <w:r>
              <w:rPr>
                <w:i/>
                <w:sz w:val="17"/>
              </w:rPr>
              <w:t>ALK</w:t>
            </w:r>
            <w:r>
              <w:rPr>
                <w:sz w:val="17"/>
              </w:rPr>
              <w:t xml:space="preserve">, </w:t>
            </w:r>
            <w:r>
              <w:rPr>
                <w:i/>
                <w:sz w:val="17"/>
              </w:rPr>
              <w:t>ROS1</w:t>
            </w:r>
            <w:r>
              <w:rPr>
                <w:sz w:val="17"/>
              </w:rPr>
              <w:t xml:space="preserve">, </w:t>
            </w:r>
            <w:r>
              <w:rPr>
                <w:i/>
                <w:sz w:val="17"/>
              </w:rPr>
              <w:t>RET</w:t>
            </w:r>
            <w:r>
              <w:rPr>
                <w:sz w:val="17"/>
              </w:rPr>
              <w:t>); a sample counts as fusion-tested only if its panel released structural variants</w:t>
            </w:r>
          </w:p>
        </w:tc>
      </w:tr>
      <w:tr>
        <w:trPr>
          <w:cantSplit w:val="true"/>
        </w:trPr>
        <w:tc>
          <w:tcPr>
            <w:tcW w:type="dxa" w:w="204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8. Combine</w:t>
            </w:r>
          </w:p>
        </w:tc>
        <w:tc>
          <w:tcPr>
            <w:tcW w:type="dxa" w:w="4082"/>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One table of 1,945,807 rows across 232,386 samples: mutations, copy number and fusions</w:t>
            </w:r>
          </w:p>
        </w:tc>
        <w:tc>
          <w:tcPr>
            <w:tcW w:type="dxa" w:w="351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 xml:space="preserve">Every later analysis starts here; </w:t>
            </w:r>
            <w:r>
              <w:rPr>
                <w:b/>
                <w:sz w:val="17"/>
              </w:rPr>
              <w:t>no gene selection happens in Phase 1</w:t>
            </w:r>
          </w:p>
        </w:tc>
      </w:tr>
    </w:tbl>
    <w:p>
      <w:pPr>
        <w:spacing w:after="40"/>
      </w:pPr>
    </w:p>
    <w:p>
      <w:pPr>
        <w:pStyle w:val="Heading3"/>
      </w:pPr>
      <w:r>
        <w:t>Why the germline cutoff changed from 1e-4 to 1e-3</w:t>
      </w:r>
    </w:p>
    <w:p>
      <w:r>
        <w:t xml:space="preserve">The first, stricter cutoff removed about 104,000 real cancer mutations. Many are acquired drivers that reach “healthy” reference donors through clonal haematopoiesis (blood cells with their own mutations). </w:t>
      </w:r>
      <w:r>
        <w:rPr>
          <w:i/>
        </w:rPr>
        <w:t>JAK2</w:t>
      </w:r>
      <w:r>
        <w:t xml:space="preserve"> V617F lost 90% of its calls; </w:t>
      </w:r>
      <w:r>
        <w:rPr>
          <w:i/>
        </w:rPr>
        <w:t>DNMT3A</w:t>
      </w:r>
      <w:r>
        <w:t xml:space="preserve"> R882, </w:t>
      </w:r>
      <w:r>
        <w:rPr>
          <w:i/>
        </w:rPr>
        <w:t>SF3B1</w:t>
      </w:r>
      <w:r>
        <w:t xml:space="preserve"> K700E, </w:t>
      </w:r>
      <w:r>
        <w:rPr>
          <w:i/>
        </w:rPr>
        <w:t>MYD88</w:t>
      </w:r>
      <w:r>
        <w:t xml:space="preserve"> L265P and </w:t>
      </w:r>
      <w:r>
        <w:rPr>
          <w:i/>
        </w:rPr>
        <w:t>EGFR</w:t>
      </w:r>
      <w:r>
        <w:t xml:space="preserve"> T790M were also hit. This is a good example of a filter that looks safe and quietly deletes the answer.</w:t>
      </w:r>
    </w:p>
    <w:p>
      <w:pPr>
        <w:pStyle w:val="Heading2"/>
      </w:pPr>
      <w:r>
        <w:t>6.2  Gene fusions (added 22 October)</w:t>
      </w:r>
    </w:p>
    <w:p>
      <w:r>
        <w:t xml:space="preserve">A </w:t>
      </w:r>
      <w:r>
        <w:rPr>
          <w:b/>
        </w:rPr>
        <w:t>gene fusion</w:t>
      </w:r>
      <w:r>
        <w:t xml:space="preserve"> joins part of one gene to part of another through a chromosomal rearrangement. Some fusions switch on a kinase permanently and are the main driver of the tumour: </w:t>
      </w:r>
      <w:r>
        <w:rPr>
          <w:i/>
        </w:rPr>
        <w:t>ALK</w:t>
      </w:r>
      <w:r>
        <w:t xml:space="preserve">, </w:t>
      </w:r>
      <w:r>
        <w:rPr>
          <w:i/>
        </w:rPr>
        <w:t>ROS1</w:t>
      </w:r>
      <w:r>
        <w:t xml:space="preserve"> and </w:t>
      </w:r>
      <w:r>
        <w:rPr>
          <w:i/>
        </w:rPr>
        <w:t>RET</w:t>
      </w:r>
      <w:r>
        <w:t xml:space="preserve"> fusions in lung cancer are treated with targeted drugs. The raw file lists 56,356 structural variants, but many are not driver fusions (deletions, one-sided calls, antisense events that make no working protein), so only the curated driver list is kept.</w:t>
      </w:r>
    </w:p>
    <w:tbl>
      <w:tblPr>
        <w:tblW w:type="auto" w:w="0"/>
        <w:jc w:val="center"/>
        <w:tblLook w:firstColumn="1" w:firstRow="1" w:lastColumn="0" w:lastRow="0" w:noHBand="0" w:noVBand="1" w:val="04A0"/>
        <w:tblLayout w:type="fixed"/>
      </w:tblPr>
      <w:tblGrid>
        <w:gridCol w:w="9639"/>
      </w:tblGrid>
      <w:tr>
        <w:trPr>
          <w:cantSplit w:val="true"/>
        </w:trPr>
        <w:tc>
          <w:tcPr>
            <w:tcW w:type="dxa" w:w="9638"/>
            <w:shd w:val="clear" w:color="auto" w:fill="E8EEF4"/>
            <w:tcMar>
              <w:top w:w="110" w:type="dxa"/>
              <w:left w:w="200" w:type="dxa"/>
              <w:bottom w:w="110" w:type="dxa"/>
              <w:right w:w="160" w:type="dxa"/>
            </w:tcMar>
            <w:tcBorders>
              <w:top w:val="nil" w:sz="0" w:color="FFFFFF"/>
              <w:left w:val="single" w:sz="24" w:color="1F3A5F"/>
              <w:bottom w:val="nil" w:sz="0" w:color="FFFFFF"/>
              <w:right w:val="nil" w:sz="0" w:color="FFFFFF"/>
            </w:tcBorders>
          </w:tcPr>
          <w:p>
            <w:pPr>
              <w:spacing w:after="40"/>
            </w:pPr>
            <w:r>
              <w:rPr>
                <w:b/>
                <w:color w:val="1F3A5F"/>
                <w:sz w:val="21"/>
              </w:rPr>
              <w:t>What fusions changed</w:t>
            </w:r>
          </w:p>
          <w:p>
            <w:pPr>
              <w:spacing w:after="60"/>
            </w:pPr>
            <w:r>
              <w:rPr>
                <w:sz w:val="20"/>
              </w:rPr>
              <w:t xml:space="preserve">985 lung cancer patients with </w:t>
            </w:r>
            <w:r>
              <w:rPr>
                <w:i/>
                <w:sz w:val="20"/>
              </w:rPr>
              <w:t>ALK</w:t>
            </w:r>
            <w:r>
              <w:rPr>
                <w:sz w:val="20"/>
              </w:rPr>
              <w:t xml:space="preserve">, </w:t>
            </w:r>
            <w:r>
              <w:rPr>
                <w:i/>
                <w:sz w:val="20"/>
              </w:rPr>
              <w:t>ROS1</w:t>
            </w:r>
            <w:r>
              <w:rPr>
                <w:sz w:val="20"/>
              </w:rPr>
              <w:t xml:space="preserve"> or </w:t>
            </w:r>
            <w:r>
              <w:rPr>
                <w:i/>
                <w:sz w:val="20"/>
              </w:rPr>
              <w:t>RET</w:t>
            </w:r>
            <w:r>
              <w:rPr>
                <w:sz w:val="20"/>
              </w:rPr>
              <w:t xml:space="preserve"> fusions (9,619 driver fusions overall) were invisible before, and clinically this is one of the most common questions. Testing is read from the data as for the other types: 35 panels actually release fusions (218,130 samples are fusion-tested), 9 panels claim fusion detection but release none, and 3 release fusions without claiming to.</w:t>
            </w:r>
          </w:p>
        </w:tc>
      </w:tr>
    </w:tbl>
    <w:p>
      <w:pPr>
        <w:spacing w:after="40"/>
      </w:pPr>
    </w:p>
    <w:p>
      <w:pPr>
        <w:pStyle w:val="Heading2"/>
      </w:pPr>
      <w:r>
        <w:t>6.3  Result</w:t>
      </w:r>
    </w:p>
    <w:tbl>
      <w:tblPr>
        <w:tblW w:type="auto" w:w="0"/>
        <w:jc w:val="center"/>
        <w:tblLayout w:type="fixed"/>
        <w:tblLook w:firstColumn="1" w:firstRow="1" w:lastColumn="0" w:lastRow="0" w:noHBand="0" w:noVBand="1" w:val="04A0"/>
        <w:tblLayout w:type="fixed"/>
      </w:tblPr>
      <w:tblGrid>
        <w:gridCol w:w="3402"/>
        <w:gridCol w:w="2835"/>
        <w:gridCol w:w="3402"/>
      </w:tblGrid>
      <w:tr>
        <w:trPr>
          <w:cantSplit w:val="true"/>
          <w:tblHeader w:val="true"/>
        </w:trPr>
        <w:tc>
          <w:tcPr>
            <w:tcW w:type="dxa" w:w="3402"/>
            <w:shd w:val="clear" w:color="auto" w:fill="1F3A5F"/>
            <w:tcMar>
              <w:top w:w="60" w:type="dxa"/>
              <w:left w:w="90" w:type="dxa"/>
              <w:bottom w:w="60" w:type="dxa"/>
              <w:right w:w="90" w:type="dxa"/>
            </w:tcMar>
          </w:tcPr>
          <w:p>
            <w:pPr>
              <w:spacing w:after="0"/>
            </w:pPr>
            <w:r>
              <w:rPr>
                <w:b/>
                <w:color w:val="FFFFFF"/>
                <w:sz w:val="18"/>
              </w:rPr>
              <w:t>Quantity</w:t>
            </w:r>
          </w:p>
        </w:tc>
        <w:tc>
          <w:tcPr>
            <w:tcW w:type="dxa" w:w="2835"/>
            <w:shd w:val="clear" w:color="auto" w:fill="1F3A5F"/>
            <w:tcMar>
              <w:top w:w="60" w:type="dxa"/>
              <w:left w:w="90" w:type="dxa"/>
              <w:bottom w:w="60" w:type="dxa"/>
              <w:right w:w="90" w:type="dxa"/>
            </w:tcMar>
          </w:tcPr>
          <w:p>
            <w:pPr>
              <w:spacing w:after="0"/>
            </w:pPr>
            <w:r>
              <w:rPr>
                <w:b/>
                <w:color w:val="FFFFFF"/>
                <w:sz w:val="18"/>
              </w:rPr>
              <w:t>Before</w:t>
            </w:r>
          </w:p>
        </w:tc>
        <w:tc>
          <w:tcPr>
            <w:tcW w:type="dxa" w:w="3402"/>
            <w:shd w:val="clear" w:color="auto" w:fill="1F3A5F"/>
            <w:tcMar>
              <w:top w:w="60" w:type="dxa"/>
              <w:left w:w="90" w:type="dxa"/>
              <w:bottom w:w="60" w:type="dxa"/>
              <w:right w:w="90" w:type="dxa"/>
            </w:tcMar>
          </w:tcPr>
          <w:p>
            <w:pPr>
              <w:spacing w:after="0"/>
            </w:pPr>
            <w:r>
              <w:rPr>
                <w:b/>
                <w:color w:val="FFFFFF"/>
                <w:sz w:val="18"/>
              </w:rPr>
              <w:t>After</w:t>
            </w:r>
          </w:p>
        </w:tc>
      </w:tr>
      <w:tr>
        <w:trPr>
          <w:cantSplit w:val="true"/>
        </w:trPr>
        <w:tc>
          <w:tcPr>
            <w:tcW w:type="dxa" w:w="3402"/>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Patients</w:t>
            </w:r>
          </w:p>
        </w:tc>
        <w:tc>
          <w:tcPr>
            <w:tcW w:type="dxa" w:w="283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271,837 samples</w:t>
            </w:r>
          </w:p>
        </w:tc>
        <w:tc>
          <w:tcPr>
            <w:tcW w:type="dxa" w:w="3402"/>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227,696 (one per patient)</w:t>
            </w:r>
          </w:p>
        </w:tc>
      </w:tr>
      <w:tr>
        <w:trPr>
          <w:cantSplit w:val="true"/>
        </w:trPr>
        <w:tc>
          <w:tcPr>
            <w:tcW w:type="dxa" w:w="3402"/>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Mutations</w:t>
            </w:r>
          </w:p>
        </w:tc>
        <w:tc>
          <w:tcPr>
            <w:tcW w:type="dxa" w:w="283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3,458,550</w:t>
            </w:r>
          </w:p>
        </w:tc>
        <w:tc>
          <w:tcPr>
            <w:tcW w:type="dxa" w:w="3402"/>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1,644,226 likely-harmful</w:t>
            </w:r>
          </w:p>
        </w:tc>
      </w:tr>
      <w:tr>
        <w:trPr>
          <w:cantSplit w:val="true"/>
        </w:trPr>
        <w:tc>
          <w:tcPr>
            <w:tcW w:type="dxa" w:w="3402"/>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Structural variants</w:t>
            </w:r>
          </w:p>
        </w:tc>
        <w:tc>
          <w:tcPr>
            <w:tcW w:type="dxa" w:w="283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56,356</w:t>
            </w:r>
          </w:p>
        </w:tc>
        <w:tc>
          <w:tcPr>
            <w:tcW w:type="dxa" w:w="3402"/>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9,619 driver-fusion calls</w:t>
            </w:r>
          </w:p>
        </w:tc>
      </w:tr>
      <w:tr>
        <w:trPr>
          <w:cantSplit w:val="true"/>
        </w:trPr>
        <w:tc>
          <w:tcPr>
            <w:tcW w:type="dxa" w:w="3402"/>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Deep copy-number calls</w:t>
            </w:r>
          </w:p>
        </w:tc>
        <w:tc>
          <w:tcPr>
            <w:tcW w:type="dxa" w:w="283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377,216</w:t>
            </w:r>
          </w:p>
        </w:tc>
        <w:tc>
          <w:tcPr>
            <w:tcW w:type="dxa" w:w="3402"/>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291,962 direction-consistent</w:t>
            </w:r>
          </w:p>
        </w:tc>
      </w:tr>
      <w:tr>
        <w:trPr>
          <w:cantSplit w:val="true"/>
        </w:trPr>
        <w:tc>
          <w:tcPr>
            <w:tcW w:type="dxa" w:w="3402"/>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Samples with copy-number data</w:t>
            </w:r>
          </w:p>
        </w:tc>
        <w:tc>
          <w:tcPr>
            <w:tcW w:type="dxa" w:w="283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w:t>
            </w:r>
          </w:p>
        </w:tc>
        <w:tc>
          <w:tcPr>
            <w:tcW w:type="dxa" w:w="3402"/>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172,874 (63.6%)</w:t>
            </w:r>
          </w:p>
        </w:tc>
      </w:tr>
      <w:tr>
        <w:trPr>
          <w:cantSplit w:val="true"/>
        </w:trPr>
        <w:tc>
          <w:tcPr>
            <w:tcW w:type="dxa" w:w="3402"/>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Combined alteration table</w:t>
            </w:r>
          </w:p>
        </w:tc>
        <w:tc>
          <w:tcPr>
            <w:tcW w:type="dxa" w:w="283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w:t>
            </w:r>
          </w:p>
        </w:tc>
        <w:tc>
          <w:tcPr>
            <w:tcW w:type="dxa" w:w="3402"/>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1,945,807 rows, 232,386 samples</w:t>
            </w:r>
          </w:p>
        </w:tc>
      </w:tr>
    </w:tbl>
    <w:p>
      <w:pPr>
        <w:spacing w:after="40"/>
      </w:pPr>
    </w:p>
    <w:p>
      <w:pPr>
        <w:pStyle w:val="Heading2"/>
      </w:pPr>
      <w:r>
        <w:t>6.4  Compared with the literature</w:t>
      </w:r>
    </w:p>
    <w:p>
      <w:r>
        <w:t xml:space="preserve">TCGA-based methods (DISCOVER, SELECT, WeSME) work on whole-exome data where every gene is tested, so they never face this problem. Most GENIE disease papers use cBioPortal counts that ignore it. </w:t>
      </w:r>
      <w:r>
        <w:rPr>
          <w:b/>
        </w:rPr>
        <w:t>Tracking testing per patient across mutations, copy number and fusions is the most distinctive element of the project.</w:t>
      </w:r>
    </w:p>
    <w:tbl>
      <w:tblPr>
        <w:tblW w:type="auto" w:w="0"/>
        <w:jc w:val="center"/>
        <w:tblLook w:firstColumn="1" w:firstRow="1" w:lastColumn="0" w:lastRow="0" w:noHBand="0" w:noVBand="1" w:val="04A0"/>
        <w:tblLayout w:type="fixed"/>
      </w:tblPr>
      <w:tblGrid>
        <w:gridCol w:w="9639"/>
      </w:tblGrid>
      <w:tr>
        <w:trPr>
          <w:cantSplit w:val="true"/>
        </w:trPr>
        <w:tc>
          <w:tcPr>
            <w:tcW w:type="dxa" w:w="9638"/>
            <w:shd w:val="clear" w:color="auto" w:fill="E8EEF4"/>
            <w:tcMar>
              <w:top w:w="110" w:type="dxa"/>
              <w:left w:w="200" w:type="dxa"/>
              <w:bottom w:w="110" w:type="dxa"/>
              <w:right w:w="160" w:type="dxa"/>
            </w:tcMar>
            <w:tcBorders>
              <w:top w:val="nil" w:sz="0" w:color="FFFFFF"/>
              <w:left w:val="single" w:sz="24" w:color="1F3A5F"/>
              <w:bottom w:val="nil" w:sz="0" w:color="FFFFFF"/>
              <w:right w:val="nil" w:sz="0" w:color="FFFFFF"/>
            </w:tcBorders>
          </w:tcPr>
          <w:p>
            <w:pPr>
              <w:spacing w:after="40"/>
            </w:pPr>
            <w:r>
              <w:rPr>
                <w:b/>
                <w:color w:val="1F3A5F"/>
                <w:sz w:val="21"/>
              </w:rPr>
              <w:t>Questions worth asking at this point</w:t>
            </w:r>
          </w:p>
          <w:p>
            <w:pPr>
              <w:spacing w:after="60"/>
            </w:pPr>
            <w:r>
              <w:rPr>
                <w:sz w:val="20"/>
              </w:rPr>
              <w:t>•  Why keep only deep copy-number calls, given that a one-copy loss of a tumour suppressor can matter? (See the two-hit feature, step 6.)</w:t>
            </w:r>
          </w:p>
          <w:p>
            <w:pPr>
              <w:spacing w:after="60"/>
            </w:pPr>
            <w:r>
              <w:rPr>
                <w:sz w:val="20"/>
              </w:rPr>
              <w:t>•  Why does Phase 1 not pick genes? (So every analysis filter lives in one place, the Phase 2 settings cell.)</w:t>
            </w:r>
          </w:p>
        </w:tc>
      </w:tr>
    </w:tbl>
    <w:p>
      <w:pPr>
        <w:spacing w:after="40"/>
      </w:pPr>
    </w:p>
    <w:p>
      <w:pPr>
        <w:spacing w:before="120"/>
      </w:pPr>
      <w:r>
        <w:rPr>
          <w:i/>
          <w:color w:val="555B66"/>
          <w:sz w:val="17"/>
        </w:rPr>
        <w:t>Source files for this part:</w:t>
      </w:r>
      <w:r>
        <w:rPr>
          <w:color w:val="555B66"/>
          <w:sz w:val="17"/>
        </w:rPr>
        <w:t xml:space="preserve"> notebooks/01_phase1_preprocessing.ipynb, README.md (Phase 1), docs/supervisor_summary.md.</w:t>
      </w:r>
    </w:p>
    <w:p>
      <w:r>
        <w:br w:type="page"/>
      </w:r>
    </w:p>
    <w:p>
      <w:pPr>
        <w:spacing w:after="0"/>
      </w:pPr>
      <w:r>
        <w:rPr>
          <w:b/>
          <w:color w:val="2A7F8E"/>
          <w:sz w:val="20"/>
        </w:rPr>
        <w:t>PART 7</w:t>
      </w:r>
    </w:p>
    <w:p>
      <w:pPr>
        <w:pStyle w:val="Heading1"/>
      </w:pPr>
      <w:r>
        <w:t>Phase 2: testing gene pairs</w:t>
      </w:r>
    </w:p>
    <w:p>
      <w:pPr>
        <w:spacing w:after="200"/>
      </w:pPr>
      <w:r>
        <w:rPr>
          <w:color w:val="555B66"/>
          <w:sz w:val="23"/>
        </w:rPr>
        <w:t>The statistical core. For each cancer type, which pairs of genes go together more or less than chance, once chance is modelled honestly?</w:t>
      </w:r>
    </w:p>
    <w:p>
      <w:r>
        <w:rPr>
          <w:b/>
        </w:rPr>
        <w:t>Notebook:</w:t>
      </w:r>
      <w:r>
        <w:t xml:space="preserve"> </w:t>
      </w:r>
      <w:r>
        <w:rPr>
          <w:rFonts w:ascii="Menlo" w:hAnsi="Menlo" w:eastAsia="Menlo"/>
          <w:sz w:val="18"/>
        </w:rPr>
        <w:t>notebooks/02_phase2_comutation_matrix.ipynb</w:t>
      </w:r>
      <w:r>
        <w:t xml:space="preserve">   </w:t>
      </w:r>
      <w:r>
        <w:rPr>
          <w:b/>
        </w:rPr>
        <w:t>Output:</w:t>
      </w:r>
      <w:r>
        <w:t xml:space="preserve"> </w:t>
      </w:r>
      <w:r>
        <w:rPr>
          <w:rFonts w:ascii="Menlo" w:hAnsi="Menlo" w:eastAsia="Menlo"/>
          <w:sz w:val="18"/>
        </w:rPr>
        <w:t>comutation_pairs.parquet</w:t>
      </w:r>
      <w:r>
        <w:t xml:space="preserve"> and companions</w:t>
      </w:r>
    </w:p>
    <w:p>
      <w:pPr>
        <w:pStyle w:val="Heading2"/>
      </w:pPr>
      <w:r>
        <w:t>7.1  The problem with the usual test</w:t>
      </w:r>
    </w:p>
    <w:p>
      <w:r>
        <w:t xml:space="preserve">The standard approach is Fisher's exact test (what cBioPortal uses). It assumes every patient has the same chance of carrying any alteration. In reality a few tumours carry most alterations, so almost every pair looks like it co-occurs. In the first version of this project Fisher's test called </w:t>
      </w:r>
      <w:r>
        <w:rPr>
          <w:b/>
        </w:rPr>
        <w:t>72.3% of pairs significant</w:t>
      </w:r>
      <w:r>
        <w:t>. Prof. Wong's reaction, “half being significant sounds quite high”, was exactly right about the method.</w:t>
      </w:r>
    </w:p>
    <w:p>
      <w:pPr>
        <w:pStyle w:val="Heading2"/>
      </w:pPr>
      <w:r>
        <w:t>7.2  The test we use, in plain terms</w:t>
      </w:r>
    </w:p>
    <w:tbl>
      <w:tblPr>
        <w:tblW w:type="auto" w:w="0"/>
        <w:jc w:val="center"/>
        <w:tblLook w:firstColumn="1" w:firstRow="1" w:lastColumn="0" w:lastRow="0" w:noHBand="0" w:noVBand="1" w:val="04A0"/>
        <w:tblLayout w:type="fixed"/>
      </w:tblPr>
      <w:tblGrid>
        <w:gridCol w:w="9639"/>
      </w:tblGrid>
      <w:tr>
        <w:trPr>
          <w:cantSplit w:val="true"/>
        </w:trPr>
        <w:tc>
          <w:tcPr>
            <w:tcW w:type="dxa" w:w="9638"/>
            <w:shd w:val="clear" w:color="auto" w:fill="EAF3F5"/>
            <w:tcMar>
              <w:top w:w="110" w:type="dxa"/>
              <w:left w:w="200" w:type="dxa"/>
              <w:bottom w:w="110" w:type="dxa"/>
              <w:right w:w="160" w:type="dxa"/>
            </w:tcMar>
            <w:tcBorders>
              <w:top w:val="nil" w:sz="0" w:color="FFFFFF"/>
              <w:left w:val="single" w:sz="24" w:color="2A7F8E"/>
              <w:bottom w:val="nil" w:sz="0" w:color="FFFFFF"/>
              <w:right w:val="nil" w:sz="0" w:color="FFFFFF"/>
            </w:tcBorders>
          </w:tcPr>
          <w:p>
            <w:pPr>
              <w:spacing w:after="40"/>
            </w:pPr>
            <w:r>
              <w:rPr>
                <w:b/>
                <w:color w:val="2A7F8E"/>
                <w:sz w:val="21"/>
              </w:rPr>
              <w:t>Intuition: compare each patient with their own baseline</w:t>
            </w:r>
          </w:p>
          <w:p>
            <w:pPr>
              <w:spacing w:after="60"/>
            </w:pPr>
            <w:r>
              <w:rPr>
                <w:sz w:val="20"/>
              </w:rPr>
              <w:t xml:space="preserve">A tumour with 30 alterations will carry almost any pair of genes by chance; a tumour with 2 will not. So for each patient we ask: </w:t>
            </w:r>
            <w:r>
              <w:rPr>
                <w:i/>
                <w:sz w:val="20"/>
              </w:rPr>
              <w:t>given how many alterations this patient has, how likely is it that these two genes are both among them?</w:t>
            </w:r>
            <w:r>
              <w:rPr>
                <w:sz w:val="20"/>
              </w:rPr>
              <w:t xml:space="preserve"> Summing that over all patients gives the number of co-altered patients we should </w:t>
            </w:r>
            <w:r>
              <w:rPr>
                <w:b/>
                <w:sz w:val="20"/>
              </w:rPr>
              <w:t>expect</w:t>
            </w:r>
            <w:r>
              <w:rPr>
                <w:sz w:val="20"/>
              </w:rPr>
              <w:t xml:space="preserve"> by chance, with an exact probability distribution. We compare it with the number actually </w:t>
            </w:r>
            <w:r>
              <w:rPr>
                <w:b/>
                <w:sz w:val="20"/>
              </w:rPr>
              <w:t>observed</w:t>
            </w:r>
            <w:r>
              <w:rPr>
                <w:sz w:val="20"/>
              </w:rPr>
              <w:t>.</w:t>
            </w:r>
          </w:p>
        </w:tc>
      </w:tr>
    </w:tbl>
    <w:p>
      <w:pPr>
        <w:spacing w:after="40"/>
      </w:pPr>
    </w:p>
    <w:p>
      <w:pPr>
        <w:pStyle w:val="ListBullet"/>
        <w:spacing w:after="60"/>
      </w:pPr>
      <w:r>
        <w:t xml:space="preserve">This is a </w:t>
      </w:r>
      <w:r>
        <w:rPr>
          <w:b/>
        </w:rPr>
        <w:t>conditional (Rasch-type) test</w:t>
      </w:r>
      <w:r>
        <w:t xml:space="preserve"> with an exact Poisson-Binomial tail, followed by Benjamini-Hochberg false-discovery correction within each cancer type.</w:t>
      </w:r>
    </w:p>
    <w:p>
      <w:pPr>
        <w:pStyle w:val="ListBullet"/>
        <w:spacing w:after="60"/>
      </w:pPr>
      <w:r>
        <w:t>It is the exact version of the permutation idea behind WeSME: reshuffle the data while keeping every patient's and every gene's totals fixed.</w:t>
      </w:r>
    </w:p>
    <w:p>
      <w:pPr>
        <w:pStyle w:val="ListBullet"/>
        <w:spacing w:after="60"/>
      </w:pPr>
      <w:r>
        <w:t>DISCOVER-style methods estimate each patient's rate from their own few alterations, which pushes results toward “exclusive” on panel-sized gene sets.</w:t>
      </w:r>
    </w:p>
    <w:p>
      <w:pPr>
        <w:pStyle w:val="Heading3"/>
      </w:pPr>
      <w:r>
        <w:t>Does the test tell the truth?</w:t>
      </w:r>
    </w:p>
    <w:p>
      <w:r>
        <w:t xml:space="preserve">We checked on simulated data containing </w:t>
      </w:r>
      <w:r>
        <w:rPr>
          <w:b/>
        </w:rPr>
        <w:t>no</w:t>
      </w:r>
      <w:r>
        <w:t xml:space="preserve"> real interactions, where about 5% of pairs should reach p &lt; 0.05 by luck.</w:t>
      </w:r>
    </w:p>
    <w:p>
      <w:pPr>
        <w:keepNext/>
        <w:jc w:val="center"/>
      </w:pPr>
      <w:r>
        <w:drawing>
          <wp:inline xmlns:a="http://schemas.openxmlformats.org/drawingml/2006/main" xmlns:pic="http://schemas.openxmlformats.org/drawingml/2006/picture">
            <wp:extent cx="4140000" cy="2515488"/>
            <wp:docPr id="1" name="Picture 1"/>
            <wp:cNvGraphicFramePr>
              <a:graphicFrameLocks noChangeAspect="1"/>
            </wp:cNvGraphicFramePr>
            <a:graphic>
              <a:graphicData uri="http://schemas.openxmlformats.org/drawingml/2006/picture">
                <pic:pic>
                  <pic:nvPicPr>
                    <pic:cNvPr id="0" name="fig3_calibration.png"/>
                    <pic:cNvPicPr/>
                  </pic:nvPicPr>
                  <pic:blipFill>
                    <a:blip r:embed="rId11"/>
                    <a:stretch>
                      <a:fillRect/>
                    </a:stretch>
                  </pic:blipFill>
                  <pic:spPr>
                    <a:xfrm>
                      <a:off x="0" y="0"/>
                      <a:ext cx="4140000" cy="2515488"/>
                    </a:xfrm>
                    <a:prstGeom prst="rect"/>
                  </pic:spPr>
                </pic:pic>
              </a:graphicData>
            </a:graphic>
          </wp:inline>
        </w:drawing>
      </w:r>
    </w:p>
    <w:p>
      <w:pPr>
        <w:jc w:val="center"/>
      </w:pPr>
      <w:r>
        <w:rPr>
          <w:color w:val="555B66"/>
          <w:sz w:val="18"/>
        </w:rPr>
        <w:t>Figure 1. False positives on simulated null data (MSK-IMPACT468 benchmark). The conditional test is the only one near the 5% target; it also recovers 5 of 5 planted interactions.</w:t>
      </w:r>
    </w:p>
    <w:p>
      <w:r>
        <w:t>The same ranking holds in a head-to-head comparison of every method family on real patients (Part 10.4). Its probability calculation matches Rediscover's on 990 of 990 benchmark pairs and 60-digit arithmetic to about 1e-12, so the difference between the tests is statistical, not a coding quirk. On real non-hypermutated patients with links destroyed, Fisher still calls 6-15% of pairs significant at p &lt; 0.05, against 1.3-2.9% for the conditional test.</w:t>
      </w:r>
    </w:p>
    <w:p>
      <w:pPr>
        <w:pStyle w:val="Heading2"/>
      </w:pPr>
      <w:r>
        <w:t>7.3  The design: four filters and five corrections</w:t>
      </w:r>
    </w:p>
    <w:tbl>
      <w:tblPr>
        <w:tblW w:type="auto" w:w="0"/>
        <w:jc w:val="center"/>
        <w:tblLayout w:type="fixed"/>
        <w:tblLook w:firstColumn="1" w:firstRow="1" w:lastColumn="0" w:lastRow="0" w:noHBand="0" w:noVBand="1" w:val="04A0"/>
        <w:tblLayout w:type="fixed"/>
      </w:tblPr>
      <w:tblGrid>
        <w:gridCol w:w="1701"/>
        <w:gridCol w:w="4536"/>
        <w:gridCol w:w="3402"/>
      </w:tblGrid>
      <w:tr>
        <w:trPr>
          <w:cantSplit w:val="true"/>
          <w:tblHeader w:val="true"/>
        </w:trPr>
        <w:tc>
          <w:tcPr>
            <w:tcW w:type="dxa" w:w="1701"/>
            <w:shd w:val="clear" w:color="auto" w:fill="1F3A5F"/>
            <w:tcMar>
              <w:top w:w="60" w:type="dxa"/>
              <w:left w:w="90" w:type="dxa"/>
              <w:bottom w:w="60" w:type="dxa"/>
              <w:right w:w="90" w:type="dxa"/>
            </w:tcMar>
          </w:tcPr>
          <w:p>
            <w:pPr>
              <w:spacing w:after="0"/>
            </w:pPr>
            <w:r>
              <w:rPr>
                <w:b/>
                <w:color w:val="FFFFFF"/>
                <w:sz w:val="17"/>
              </w:rPr>
              <w:t>Step</w:t>
            </w:r>
          </w:p>
        </w:tc>
        <w:tc>
          <w:tcPr>
            <w:tcW w:type="dxa" w:w="4535"/>
            <w:shd w:val="clear" w:color="auto" w:fill="1F3A5F"/>
            <w:tcMar>
              <w:top w:w="60" w:type="dxa"/>
              <w:left w:w="90" w:type="dxa"/>
              <w:bottom w:w="60" w:type="dxa"/>
              <w:right w:w="90" w:type="dxa"/>
            </w:tcMar>
          </w:tcPr>
          <w:p>
            <w:pPr>
              <w:spacing w:after="0"/>
            </w:pPr>
            <w:r>
              <w:rPr>
                <w:b/>
                <w:color w:val="FFFFFF"/>
                <w:sz w:val="17"/>
              </w:rPr>
              <w:t>What</w:t>
            </w:r>
          </w:p>
        </w:tc>
        <w:tc>
          <w:tcPr>
            <w:tcW w:type="dxa" w:w="3402"/>
            <w:shd w:val="clear" w:color="auto" w:fill="1F3A5F"/>
            <w:tcMar>
              <w:top w:w="60" w:type="dxa"/>
              <w:left w:w="90" w:type="dxa"/>
              <w:bottom w:w="60" w:type="dxa"/>
              <w:right w:w="90" w:type="dxa"/>
            </w:tcMar>
          </w:tcPr>
          <w:p>
            <w:pPr>
              <w:spacing w:after="0"/>
            </w:pPr>
            <w:r>
              <w:rPr>
                <w:b/>
                <w:color w:val="FFFFFF"/>
                <w:sz w:val="17"/>
              </w:rPr>
              <w:t>Why</w:t>
            </w:r>
          </w:p>
        </w:tc>
      </w:tr>
      <w:tr>
        <w:trPr>
          <w:cantSplit w:val="true"/>
        </w:trPr>
        <w:tc>
          <w:tcPr>
            <w:tcW w:type="dxa" w:w="170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7"/>
              </w:rPr>
              <w:t>0. Who</w:t>
            </w:r>
          </w:p>
        </w:tc>
        <w:tc>
          <w:tcPr>
            <w:tcW w:type="dxa" w:w="453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Non-hypermutated patients (TMB &lt; 10 on a panel ≥1 Mb): 159,390 patients. Hypermutated patients are analysed separately</w:t>
            </w:r>
          </w:p>
        </w:tc>
        <w:tc>
          <w:tcPr>
            <w:tcW w:type="dxa" w:w="3402"/>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Prof. Wong's suggestion; replication across centres rose from 44% to 66%</w:t>
            </w:r>
          </w:p>
        </w:tc>
      </w:tr>
      <w:tr>
        <w:trPr>
          <w:cantSplit w:val="true"/>
        </w:trPr>
        <w:tc>
          <w:tcPr>
            <w:tcW w:type="dxa" w:w="170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Filter 1</w:t>
            </w:r>
          </w:p>
        </w:tc>
        <w:tc>
          <w:tcPr>
            <w:tcW w:type="dxa" w:w="453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 xml:space="preserve">Cancer types with ≥100 patients having both mutation and copy-number data → </w:t>
            </w:r>
            <w:r>
              <w:rPr>
                <w:b/>
                <w:sz w:val="17"/>
              </w:rPr>
              <w:t>51 types, 112,779 patients</w:t>
            </w:r>
          </w:p>
        </w:tc>
        <w:tc>
          <w:tcPr>
            <w:tcW w:type="dxa" w:w="3402"/>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 xml:space="preserve">“Altered” means mutation </w:t>
            </w:r>
            <w:r>
              <w:rPr>
                <w:i/>
                <w:sz w:val="17"/>
              </w:rPr>
              <w:t>or</w:t>
            </w:r>
            <w:r>
              <w:rPr>
                <w:sz w:val="17"/>
              </w:rPr>
              <w:t xml:space="preserve"> copy number, so “not altered” must be checkable for both</w:t>
            </w:r>
          </w:p>
        </w:tc>
      </w:tr>
      <w:tr>
        <w:trPr>
          <w:cantSplit w:val="true"/>
        </w:trPr>
        <w:tc>
          <w:tcPr>
            <w:tcW w:type="dxa" w:w="170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7"/>
              </w:rPr>
              <w:t>Filter 2</w:t>
            </w:r>
          </w:p>
        </w:tc>
        <w:tc>
          <w:tcPr>
            <w:tcW w:type="dxa" w:w="453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Genes altered in ≥3% (and ≥5) of that type's patients</w:t>
            </w:r>
          </w:p>
        </w:tc>
        <w:tc>
          <w:tcPr>
            <w:tcW w:type="dxa" w:w="3402"/>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Enough signal; counted over all patients so the gene must also be widely tested</w:t>
            </w:r>
          </w:p>
        </w:tc>
      </w:tr>
      <w:tr>
        <w:trPr>
          <w:cantSplit w:val="true"/>
        </w:trPr>
        <w:tc>
          <w:tcPr>
            <w:tcW w:type="dxa" w:w="170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Filter 3</w:t>
            </w:r>
          </w:p>
        </w:tc>
        <w:tc>
          <w:tcPr>
            <w:tcW w:type="dxa" w:w="453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A pair is tested only if ≥50% of patients were tested for both genes</w:t>
            </w:r>
          </w:p>
        </w:tc>
        <w:tc>
          <w:tcPr>
            <w:tcW w:type="dxa" w:w="3402"/>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Removes pairs resting on one centre's panel; rarely binds</w:t>
            </w:r>
          </w:p>
        </w:tc>
      </w:tr>
      <w:tr>
        <w:trPr>
          <w:cantSplit w:val="true"/>
        </w:trPr>
        <w:tc>
          <w:tcPr>
            <w:tcW w:type="dxa" w:w="170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7"/>
              </w:rPr>
              <w:t>Filter 4</w:t>
            </w:r>
          </w:p>
        </w:tc>
        <w:tc>
          <w:tcPr>
            <w:tcW w:type="dxa" w:w="453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 xml:space="preserve">≥5 patients </w:t>
            </w:r>
            <w:r>
              <w:rPr>
                <w:i/>
                <w:sz w:val="17"/>
              </w:rPr>
              <w:t>expected</w:t>
            </w:r>
            <w:r>
              <w:rPr>
                <w:sz w:val="17"/>
              </w:rPr>
              <w:t xml:space="preserve"> to carry both, decided from gene frequencies before seeing the result</w:t>
            </w:r>
          </w:p>
        </w:tc>
        <w:tc>
          <w:tcPr>
            <w:tcW w:type="dxa" w:w="3402"/>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Enough statistical power</w:t>
            </w:r>
          </w:p>
        </w:tc>
      </w:tr>
      <w:tr>
        <w:trPr>
          <w:cantSplit w:val="true"/>
        </w:trPr>
        <w:tc>
          <w:tcPr>
            <w:tcW w:type="dxa" w:w="170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Subtypes</w:t>
            </w:r>
          </w:p>
        </w:tc>
        <w:tc>
          <w:tcPr>
            <w:tcW w:type="dxa" w:w="453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Gene rates fitted within each detailed subtype (≥50 patients)</w:t>
            </w:r>
          </w:p>
        </w:tc>
        <w:tc>
          <w:tcPr>
            <w:tcW w:type="dxa" w:w="3402"/>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 xml:space="preserve">Pooled subtypes create fake exclusivity: pancreatic </w:t>
            </w:r>
            <w:r>
              <w:rPr>
                <w:i/>
                <w:sz w:val="17"/>
              </w:rPr>
              <w:t>MEN1</w:t>
            </w:r>
            <w:r>
              <w:rPr>
                <w:sz w:val="17"/>
              </w:rPr>
              <w:t xml:space="preserve"> vs </w:t>
            </w:r>
            <w:r>
              <w:rPr>
                <w:i/>
                <w:sz w:val="17"/>
              </w:rPr>
              <w:t>SMAD4</w:t>
            </w:r>
            <w:r>
              <w:rPr>
                <w:sz w:val="17"/>
              </w:rPr>
              <w:t xml:space="preserve">, glioma </w:t>
            </w:r>
            <w:r>
              <w:rPr>
                <w:i/>
                <w:sz w:val="17"/>
              </w:rPr>
              <w:t>CIC</w:t>
            </w:r>
            <w:r>
              <w:rPr>
                <w:sz w:val="17"/>
              </w:rPr>
              <w:t xml:space="preserve"> vs </w:t>
            </w:r>
            <w:r>
              <w:rPr>
                <w:i/>
                <w:sz w:val="17"/>
              </w:rPr>
              <w:t>PTEN</w:t>
            </w:r>
            <w:r>
              <w:rPr>
                <w:sz w:val="17"/>
              </w:rPr>
              <w:t xml:space="preserve">, breast </w:t>
            </w:r>
            <w:r>
              <w:rPr>
                <w:i/>
                <w:sz w:val="17"/>
              </w:rPr>
              <w:t>CDH1</w:t>
            </w:r>
            <w:r>
              <w:rPr>
                <w:sz w:val="17"/>
              </w:rPr>
              <w:t xml:space="preserve"> vs </w:t>
            </w:r>
            <w:r>
              <w:rPr>
                <w:i/>
                <w:sz w:val="17"/>
              </w:rPr>
              <w:t>ERBB2</w:t>
            </w:r>
          </w:p>
        </w:tc>
      </w:tr>
      <w:tr>
        <w:trPr>
          <w:cantSplit w:val="true"/>
        </w:trPr>
        <w:tc>
          <w:tcPr>
            <w:tcW w:type="dxa" w:w="170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7"/>
              </w:rPr>
              <w:t>One-DNA-event check</w:t>
            </w:r>
          </w:p>
        </w:tc>
        <w:tc>
          <w:tcPr>
            <w:tcW w:type="dxa" w:w="453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Remove pairs where one copy-number event hit both genes; neighbours (≤10 Mb) removed only when copy number drives the pair</w:t>
            </w:r>
          </w:p>
        </w:tc>
        <w:tc>
          <w:tcPr>
            <w:tcW w:type="dxa" w:w="3402"/>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 xml:space="preserve">Two point mutations are two separate events (Prof. Wong), so </w:t>
            </w:r>
            <w:r>
              <w:rPr>
                <w:i/>
                <w:sz w:val="17"/>
              </w:rPr>
              <w:t>KEAP1</w:t>
            </w:r>
            <w:r>
              <w:rPr>
                <w:sz w:val="17"/>
              </w:rPr>
              <w:t>/</w:t>
            </w:r>
            <w:r>
              <w:rPr>
                <w:i/>
                <w:sz w:val="17"/>
              </w:rPr>
              <w:t>STK11</w:t>
            </w:r>
            <w:r>
              <w:rPr>
                <w:sz w:val="17"/>
              </w:rPr>
              <w:t xml:space="preserve"> (lung) and </w:t>
            </w:r>
            <w:r>
              <w:rPr>
                <w:i/>
                <w:sz w:val="17"/>
              </w:rPr>
              <w:t>PBRM1</w:t>
            </w:r>
            <w:r>
              <w:rPr>
                <w:sz w:val="17"/>
              </w:rPr>
              <w:t>/</w:t>
            </w:r>
            <w:r>
              <w:rPr>
                <w:i/>
                <w:sz w:val="17"/>
              </w:rPr>
              <w:t>SETD2</w:t>
            </w:r>
            <w:r>
              <w:rPr>
                <w:sz w:val="17"/>
              </w:rPr>
              <w:t xml:space="preserve"> (kidney) stay</w:t>
            </w:r>
          </w:p>
        </w:tc>
      </w:tr>
      <w:tr>
        <w:trPr>
          <w:cantSplit w:val="true"/>
        </w:trPr>
        <w:tc>
          <w:tcPr>
            <w:tcW w:type="dxa" w:w="170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Weak-effect flag</w:t>
            </w:r>
          </w:p>
        </w:tc>
        <w:tc>
          <w:tcPr>
            <w:tcW w:type="dxa" w:w="453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Mark pairs within 1.5-fold of chance</w:t>
            </w:r>
          </w:p>
        </w:tc>
        <w:tc>
          <w:tcPr>
            <w:tcW w:type="dxa" w:w="3402"/>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With 10,000+ patients, tiny effects are significant (350 of 1,584)</w:t>
            </w:r>
          </w:p>
        </w:tc>
      </w:tr>
      <w:tr>
        <w:trPr>
          <w:cantSplit w:val="true"/>
        </w:trPr>
        <w:tc>
          <w:tcPr>
            <w:tcW w:type="dxa" w:w="170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7"/>
              </w:rPr>
              <w:t>Burden sensitivity flag</w:t>
            </w:r>
          </w:p>
        </w:tc>
        <w:tc>
          <w:tcPr>
            <w:tcW w:type="dxa" w:w="453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 xml:space="preserve">Re-test each pair with gene rates fitted within groups of copy-number burden; </w:t>
            </w:r>
            <w:r>
              <w:rPr>
                <w:rFonts w:ascii="Menlo" w:hAnsi="Menlo" w:eastAsia="Menlo"/>
                <w:sz w:val="17"/>
              </w:rPr>
              <w:t>burden_robust</w:t>
            </w:r>
            <w:r>
              <w:rPr>
                <w:sz w:val="17"/>
              </w:rPr>
              <w:t xml:space="preserve"> = 1,276 of 1,584 candidates pass</w:t>
            </w:r>
          </w:p>
        </w:tc>
        <w:tc>
          <w:tcPr>
            <w:tcW w:type="dxa" w:w="3402"/>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 xml:space="preserve">Unstable genomes gain many genes at once (Kumar 2011; Zack 2013). Built into the main test it over-adjusts (loses </w:t>
            </w:r>
            <w:r>
              <w:rPr>
                <w:i/>
                <w:sz w:val="17"/>
              </w:rPr>
              <w:t>CCND1</w:t>
            </w:r>
            <w:r>
              <w:rPr>
                <w:sz w:val="17"/>
              </w:rPr>
              <w:t>/</w:t>
            </w:r>
            <w:r>
              <w:rPr>
                <w:i/>
                <w:sz w:val="17"/>
              </w:rPr>
              <w:t>FGFR1</w:t>
            </w:r>
            <w:r>
              <w:rPr>
                <w:sz w:val="17"/>
              </w:rPr>
              <w:t>), so it is a flag, not the default</w:t>
            </w:r>
          </w:p>
        </w:tc>
      </w:tr>
      <w:tr>
        <w:trPr>
          <w:cantSplit w:val="true"/>
        </w:trPr>
        <w:tc>
          <w:tcPr>
            <w:tcW w:type="dxa" w:w="170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Replication</w:t>
            </w:r>
          </w:p>
        </w:tc>
        <w:tc>
          <w:tcPr>
            <w:tcW w:type="dxa" w:w="453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Re-test every pair in MSK patients and in all other centres separately</w:t>
            </w:r>
          </w:p>
        </w:tc>
        <w:tc>
          <w:tcPr>
            <w:tcW w:type="dxa" w:w="3402"/>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A finding that holds in independent hospitals is far more credible</w:t>
            </w:r>
          </w:p>
        </w:tc>
      </w:tr>
    </w:tbl>
    <w:p>
      <w:pPr>
        <w:spacing w:after="40"/>
      </w:pPr>
    </w:p>
    <w:p>
      <w:pPr>
        <w:pStyle w:val="Heading2"/>
      </w:pPr>
      <w:r>
        <w:t>7.4  What it found</w:t>
      </w:r>
    </w:p>
    <w:p>
      <w:pPr>
        <w:keepNext/>
        <w:jc w:val="center"/>
      </w:pPr>
      <w:r>
        <w:drawing>
          <wp:inline xmlns:a="http://schemas.openxmlformats.org/drawingml/2006/main" xmlns:pic="http://schemas.openxmlformats.org/drawingml/2006/picture">
            <wp:extent cx="4500000" cy="1989717"/>
            <wp:docPr id="2" name="Picture 2"/>
            <wp:cNvGraphicFramePr>
              <a:graphicFrameLocks noChangeAspect="1"/>
            </wp:cNvGraphicFramePr>
            <a:graphic>
              <a:graphicData uri="http://schemas.openxmlformats.org/drawingml/2006/picture">
                <pic:pic>
                  <pic:nvPicPr>
                    <pic:cNvPr id="0" name="fig2_funnel.png"/>
                    <pic:cNvPicPr/>
                  </pic:nvPicPr>
                  <pic:blipFill>
                    <a:blip r:embed="rId12"/>
                    <a:stretch>
                      <a:fillRect/>
                    </a:stretch>
                  </pic:blipFill>
                  <pic:spPr>
                    <a:xfrm>
                      <a:off x="0" y="0"/>
                      <a:ext cx="4500000" cy="1989717"/>
                    </a:xfrm>
                    <a:prstGeom prst="rect"/>
                  </pic:spPr>
                </pic:pic>
              </a:graphicData>
            </a:graphic>
          </wp:inline>
        </w:drawing>
      </w:r>
    </w:p>
    <w:p>
      <w:pPr>
        <w:jc w:val="center"/>
      </w:pPr>
      <w:r>
        <w:rPr>
          <w:color w:val="555B66"/>
          <w:sz w:val="18"/>
        </w:rPr>
        <w:t>Figure 2. From pairs tested to replicated candidates. Of the 839 MSK hits testable in other centres, 65% replicate and none reverses direction.</w:t>
      </w:r>
    </w:p>
    <w:p>
      <w:pPr>
        <w:pStyle w:val="ListBullet"/>
        <w:spacing w:after="60"/>
      </w:pPr>
      <w:r>
        <w:rPr>
          <w:b/>
        </w:rPr>
        <w:t>1,824 of 6,697 pairs significant (27.2%)</w:t>
      </w:r>
      <w:r>
        <w:t>, down from 72.3%, on a smaller, driver-only pair list.</w:t>
      </w:r>
    </w:p>
    <w:p>
      <w:pPr>
        <w:pStyle w:val="ListBullet"/>
        <w:spacing w:after="60"/>
      </w:pPr>
      <w:r>
        <w:rPr>
          <w:b/>
        </w:rPr>
        <w:t>1,584 interaction candidates:</w:t>
      </w:r>
      <w:r>
        <w:t xml:space="preserve"> 426 co-occurring and 1,158 exclusive (350 flagged weak). The skew of almost 3:1 toward exclusivity matches the literature's view that exclusivity is the more reliable signal.</w:t>
      </w:r>
    </w:p>
    <w:p>
      <w:pPr>
        <w:pStyle w:val="ListBullet"/>
        <w:spacing w:after="60"/>
      </w:pPr>
      <w:r>
        <w:rPr>
          <w:b/>
        </w:rPr>
        <w:t>Known biology recovered:</w:t>
      </w:r>
      <w:r>
        <w:t xml:space="preserve"> </w:t>
      </w:r>
      <w:r>
        <w:rPr>
          <w:i/>
        </w:rPr>
        <w:t>KRAS</w:t>
      </w:r>
      <w:r>
        <w:t>/</w:t>
      </w:r>
      <w:r>
        <w:rPr>
          <w:i/>
        </w:rPr>
        <w:t>EGFR</w:t>
      </w:r>
      <w:r>
        <w:t xml:space="preserve">, </w:t>
      </w:r>
      <w:r>
        <w:rPr>
          <w:i/>
        </w:rPr>
        <w:t>KRAS</w:t>
      </w:r>
      <w:r>
        <w:t>/</w:t>
      </w:r>
      <w:r>
        <w:rPr>
          <w:i/>
        </w:rPr>
        <w:t>BRAF</w:t>
      </w:r>
      <w:r>
        <w:t xml:space="preserve">, </w:t>
      </w:r>
      <w:r>
        <w:rPr>
          <w:i/>
        </w:rPr>
        <w:t>EGFR</w:t>
      </w:r>
      <w:r>
        <w:t>/</w:t>
      </w:r>
      <w:r>
        <w:rPr>
          <w:i/>
        </w:rPr>
        <w:t>IDH1</w:t>
      </w:r>
      <w:r>
        <w:t xml:space="preserve"> and </w:t>
      </w:r>
      <w:r>
        <w:rPr>
          <w:i/>
        </w:rPr>
        <w:t>PIK3CA</w:t>
      </w:r>
      <w:r>
        <w:t>/</w:t>
      </w:r>
      <w:r>
        <w:rPr>
          <w:i/>
        </w:rPr>
        <w:t>PTEN</w:t>
      </w:r>
      <w:r>
        <w:t xml:space="preserve"> (breast) exclusive; </w:t>
      </w:r>
      <w:r>
        <w:rPr>
          <w:i/>
        </w:rPr>
        <w:t>MDM2</w:t>
      </w:r>
      <w:r>
        <w:t xml:space="preserve"> amplification vs </w:t>
      </w:r>
      <w:r>
        <w:rPr>
          <w:i/>
        </w:rPr>
        <w:t>TP53</w:t>
      </w:r>
      <w:r>
        <w:t xml:space="preserve"> mutation exclusive across cancer types; </w:t>
      </w:r>
      <w:r>
        <w:rPr>
          <w:i/>
        </w:rPr>
        <w:t>KEAP1</w:t>
      </w:r>
      <w:r>
        <w:t>/</w:t>
      </w:r>
      <w:r>
        <w:rPr>
          <w:i/>
        </w:rPr>
        <w:t>STK11</w:t>
      </w:r>
      <w:r>
        <w:t xml:space="preserve"> co-mutated in lung; the breast 11q13/8p12 co-amplification.</w:t>
      </w:r>
    </w:p>
    <w:p>
      <w:pPr>
        <w:pStyle w:val="ListBullet"/>
        <w:spacing w:after="60"/>
      </w:pPr>
      <w:r>
        <w:rPr>
          <w:b/>
        </w:rPr>
        <w:t>Hypermutated patients alone</w:t>
      </w:r>
      <w:r>
        <w:t xml:space="preserve"> (TMB 10-100): 881 of 98,907 pairs significant (0.9%), mostly MSI-vs-MSS subtype structure, so reported as a description, not as candidates.</w:t>
      </w:r>
    </w:p>
    <w:p>
      <w:pPr>
        <w:pStyle w:val="ListBullet"/>
        <w:spacing w:after="60"/>
      </w:pPr>
      <w:r>
        <w:rPr>
          <w:b/>
        </w:rPr>
        <w:t>Mutation-only analysis</w:t>
      </w:r>
      <w:r>
        <w:t xml:space="preserve"> (all 155,020 patients with mutation data): 573 significant of 2,403 pairs; mutation calls are the most consistent between centres (replication 84%).</w:t>
      </w:r>
    </w:p>
    <w:p>
      <w:pPr>
        <w:pStyle w:val="ListBullet"/>
        <w:spacing w:after="60"/>
      </w:pPr>
      <w:r>
        <w:rPr>
          <w:b/>
        </w:rPr>
        <w:t>Mechanism-specific tests</w:t>
      </w:r>
      <w:r>
        <w:t xml:space="preserve"> (mutation vs copy number on each side): 8,445 tests, 2,239 significant, 687 cross-mechanism.</w:t>
      </w:r>
    </w:p>
    <w:p>
      <w:pPr>
        <w:pStyle w:val="ListBullet"/>
        <w:spacing w:after="60"/>
      </w:pPr>
      <w:r>
        <w:rPr>
          <w:b/>
        </w:rPr>
        <w:t>Pan-cancer pairs</w:t>
      </w:r>
      <w:r>
        <w:t xml:space="preserve"> (≥5 cancer types, same direction): 13.</w:t>
      </w:r>
    </w:p>
    <w:p>
      <w:pPr>
        <w:pStyle w:val="Heading3"/>
      </w:pPr>
      <w:r>
        <w:t>Gene fusions in the screen</w:t>
      </w:r>
    </w:p>
    <w:p>
      <w:r>
        <w:t xml:space="preserve">Each fusion with at least 20 carriers was tested against its cancer type's genes: </w:t>
      </w:r>
      <w:r>
        <w:rPr>
          <w:b/>
        </w:rPr>
        <w:t>255 pairs in 13 cancer types, 109 significant (92 exclusive, 17 co-occurring)</w:t>
      </w:r>
      <w:r>
        <w:t>. It recovers known biology:</w:t>
      </w:r>
    </w:p>
    <w:p>
      <w:pPr>
        <w:pStyle w:val="ListBullet"/>
        <w:spacing w:after="60"/>
      </w:pPr>
      <w:r>
        <w:rPr>
          <w:i/>
        </w:rPr>
        <w:t>ALK</w:t>
      </w:r>
      <w:r>
        <w:t xml:space="preserve">, </w:t>
      </w:r>
      <w:r>
        <w:rPr>
          <w:i/>
        </w:rPr>
        <w:t>ROS1</w:t>
      </w:r>
      <w:r>
        <w:t xml:space="preserve"> and </w:t>
      </w:r>
      <w:r>
        <w:rPr>
          <w:i/>
        </w:rPr>
        <w:t>RET</w:t>
      </w:r>
      <w:r>
        <w:t xml:space="preserve"> fusions avoid </w:t>
      </w:r>
      <w:r>
        <w:rPr>
          <w:i/>
        </w:rPr>
        <w:t>EGFR</w:t>
      </w:r>
      <w:r>
        <w:t xml:space="preserve">, </w:t>
      </w:r>
      <w:r>
        <w:rPr>
          <w:i/>
        </w:rPr>
        <w:t>KRAS</w:t>
      </w:r>
      <w:r>
        <w:t xml:space="preserve">, </w:t>
      </w:r>
      <w:r>
        <w:rPr>
          <w:i/>
        </w:rPr>
        <w:t>STK11</w:t>
      </w:r>
      <w:r>
        <w:t xml:space="preserve"> and </w:t>
      </w:r>
      <w:r>
        <w:rPr>
          <w:i/>
        </w:rPr>
        <w:t>KEAP1</w:t>
      </w:r>
      <w:r>
        <w:t xml:space="preserve"> in lung cancer (</w:t>
      </w:r>
      <w:r>
        <w:rPr>
          <w:i/>
        </w:rPr>
        <w:t>ALK</w:t>
      </w:r>
      <w:r>
        <w:t xml:space="preserve"> + </w:t>
      </w:r>
      <w:r>
        <w:rPr>
          <w:i/>
        </w:rPr>
        <w:t>EGFR</w:t>
      </w:r>
      <w:r>
        <w:t xml:space="preserve">: 4 observed vs 140 expected; </w:t>
      </w:r>
      <w:r>
        <w:rPr>
          <w:i/>
        </w:rPr>
        <w:t>ALK</w:t>
      </w:r>
      <w:r>
        <w:t xml:space="preserve"> + </w:t>
      </w:r>
      <w:r>
        <w:rPr>
          <w:i/>
        </w:rPr>
        <w:t>STK11</w:t>
      </w:r>
      <w:r>
        <w:t>: 0 vs 60). Different drivers, rarely together.</w:t>
      </w:r>
    </w:p>
    <w:p>
      <w:pPr>
        <w:pStyle w:val="ListBullet"/>
        <w:spacing w:after="60"/>
      </w:pPr>
      <w:r>
        <w:rPr>
          <w:i/>
        </w:rPr>
        <w:t>ERG</w:t>
      </w:r>
      <w:r>
        <w:t xml:space="preserve"> fusions avoid </w:t>
      </w:r>
      <w:r>
        <w:rPr>
          <w:i/>
        </w:rPr>
        <w:t>SPOP</w:t>
      </w:r>
      <w:r>
        <w:t xml:space="preserve">, </w:t>
      </w:r>
      <w:r>
        <w:rPr>
          <w:i/>
        </w:rPr>
        <w:t>FOXA1</w:t>
      </w:r>
      <w:r>
        <w:t xml:space="preserve"> and </w:t>
      </w:r>
      <w:r>
        <w:rPr>
          <w:i/>
        </w:rPr>
        <w:t>CDK12</w:t>
      </w:r>
      <w:r>
        <w:t xml:space="preserve"> and go with </w:t>
      </w:r>
      <w:r>
        <w:rPr>
          <w:i/>
        </w:rPr>
        <w:t>PTEN</w:t>
      </w:r>
      <w:r>
        <w:t xml:space="preserve"> loss in prostate cancer; </w:t>
      </w:r>
      <w:r>
        <w:rPr>
          <w:i/>
        </w:rPr>
        <w:t>FGFR2</w:t>
      </w:r>
      <w:r>
        <w:t xml:space="preserve"> fusions avoid </w:t>
      </w:r>
      <w:r>
        <w:rPr>
          <w:i/>
        </w:rPr>
        <w:t>IDH1</w:t>
      </w:r>
      <w:r>
        <w:t>/</w:t>
      </w:r>
      <w:r>
        <w:rPr>
          <w:i/>
        </w:rPr>
        <w:t>KRAS</w:t>
      </w:r>
      <w:r>
        <w:t xml:space="preserve"> and go with </w:t>
      </w:r>
      <w:r>
        <w:rPr>
          <w:i/>
        </w:rPr>
        <w:t>BAP1</w:t>
      </w:r>
      <w:r>
        <w:t xml:space="preserve"> in cholangiocarcinoma.</w:t>
      </w:r>
    </w:p>
    <w:p>
      <w:pPr>
        <w:pStyle w:val="ListBullet"/>
        <w:spacing w:after="60"/>
      </w:pPr>
      <w:r>
        <w:rPr>
          <w:b/>
        </w:rPr>
        <w:t>Frequency is not enrichment:</w:t>
      </w:r>
      <w:r>
        <w:t xml:space="preserve"> </w:t>
      </w:r>
      <w:r>
        <w:rPr>
          <w:i/>
        </w:rPr>
        <w:t>TP53</w:t>
      </w:r>
      <w:r>
        <w:t xml:space="preserve"> is present in 24% of </w:t>
      </w:r>
      <w:r>
        <w:rPr>
          <w:i/>
        </w:rPr>
        <w:t>ALK</w:t>
      </w:r>
      <w:r>
        <w:t xml:space="preserve">-fusion lung cancers (Jiang 2023 reports ~31%), yet is </w:t>
      </w:r>
      <w:r>
        <w:rPr>
          <w:i/>
        </w:rPr>
        <w:t>under</w:t>
      </w:r>
      <w:r>
        <w:t xml:space="preserve">-represented relative to expectation (124 vs 191), because </w:t>
      </w:r>
      <w:r>
        <w:rPr>
          <w:i/>
        </w:rPr>
        <w:t>ALK</w:t>
      </w:r>
      <w:r>
        <w:t xml:space="preserve"> fusions arise mostly in never-smokers. The tool must show both numbers.</w:t>
      </w:r>
    </w:p>
    <w:p>
      <w:pPr>
        <w:pStyle w:val="ListBullet"/>
        <w:spacing w:after="60"/>
      </w:pPr>
      <w:r>
        <w:rPr>
          <w:b/>
        </w:rPr>
        <w:t>Artefact flagged:</w:t>
      </w:r>
      <w:r>
        <w:t xml:space="preserve"> breast “</w:t>
      </w:r>
      <w:r>
        <w:rPr>
          <w:i/>
        </w:rPr>
        <w:t>FGFR1</w:t>
      </w:r>
      <w:r>
        <w:t xml:space="preserve"> fusions” co-occur with </w:t>
      </w:r>
      <w:r>
        <w:rPr>
          <w:i/>
        </w:rPr>
        <w:t>FGFR1</w:t>
      </w:r>
      <w:r>
        <w:t xml:space="preserve"> amplification. These are rearrangements inside the 8p11 amplicon, not driver fusions.</w:t>
      </w:r>
    </w:p>
    <w:p>
      <w:pPr>
        <w:pStyle w:val="Heading3"/>
      </w:pPr>
      <w:r>
        <w:t>Which design replicates best?</w:t>
      </w:r>
    </w:p>
    <w:p>
      <w:r>
        <w:t>We compared five designs by discovering in MSK patients and re-testing the same pairs in all other centres (10 cancer types).</w:t>
      </w:r>
    </w:p>
    <w:p>
      <w:pPr>
        <w:keepNext/>
        <w:jc w:val="center"/>
      </w:pPr>
      <w:r>
        <w:drawing>
          <wp:inline xmlns:a="http://schemas.openxmlformats.org/drawingml/2006/main" xmlns:pic="http://schemas.openxmlformats.org/drawingml/2006/picture">
            <wp:extent cx="4500000" cy="2416985"/>
            <wp:docPr id="3" name="Picture 3"/>
            <wp:cNvGraphicFramePr>
              <a:graphicFrameLocks noChangeAspect="1"/>
            </wp:cNvGraphicFramePr>
            <a:graphic>
              <a:graphicData uri="http://schemas.openxmlformats.org/drawingml/2006/picture">
                <pic:pic>
                  <pic:nvPicPr>
                    <pic:cNvPr id="0" name="fig4_design.png"/>
                    <pic:cNvPicPr/>
                  </pic:nvPicPr>
                  <pic:blipFill>
                    <a:blip r:embed="rId13"/>
                    <a:stretch>
                      <a:fillRect/>
                    </a:stretch>
                  </pic:blipFill>
                  <pic:spPr>
                    <a:xfrm>
                      <a:off x="0" y="0"/>
                      <a:ext cx="4500000" cy="2416985"/>
                    </a:xfrm>
                    <a:prstGeom prst="rect"/>
                  </pic:spPr>
                </pic:pic>
              </a:graphicData>
            </a:graphic>
          </wp:inline>
        </w:drawing>
      </w:r>
    </w:p>
    <w:p>
      <w:pPr>
        <w:jc w:val="center"/>
      </w:pPr>
      <w:r>
        <w:rPr>
          <w:color w:val="555B66"/>
          <w:sz w:val="18"/>
        </w:rPr>
        <w:t>Figure 3. Replication rate by design. Design E replicates best but tests fewer pairs and cannot see copy-number biology such as CDKN2A deletion.</w:t>
      </w:r>
    </w:p>
    <w:tbl>
      <w:tblPr>
        <w:tblW w:type="auto" w:w="0"/>
        <w:jc w:val="center"/>
        <w:tblLook w:firstColumn="1" w:firstRow="1" w:lastColumn="0" w:lastRow="0" w:noHBand="0" w:noVBand="1" w:val="04A0"/>
        <w:tblLayout w:type="fixed"/>
      </w:tblPr>
      <w:tblGrid>
        <w:gridCol w:w="9639"/>
      </w:tblGrid>
      <w:tr>
        <w:trPr>
          <w:cantSplit w:val="true"/>
        </w:trPr>
        <w:tc>
          <w:tcPr>
            <w:tcW w:type="dxa" w:w="9638"/>
            <w:shd w:val="clear" w:color="auto" w:fill="E8EEF4"/>
            <w:tcMar>
              <w:top w:w="110" w:type="dxa"/>
              <w:left w:w="200" w:type="dxa"/>
              <w:bottom w:w="110" w:type="dxa"/>
              <w:right w:w="160" w:type="dxa"/>
            </w:tcMar>
            <w:tcBorders>
              <w:top w:val="nil" w:sz="0" w:color="FFFFFF"/>
              <w:left w:val="single" w:sz="24" w:color="1F3A5F"/>
              <w:bottom w:val="nil" w:sz="0" w:color="FFFFFF"/>
              <w:right w:val="nil" w:sz="0" w:color="FFFFFF"/>
            </w:tcBorders>
          </w:tcPr>
          <w:p>
            <w:pPr>
              <w:spacing w:after="40"/>
            </w:pPr>
            <w:r>
              <w:rPr>
                <w:b/>
                <w:color w:val="1F3A5F"/>
                <w:sz w:val="21"/>
              </w:rPr>
              <w:t>Why both the TMB split and the conditional test</w:t>
            </w:r>
          </w:p>
          <w:p>
            <w:pPr>
              <w:spacing w:after="60"/>
            </w:pPr>
            <w:r>
              <w:rPr>
                <w:sz w:val="20"/>
              </w:rPr>
              <w:t xml:space="preserve">Splitting hypermutated patients off is not enough: Fisher's test is still inflated afterwards. The conditional test alone is not enough either: on all patients it leaves 25% of colorectal pairs significant versus 5.8% in non-hypermutated patients. Ultramutated tumours (TMB ≥ 100, mostly </w:t>
            </w:r>
            <w:r>
              <w:rPr>
                <w:i/>
                <w:sz w:val="20"/>
              </w:rPr>
              <w:t>POLE</w:t>
            </w:r>
            <w:r>
              <w:rPr>
                <w:sz w:val="20"/>
              </w:rPr>
              <w:t>) are excluded from the hypermutated group because pooling them made 21.6% of endometrial pairs “significant”; separated, 0.3% and 0%.</w:t>
            </w:r>
          </w:p>
        </w:tc>
      </w:tr>
    </w:tbl>
    <w:p>
      <w:pPr>
        <w:spacing w:after="40"/>
      </w:pPr>
    </w:p>
    <w:p>
      <w:pPr>
        <w:pStyle w:val="Heading2"/>
      </w:pPr>
      <w:r>
        <w:t>7.5  How much to trust a significant pair: the deep dive</w:t>
      </w:r>
    </w:p>
    <w:p>
      <w:r>
        <w:t xml:space="preserve">A small q-value says </w:t>
      </w:r>
      <w:r>
        <w:rPr>
          <w:i/>
        </w:rPr>
        <w:t>not chance</w:t>
      </w:r>
      <w:r>
        <w:t xml:space="preserve">. It does not say </w:t>
      </w:r>
      <w:r>
        <w:rPr>
          <w:i/>
        </w:rPr>
        <w:t>gene-gene interaction</w:t>
      </w:r>
      <w:r>
        <w:t>. Notebook 06 (</w:t>
      </w:r>
      <w:r>
        <w:rPr>
          <w:rFonts w:ascii="Menlo" w:hAnsi="Menlo" w:eastAsia="Menlo"/>
          <w:sz w:val="18"/>
        </w:rPr>
        <w:t>06_phase2_deep_dive.ipynb</w:t>
      </w:r>
      <w:r>
        <w:t>, re-run on the final Phase 2 outputs on 24 Oct) re-examines all 687 significant cross-mechanism hits (313 co-occurring, 374 exclusive) for four other explanations. Its headline findings:</w:t>
      </w:r>
    </w:p>
    <w:p>
      <w:pPr>
        <w:pStyle w:val="ListBullet"/>
        <w:spacing w:after="60"/>
      </w:pPr>
      <w:r>
        <w:rPr>
          <w:b/>
        </w:rPr>
        <w:t>Exclusivity is more robust than co-occurrence:</w:t>
      </w:r>
      <w:r>
        <w:t xml:space="preserve"> 80% of exclusive vs 62% of co-occurring hits survive subtype stratification, and only about 1% of either direction reverses. 37% of co-occurring hits are attenuated, mostly confounded or reversed, against 19% of exclusive ones.</w:t>
      </w:r>
    </w:p>
    <w:p>
      <w:pPr>
        <w:pStyle w:val="ListBullet"/>
        <w:spacing w:after="60"/>
      </w:pPr>
      <w:r>
        <w:rPr>
          <w:b/>
        </w:rPr>
        <w:t>Burden trims co-occurrence more than exclusivity:</w:t>
      </w:r>
      <w:r>
        <w:t xml:space="preserve"> a median 23% of the log odds ratio is lost for co-occurring hits vs 11.5% for exclusive ones.</w:t>
      </w:r>
    </w:p>
    <w:p>
      <w:pPr>
        <w:pStyle w:val="ListBullet"/>
        <w:spacing w:after="60"/>
      </w:pPr>
      <w:r>
        <w:rPr>
          <w:b/>
        </w:rPr>
        <w:t>*TP53*-mutant tumours carry 2x more deep copy-number changes.</w:t>
      </w:r>
      <w:r>
        <w:t xml:space="preserve"> “Gene X amplified co-occurs with </w:t>
      </w:r>
      <w:r>
        <w:rPr>
          <w:i/>
        </w:rPr>
        <w:t>TP53</w:t>
      </w:r>
      <w:r>
        <w:t xml:space="preserve"> mutated” recurs in up to 8 cancer types (</w:t>
      </w:r>
      <w:r>
        <w:rPr>
          <w:i/>
        </w:rPr>
        <w:t>MYC</w:t>
      </w:r>
      <w:r>
        <w:t xml:space="preserve">, </w:t>
      </w:r>
      <w:r>
        <w:rPr>
          <w:i/>
        </w:rPr>
        <w:t>ERBB2</w:t>
      </w:r>
      <w:r>
        <w:t>), but this is one fact (p53 loss causes genomic instability), not many gene-specific interactions. Burden explains a median 26% of such hits and essentially all of four (</w:t>
      </w:r>
      <w:r>
        <w:rPr>
          <w:i/>
        </w:rPr>
        <w:t>FGF3</w:t>
      </w:r>
      <w:r>
        <w:t>/</w:t>
      </w:r>
      <w:r>
        <w:rPr>
          <w:i/>
        </w:rPr>
        <w:t>FGF4</w:t>
      </w:r>
      <w:r>
        <w:t xml:space="preserve"> in bladder, </w:t>
      </w:r>
      <w:r>
        <w:rPr>
          <w:i/>
        </w:rPr>
        <w:t>NKX2-1</w:t>
      </w:r>
      <w:r>
        <w:t>/</w:t>
      </w:r>
      <w:r>
        <w:rPr>
          <w:i/>
        </w:rPr>
        <w:t>TERT</w:t>
      </w:r>
      <w:r>
        <w:t xml:space="preserve"> in lung).</w:t>
      </w:r>
    </w:p>
    <w:p>
      <w:pPr>
        <w:pStyle w:val="ListBullet"/>
        <w:spacing w:after="60"/>
      </w:pPr>
      <w:r>
        <w:rPr>
          <w:b/>
        </w:rPr>
        <w:t>Proximity is small for cross-mechanism pairs:</w:t>
      </w:r>
      <w:r>
        <w:t xml:space="preserve"> 2.9% (20 of 687) are genomic neighbours, mostly </w:t>
      </w:r>
      <w:r>
        <w:rPr>
          <w:i/>
        </w:rPr>
        <w:t>CDKN2A</w:t>
      </w:r>
      <w:r>
        <w:t xml:space="preserve"> mutation against deletion of its neighbours </w:t>
      </w:r>
      <w:r>
        <w:rPr>
          <w:i/>
        </w:rPr>
        <w:t>CDKN2B</w:t>
      </w:r>
      <w:r>
        <w:t xml:space="preserve"> and </w:t>
      </w:r>
      <w:r>
        <w:rPr>
          <w:i/>
        </w:rPr>
        <w:t>MTAP</w:t>
      </w:r>
      <w:r>
        <w:t>.</w:t>
      </w:r>
    </w:p>
    <w:p>
      <w:pPr>
        <w:pStyle w:val="ListBullet"/>
        <w:spacing w:after="60"/>
      </w:pPr>
      <w:r>
        <w:rPr>
          <w:b/>
        </w:rPr>
        <w:t>16% of subtype-robust co-occurrence hits</w:t>
      </w:r>
      <w:r>
        <w:t xml:space="preserve"> (31 of 194) involve a copy-number gene that is an oncogene elsewhere but a likely passenger here (</w:t>
      </w:r>
      <w:r>
        <w:rPr>
          <w:i/>
        </w:rPr>
        <w:t>KIT</w:t>
      </w:r>
      <w:r>
        <w:t>/</w:t>
      </w:r>
      <w:r>
        <w:rPr>
          <w:i/>
        </w:rPr>
        <w:t>KDR</w:t>
      </w:r>
      <w:r>
        <w:t xml:space="preserve"> riding the </w:t>
      </w:r>
      <w:r>
        <w:rPr>
          <w:i/>
        </w:rPr>
        <w:t>PDGFRA</w:t>
      </w:r>
      <w:r>
        <w:t xml:space="preserve"> amplicon in glioma; </w:t>
      </w:r>
      <w:r>
        <w:rPr>
          <w:i/>
        </w:rPr>
        <w:t>FGF3</w:t>
      </w:r>
      <w:r>
        <w:t>/</w:t>
      </w:r>
      <w:r>
        <w:rPr>
          <w:i/>
        </w:rPr>
        <w:t>FGF4</w:t>
      </w:r>
      <w:r>
        <w:t>/</w:t>
      </w:r>
      <w:r>
        <w:rPr>
          <w:i/>
        </w:rPr>
        <w:t>FGF19</w:t>
      </w:r>
      <w:r>
        <w:t xml:space="preserve"> riding </w:t>
      </w:r>
      <w:r>
        <w:rPr>
          <w:i/>
        </w:rPr>
        <w:t>CCND1</w:t>
      </w:r>
      <w:r>
        <w:t>). The gene-level driver filter is blind to tissue.</w:t>
      </w:r>
    </w:p>
    <w:p>
      <w:pPr>
        <w:pStyle w:val="ListBullet"/>
        <w:spacing w:after="60"/>
      </w:pPr>
      <w:r>
        <w:rPr>
          <w:b/>
        </w:rPr>
        <w:t>260 of the 687 hits survive every check</w:t>
      </w:r>
      <w:r>
        <w:t xml:space="preserve"> (107 co-occurring, 153 exclusive), for example </w:t>
      </w:r>
      <w:r>
        <w:rPr>
          <w:i/>
        </w:rPr>
        <w:t>MDM2</w:t>
      </w:r>
      <w:r>
        <w:t xml:space="preserve"> amplification vs </w:t>
      </w:r>
      <w:r>
        <w:rPr>
          <w:i/>
        </w:rPr>
        <w:t>TP53</w:t>
      </w:r>
      <w:r>
        <w:t xml:space="preserve"> mutation (8 cancer types), </w:t>
      </w:r>
      <w:r>
        <w:rPr>
          <w:i/>
        </w:rPr>
        <w:t>EGFR</w:t>
      </w:r>
      <w:r>
        <w:t xml:space="preserve"> amplification vs </w:t>
      </w:r>
      <w:r>
        <w:rPr>
          <w:i/>
        </w:rPr>
        <w:t>IDH1</w:t>
      </w:r>
      <w:r>
        <w:t xml:space="preserve"> mutation in glioma, and </w:t>
      </w:r>
      <w:r>
        <w:rPr>
          <w:i/>
        </w:rPr>
        <w:t>ATRX</w:t>
      </w:r>
      <w:r>
        <w:t xml:space="preserve"> loss with </w:t>
      </w:r>
      <w:r>
        <w:rPr>
          <w:i/>
        </w:rPr>
        <w:t>IDH1</w:t>
      </w:r>
      <w:r>
        <w:t xml:space="preserve"> mutation in glioma. Even this list contains a known passenger (</w:t>
      </w:r>
      <w:r>
        <w:rPr>
          <w:i/>
        </w:rPr>
        <w:t>CD79B</w:t>
      </w:r>
      <w:r>
        <w:t>/</w:t>
      </w:r>
      <w:r>
        <w:rPr>
          <w:i/>
        </w:rPr>
        <w:t>GATA3</w:t>
      </w:r>
      <w:r>
        <w:t xml:space="preserve"> in breast), so “survived” is not “is an interaction”.</w:t>
      </w:r>
    </w:p>
    <w:tbl>
      <w:tblPr>
        <w:tblW w:type="auto" w:w="0"/>
        <w:jc w:val="center"/>
        <w:tblLook w:firstColumn="1" w:firstRow="1" w:lastColumn="0" w:lastRow="0" w:noHBand="0" w:noVBand="1" w:val="04A0"/>
        <w:tblLayout w:type="fixed"/>
      </w:tblPr>
      <w:tblGrid>
        <w:gridCol w:w="9639"/>
      </w:tblGrid>
      <w:tr>
        <w:trPr>
          <w:cantSplit w:val="true"/>
        </w:trPr>
        <w:tc>
          <w:tcPr>
            <w:tcW w:type="dxa" w:w="9638"/>
            <w:shd w:val="clear" w:color="auto" w:fill="E8EEF4"/>
            <w:tcMar>
              <w:top w:w="110" w:type="dxa"/>
              <w:left w:w="200" w:type="dxa"/>
              <w:bottom w:w="110" w:type="dxa"/>
              <w:right w:w="160" w:type="dxa"/>
            </w:tcMar>
            <w:tcBorders>
              <w:top w:val="nil" w:sz="0" w:color="FFFFFF"/>
              <w:left w:val="single" w:sz="24" w:color="1F3A5F"/>
              <w:bottom w:val="nil" w:sz="0" w:color="FFFFFF"/>
              <w:right w:val="nil" w:sz="0" w:color="FFFFFF"/>
            </w:tcBorders>
          </w:tcPr>
          <w:p>
            <w:pPr>
              <w:spacing w:after="40"/>
            </w:pPr>
            <w:r>
              <w:rPr>
                <w:b/>
                <w:color w:val="1F3A5F"/>
                <w:sz w:val="21"/>
              </w:rPr>
              <w:t>Notebook 06 was brought up to date on 24 Oct</w:t>
            </w:r>
          </w:p>
          <w:p>
            <w:pPr>
              <w:spacing w:after="60"/>
            </w:pPr>
            <w:r>
              <w:rPr>
                <w:sz w:val="20"/>
              </w:rPr>
              <w:t xml:space="preserve">An earlier copy (last saved 13 September, before the v3 redesign) quoted “8,725 significant pairs” and recommended replacing Fisher's test. It also failed on the current Phase 2 output, which now reports </w:t>
            </w:r>
            <w:r>
              <w:rPr>
                <w:rFonts w:ascii="Menlo" w:hAnsi="Menlo" w:eastAsia="Menlo"/>
                <w:sz w:val="20"/>
              </w:rPr>
              <w:t>fold_enrichment</w:t>
            </w:r>
            <w:r>
              <w:rPr>
                <w:sz w:val="20"/>
              </w:rPr>
              <w:t xml:space="preserve"> and </w:t>
            </w:r>
            <w:r>
              <w:rPr>
                <w:rFonts w:ascii="Menlo" w:hAnsi="Menlo" w:eastAsia="Menlo"/>
                <w:sz w:val="20"/>
              </w:rPr>
              <w:t>direction</w:t>
            </w:r>
            <w:r>
              <w:rPr>
                <w:sz w:val="20"/>
              </w:rPr>
              <w:t xml:space="preserve"> instead of an odds ratio. The code was adapted, the notebook re-run, and its narrative rewritten with the new numbers. Several older claims no longer held (for example “15 cancer types”, “1.3% neighbours”, “333 of 918 hits”). The notebook and its output </w:t>
            </w:r>
            <w:r>
              <w:rPr>
                <w:rFonts w:ascii="Menlo" w:hAnsi="Menlo" w:eastAsia="Menlo"/>
                <w:sz w:val="20"/>
              </w:rPr>
              <w:t>mechanism_pairs_checked.parquet</w:t>
            </w:r>
            <w:r>
              <w:rPr>
                <w:sz w:val="20"/>
              </w:rPr>
              <w:t xml:space="preserve"> are now committed.</w:t>
            </w:r>
          </w:p>
        </w:tc>
      </w:tr>
    </w:tbl>
    <w:p>
      <w:pPr>
        <w:spacing w:after="40"/>
      </w:pPr>
    </w:p>
    <w:p>
      <w:pPr>
        <w:pStyle w:val="Heading2"/>
      </w:pPr>
      <w:r>
        <w:t>7.6  Compared with the literature</w:t>
      </w:r>
    </w:p>
    <w:p>
      <w:pPr>
        <w:pStyle w:val="ListBullet"/>
        <w:spacing w:after="60"/>
      </w:pPr>
      <w:r>
        <w:rPr>
          <w:b/>
        </w:rPr>
        <w:t>Agrees</w:t>
      </w:r>
      <w:r>
        <w:t xml:space="preserve"> with DISCOVER, WeSME and WExT that Fisher's test is wrong for this data, and </w:t>
      </w:r>
      <w:r>
        <w:rPr>
          <w:b/>
        </w:rPr>
        <w:t>goes further</w:t>
      </w:r>
      <w:r>
        <w:t>: the DISCOVER plug-in estimate itself is biased on panel-sized gene sets.</w:t>
      </w:r>
    </w:p>
    <w:p>
      <w:pPr>
        <w:pStyle w:val="ListBullet"/>
        <w:spacing w:after="60"/>
      </w:pPr>
      <w:r>
        <w:rPr>
          <w:b/>
        </w:rPr>
        <w:t>Puts into practice</w:t>
      </w:r>
      <w:r>
        <w:t xml:space="preserve"> the warnings of van de Haar 2019 and MOSAIC 2026 about subtype and load. Hits that survive subtype adjustment replicate 73% of the time versus 35% for those that do not.</w:t>
      </w:r>
    </w:p>
    <w:p>
      <w:pPr>
        <w:pStyle w:val="ListBullet"/>
        <w:spacing w:after="60"/>
      </w:pPr>
      <w:r>
        <w:rPr>
          <w:b/>
        </w:rPr>
        <w:t>Adds</w:t>
      </w:r>
      <w:r>
        <w:t xml:space="preserve"> cross-centre replication, which most GENIE papers lack, in the spirit of Park &amp; Lehner's re-testing.</w:t>
      </w:r>
    </w:p>
    <w:tbl>
      <w:tblPr>
        <w:tblW w:type="auto" w:w="0"/>
        <w:jc w:val="center"/>
        <w:tblLook w:firstColumn="1" w:firstRow="1" w:lastColumn="0" w:lastRow="0" w:noHBand="0" w:noVBand="1" w:val="04A0"/>
        <w:tblLayout w:type="fixed"/>
      </w:tblPr>
      <w:tblGrid>
        <w:gridCol w:w="9639"/>
      </w:tblGrid>
      <w:tr>
        <w:trPr>
          <w:cantSplit w:val="true"/>
        </w:trPr>
        <w:tc>
          <w:tcPr>
            <w:tcW w:type="dxa" w:w="9638"/>
            <w:shd w:val="clear" w:color="auto" w:fill="E8EEF4"/>
            <w:tcMar>
              <w:top w:w="110" w:type="dxa"/>
              <w:left w:w="200" w:type="dxa"/>
              <w:bottom w:w="110" w:type="dxa"/>
              <w:right w:w="160" w:type="dxa"/>
            </w:tcMar>
            <w:tcBorders>
              <w:top w:val="nil" w:sz="0" w:color="FFFFFF"/>
              <w:left w:val="single" w:sz="24" w:color="1F3A5F"/>
              <w:bottom w:val="nil" w:sz="0" w:color="FFFFFF"/>
              <w:right w:val="nil" w:sz="0" w:color="FFFFFF"/>
            </w:tcBorders>
          </w:tcPr>
          <w:p>
            <w:pPr>
              <w:spacing w:after="40"/>
            </w:pPr>
            <w:r>
              <w:rPr>
                <w:b/>
                <w:color w:val="1F3A5F"/>
                <w:sz w:val="21"/>
              </w:rPr>
              <w:t>Questions worth asking at this point</w:t>
            </w:r>
          </w:p>
          <w:p>
            <w:pPr>
              <w:spacing w:after="60"/>
            </w:pPr>
            <w:r>
              <w:rPr>
                <w:sz w:val="20"/>
              </w:rPr>
              <w:t>•  Why is the conditional test exact rather than a permutation test? (It computes the permutation null analytically, so it is faster and has no sampling noise.)</w:t>
            </w:r>
          </w:p>
          <w:p>
            <w:pPr>
              <w:spacing w:after="60"/>
            </w:pPr>
            <w:r>
              <w:rPr>
                <w:sz w:val="20"/>
              </w:rPr>
              <w:t>•  What does “replicated” mean precisely? (p &lt; 0.05 in the other centres with the same direction; it is a floor on reliability, since artefacts shared by all centres also replicate.)</w:t>
            </w:r>
          </w:p>
        </w:tc>
      </w:tr>
    </w:tbl>
    <w:p>
      <w:pPr>
        <w:spacing w:after="40"/>
      </w:pPr>
    </w:p>
    <w:p>
      <w:pPr>
        <w:spacing w:before="120"/>
      </w:pPr>
      <w:r>
        <w:rPr>
          <w:i/>
          <w:color w:val="555B66"/>
          <w:sz w:val="17"/>
        </w:rPr>
        <w:t>Source files for this part:</w:t>
      </w:r>
      <w:r>
        <w:rPr>
          <w:color w:val="555B66"/>
          <w:sz w:val="17"/>
        </w:rPr>
        <w:t xml:space="preserve"> notebooks/02_phase2_comutation_matrix.ipynb, notebooks/06_phase2_deep_dive.ipynb, README.md (Phase 2), docs/literature_review.md §7-§8.</w:t>
      </w:r>
    </w:p>
    <w:p>
      <w:r>
        <w:br w:type="page"/>
      </w:r>
    </w:p>
    <w:p>
      <w:pPr>
        <w:spacing w:after="0"/>
      </w:pPr>
      <w:r>
        <w:rPr>
          <w:b/>
          <w:color w:val="2A7F8E"/>
          <w:sz w:val="20"/>
        </w:rPr>
        <w:t>PART 8</w:t>
      </w:r>
    </w:p>
    <w:p>
      <w:pPr>
        <w:pStyle w:val="Heading1"/>
      </w:pPr>
      <w:r>
        <w:t>Phase 3: the lookup tool</w:t>
      </w:r>
    </w:p>
    <w:p>
      <w:pPr>
        <w:spacing w:after="200"/>
      </w:pPr>
      <w:r>
        <w:rPr>
          <w:color w:val="555B66"/>
          <w:sz w:val="23"/>
        </w:rPr>
        <w:t>Aim 1. What a clinician can ask, how each answer is computed, and why the registered similarity-matching idea lost.</w:t>
      </w:r>
    </w:p>
    <w:p>
      <w:r>
        <w:rPr>
          <w:b/>
        </w:rPr>
        <w:t>Notebook:</w:t>
      </w:r>
      <w:r>
        <w:t xml:space="preserve"> </w:t>
      </w:r>
      <w:r>
        <w:rPr>
          <w:rFonts w:ascii="Menlo" w:hAnsi="Menlo" w:eastAsia="Menlo"/>
          <w:sz w:val="18"/>
        </w:rPr>
        <w:t>notebooks/03_phase3_lookup_tool.ipynb</w:t>
      </w:r>
      <w:r>
        <w:t xml:space="preserve">   </w:t>
      </w:r>
      <w:r>
        <w:rPr>
          <w:b/>
        </w:rPr>
        <w:t>Inputs:</w:t>
      </w:r>
      <w:r>
        <w:t xml:space="preserve"> Phase 1 tables (read directly), Phase 2 results (as annotation), CIViC evidence</w:t>
      </w:r>
    </w:p>
    <w:tbl>
      <w:tblPr>
        <w:tblW w:type="auto" w:w="0"/>
        <w:jc w:val="center"/>
        <w:tblLook w:firstColumn="1" w:firstRow="1" w:lastColumn="0" w:lastRow="0" w:noHBand="0" w:noVBand="1" w:val="04A0"/>
        <w:tblLayout w:type="fixed"/>
      </w:tblPr>
      <w:tblGrid>
        <w:gridCol w:w="9639"/>
      </w:tblGrid>
      <w:tr>
        <w:trPr>
          <w:cantSplit w:val="true"/>
        </w:trPr>
        <w:tc>
          <w:tcPr>
            <w:tcW w:type="dxa" w:w="9638"/>
            <w:shd w:val="clear" w:color="auto" w:fill="EAF3F5"/>
            <w:tcMar>
              <w:top w:w="110" w:type="dxa"/>
              <w:left w:w="200" w:type="dxa"/>
              <w:bottom w:w="110" w:type="dxa"/>
              <w:right w:w="160" w:type="dxa"/>
            </w:tcMar>
            <w:tcBorders>
              <w:top w:val="nil" w:sz="0" w:color="FFFFFF"/>
              <w:left w:val="single" w:sz="24" w:color="2A7F8E"/>
              <w:bottom w:val="nil" w:sz="0" w:color="FFFFFF"/>
              <w:right w:val="nil" w:sz="0" w:color="FFFFFF"/>
            </w:tcBorders>
          </w:tcPr>
          <w:p>
            <w:pPr>
              <w:spacing w:after="40"/>
            </w:pPr>
            <w:r>
              <w:rPr>
                <w:b/>
                <w:color w:val="2A7F8E"/>
                <w:sz w:val="21"/>
              </w:rPr>
              <w:t>Design principle</w:t>
            </w:r>
          </w:p>
          <w:p>
            <w:pPr>
              <w:spacing w:after="60"/>
            </w:pPr>
            <w:r>
              <w:rPr>
                <w:sz w:val="20"/>
              </w:rPr>
              <w:t>The tool reads the Phase 1 tables directly so that rare combinations are not filtered away, and it uses Phase 2 only to say whether a pair is also a statistically supported interaction. Statistical answers use non-hypermutated patients and subtype strata, as Phase 2 does; raw counts are shown for every TMB group.</w:t>
            </w:r>
          </w:p>
        </w:tc>
      </w:tr>
    </w:tbl>
    <w:p>
      <w:pPr>
        <w:spacing w:after="40"/>
      </w:pPr>
    </w:p>
    <w:p>
      <w:pPr>
        <w:pStyle w:val="Heading2"/>
      </w:pPr>
      <w:r>
        <w:t>8.1  Five questions, five functions</w:t>
      </w:r>
    </w:p>
    <w:tbl>
      <w:tblPr>
        <w:tblW w:type="auto" w:w="0"/>
        <w:jc w:val="center"/>
        <w:tblLayout w:type="fixed"/>
        <w:tblLook w:firstColumn="1" w:firstRow="1" w:lastColumn="0" w:lastRow="0" w:noHBand="0" w:noVBand="1" w:val="04A0"/>
        <w:tblLayout w:type="fixed"/>
      </w:tblPr>
      <w:tblGrid>
        <w:gridCol w:w="2608"/>
        <w:gridCol w:w="1927"/>
        <w:gridCol w:w="5103"/>
      </w:tblGrid>
      <w:tr>
        <w:trPr>
          <w:cantSplit w:val="true"/>
          <w:tblHeader w:val="true"/>
        </w:trPr>
        <w:tc>
          <w:tcPr>
            <w:tcW w:type="dxa" w:w="2608"/>
            <w:shd w:val="clear" w:color="auto" w:fill="1F3A5F"/>
            <w:tcMar>
              <w:top w:w="60" w:type="dxa"/>
              <w:left w:w="90" w:type="dxa"/>
              <w:bottom w:w="60" w:type="dxa"/>
              <w:right w:w="90" w:type="dxa"/>
            </w:tcMar>
          </w:tcPr>
          <w:p>
            <w:pPr>
              <w:spacing w:after="0"/>
            </w:pPr>
            <w:r>
              <w:rPr>
                <w:b/>
                <w:color w:val="FFFFFF"/>
                <w:sz w:val="18"/>
              </w:rPr>
              <w:t>Clinician's question</w:t>
            </w:r>
          </w:p>
        </w:tc>
        <w:tc>
          <w:tcPr>
            <w:tcW w:type="dxa" w:w="1928"/>
            <w:shd w:val="clear" w:color="auto" w:fill="1F3A5F"/>
            <w:tcMar>
              <w:top w:w="60" w:type="dxa"/>
              <w:left w:w="90" w:type="dxa"/>
              <w:bottom w:w="60" w:type="dxa"/>
              <w:right w:w="90" w:type="dxa"/>
            </w:tcMar>
          </w:tcPr>
          <w:p>
            <w:pPr>
              <w:spacing w:after="0"/>
            </w:pPr>
            <w:r>
              <w:rPr>
                <w:b/>
                <w:color w:val="FFFFFF"/>
                <w:sz w:val="18"/>
              </w:rPr>
              <w:t>Function</w:t>
            </w:r>
          </w:p>
        </w:tc>
        <w:tc>
          <w:tcPr>
            <w:tcW w:type="dxa" w:w="5102"/>
            <w:shd w:val="clear" w:color="auto" w:fill="1F3A5F"/>
            <w:tcMar>
              <w:top w:w="60" w:type="dxa"/>
              <w:left w:w="90" w:type="dxa"/>
              <w:bottom w:w="60" w:type="dxa"/>
              <w:right w:w="90" w:type="dxa"/>
            </w:tcMar>
          </w:tcPr>
          <w:p>
            <w:pPr>
              <w:spacing w:after="0"/>
            </w:pPr>
            <w:r>
              <w:rPr>
                <w:b/>
                <w:color w:val="FFFFFF"/>
                <w:sz w:val="18"/>
              </w:rPr>
              <w:t>How it is answered</w:t>
            </w:r>
          </w:p>
        </w:tc>
      </w:tr>
      <w:tr>
        <w:trPr>
          <w:cantSplit w:val="true"/>
        </w:trPr>
        <w:tc>
          <w:tcPr>
            <w:tcW w:type="dxa" w:w="260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What else is usually altered with this?</w:t>
            </w:r>
          </w:p>
        </w:tc>
        <w:tc>
          <w:tcPr>
            <w:tcW w:type="dxa" w:w="192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rFonts w:ascii="Menlo" w:hAnsi="Menlo" w:eastAsia="Menlo"/>
                <w:sz w:val="18"/>
              </w:rPr>
              <w:t>lookup()</w:t>
            </w:r>
          </w:p>
        </w:tc>
        <w:tc>
          <w:tcPr>
            <w:tcW w:type="dxa" w:w="5102"/>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Panel-aware % in carriers vs non-carriers with a 95% interval, split by TMB group and optionally subtype, plus Phase 2's verdict (e.g. “candidate, replicated”)</w:t>
            </w:r>
          </w:p>
        </w:tc>
      </w:tr>
      <w:tr>
        <w:trPr>
          <w:cantSplit w:val="true"/>
        </w:trPr>
        <w:tc>
          <w:tcPr>
            <w:tcW w:type="dxa" w:w="260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How common is this exact combination?</w:t>
            </w:r>
          </w:p>
        </w:tc>
        <w:tc>
          <w:tcPr>
            <w:tcW w:type="dxa" w:w="192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rFonts w:ascii="Menlo" w:hAnsi="Menlo" w:eastAsia="Menlo"/>
                <w:sz w:val="18"/>
              </w:rPr>
              <w:t>combo_prevalence()</w:t>
            </w:r>
          </w:p>
        </w:tc>
        <w:tc>
          <w:tcPr>
            <w:tcW w:type="dxa" w:w="5102"/>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Exact counts among patients tested for every gene in the combination, with 95% intervals</w:t>
            </w:r>
          </w:p>
        </w:tc>
      </w:tr>
      <w:tr>
        <w:trPr>
          <w:cantSplit w:val="true"/>
        </w:trPr>
        <w:tc>
          <w:tcPr>
            <w:tcW w:type="dxa" w:w="260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Is this rare pair really over- or under-represented?</w:t>
            </w:r>
          </w:p>
        </w:tc>
        <w:tc>
          <w:tcPr>
            <w:tcW w:type="dxa" w:w="192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rFonts w:ascii="Menlo" w:hAnsi="Menlo" w:eastAsia="Menlo"/>
                <w:sz w:val="18"/>
              </w:rPr>
              <w:t>test_pair()</w:t>
            </w:r>
          </w:p>
        </w:tc>
        <w:tc>
          <w:tcPr>
            <w:tcW w:type="dxa" w:w="5102"/>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 xml:space="preserve">Phase 2's conditional test run on demand, including variants and pairs below Phase 2's filters; labelled </w:t>
            </w:r>
            <w:r>
              <w:rPr>
                <w:b/>
                <w:sz w:val="18"/>
              </w:rPr>
              <w:t>exploratory</w:t>
            </w:r>
            <w:r>
              <w:rPr>
                <w:sz w:val="18"/>
              </w:rPr>
              <w:t xml:space="preserve"> when fewer than 5 are expected</w:t>
            </w:r>
          </w:p>
        </w:tc>
      </w:tr>
      <w:tr>
        <w:trPr>
          <w:cantSplit w:val="true"/>
        </w:trPr>
        <w:tc>
          <w:tcPr>
            <w:tcW w:type="dxa" w:w="260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Given the whole profile, what else is likely?</w:t>
            </w:r>
          </w:p>
        </w:tc>
        <w:tc>
          <w:tcPr>
            <w:tcW w:type="dxa" w:w="192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rFonts w:ascii="Menlo" w:hAnsi="Menlo" w:eastAsia="Menlo"/>
                <w:sz w:val="18"/>
              </w:rPr>
              <w:t>predict_partners()</w:t>
            </w:r>
          </w:p>
        </w:tc>
        <w:tc>
          <w:tcPr>
            <w:tcW w:type="dxa" w:w="5102"/>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One regularised logistic model per gene</w:t>
            </w:r>
          </w:p>
        </w:tc>
      </w:tr>
      <w:tr>
        <w:trPr>
          <w:cantSplit w:val="true"/>
        </w:trPr>
        <w:tc>
          <w:tcPr>
            <w:tcW w:type="dxa" w:w="260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What does it mean for treatment?</w:t>
            </w:r>
          </w:p>
        </w:tc>
        <w:tc>
          <w:tcPr>
            <w:tcW w:type="dxa" w:w="192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rFonts w:ascii="Menlo" w:hAnsi="Menlo" w:eastAsia="Menlo"/>
                <w:sz w:val="18"/>
              </w:rPr>
              <w:t>therapy_evidence()</w:t>
            </w:r>
          </w:p>
        </w:tc>
        <w:tc>
          <w:tcPr>
            <w:tcW w:type="dxa" w:w="5102"/>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CIViC evidence (3,433 accepted predictive/prognostic items), including combinations</w:t>
            </w:r>
          </w:p>
        </w:tc>
      </w:tr>
    </w:tbl>
    <w:p>
      <w:pPr>
        <w:spacing w:after="40"/>
      </w:pPr>
    </w:p>
    <w:p>
      <w:r>
        <w:t>Queries can be genes, variants (</w:t>
      </w:r>
      <w:r>
        <w:rPr>
          <w:rFonts w:ascii="Menlo" w:hAnsi="Menlo" w:eastAsia="Menlo"/>
          <w:sz w:val="18"/>
        </w:rPr>
        <w:t>('KRAS', 'p.G12C')</w:t>
      </w:r>
      <w:r>
        <w:t>), copy-number changes (</w:t>
      </w:r>
      <w:r>
        <w:rPr>
          <w:rFonts w:ascii="Menlo" w:hAnsi="Menlo" w:eastAsia="Menlo"/>
          <w:sz w:val="18"/>
        </w:rPr>
        <w:t>('MET', 'AMP')</w:t>
      </w:r>
      <w:r>
        <w:t>) or fusions (</w:t>
      </w:r>
      <w:r>
        <w:rPr>
          <w:rFonts w:ascii="Menlo" w:hAnsi="Menlo" w:eastAsia="Menlo"/>
          <w:sz w:val="18"/>
        </w:rPr>
        <w:t>'ALK_fusion'</w:t>
      </w:r>
      <w:r>
        <w:t>).</w:t>
      </w:r>
    </w:p>
    <w:p>
      <w:pPr>
        <w:pStyle w:val="Heading2"/>
      </w:pPr>
      <w:r>
        <w:t>8.2  The registered aim, tested and rejected</w:t>
      </w:r>
    </w:p>
    <w:p>
      <w:r>
        <w:t>The registered description promised to “match a new patient to genetically similar cases”. We tested four ways on held-out data, hiding one real alteration per patient and asking each method to recover it (6 cancer types).</w:t>
      </w:r>
    </w:p>
    <w:p>
      <w:pPr>
        <w:keepNext/>
        <w:jc w:val="center"/>
      </w:pPr>
      <w:r>
        <w:drawing>
          <wp:inline xmlns:a="http://schemas.openxmlformats.org/drawingml/2006/main" xmlns:pic="http://schemas.openxmlformats.org/drawingml/2006/picture">
            <wp:extent cx="4320000" cy="2371899"/>
            <wp:docPr id="4" name="Picture 4"/>
            <wp:cNvGraphicFramePr>
              <a:graphicFrameLocks noChangeAspect="1"/>
            </wp:cNvGraphicFramePr>
            <a:graphic>
              <a:graphicData uri="http://schemas.openxmlformats.org/drawingml/2006/picture">
                <pic:pic>
                  <pic:nvPicPr>
                    <pic:cNvPr id="0" name="fig6_auroc.png"/>
                    <pic:cNvPicPr/>
                  </pic:nvPicPr>
                  <pic:blipFill>
                    <a:blip r:embed="rId14"/>
                    <a:stretch>
                      <a:fillRect/>
                    </a:stretch>
                  </pic:blipFill>
                  <pic:spPr>
                    <a:xfrm>
                      <a:off x="0" y="0"/>
                      <a:ext cx="4320000" cy="2371899"/>
                    </a:xfrm>
                    <a:prstGeom prst="rect"/>
                  </pic:spPr>
                </pic:pic>
              </a:graphicData>
            </a:graphic>
          </wp:inline>
        </w:drawing>
      </w:r>
    </w:p>
    <w:p>
      <w:pPr>
        <w:jc w:val="center"/>
      </w:pPr>
      <w:r>
        <w:rPr>
          <w:color w:val="555B66"/>
          <w:sz w:val="18"/>
        </w:rPr>
        <w:t>Figure 4. Held-out AUROC (axis starts at 0.70). Similarity matching does not beat simply knowing the cancer type's base rate; per-gene logistic models beat it in every cancer type and are well calibrated.</w:t>
      </w:r>
    </w:p>
    <w:p>
      <w:r>
        <w:rPr>
          <w:b/>
        </w:rPr>
        <w:t>Why similarity failed:</w:t>
      </w:r>
      <w:r>
        <w:t xml:space="preserve"> panel profiles carry only 2-4 alterations, so nearest neighbours are noisy, and raw co-occurrence ratios are inflated by heavily altered tumours (the Fisher trap again). Exact matches are still counted by </w:t>
      </w:r>
      <w:r>
        <w:rPr>
          <w:rFonts w:ascii="Menlo" w:hAnsi="Menlo" w:eastAsia="Menlo"/>
          <w:sz w:val="18"/>
        </w:rPr>
        <w:t>combo_prevalence()</w:t>
      </w:r>
      <w:r>
        <w:t>, so the registered aim is met by the tool even though the method changed. Rejecting the planned method on evidence is a result worth stating in the report.</w:t>
      </w:r>
    </w:p>
    <w:p>
      <w:pPr>
        <w:pStyle w:val="Heading2"/>
      </w:pPr>
      <w:r>
        <w:t>8.3  Does the tool hold up?</w:t>
      </w:r>
    </w:p>
    <w:p>
      <w:pPr>
        <w:pStyle w:val="ListBullet"/>
        <w:spacing w:after="60"/>
      </w:pPr>
      <w:r>
        <w:rPr>
          <w:b/>
        </w:rPr>
        <w:t>It reproduces Phase 2:</w:t>
      </w:r>
      <w:r>
        <w:t xml:space="preserve"> for </w:t>
      </w:r>
      <w:r>
        <w:rPr>
          <w:i/>
        </w:rPr>
        <w:t>KRAS</w:t>
      </w:r>
      <w:r>
        <w:t>/</w:t>
      </w:r>
      <w:r>
        <w:rPr>
          <w:i/>
        </w:rPr>
        <w:t>STK11</w:t>
      </w:r>
      <w:r>
        <w:t xml:space="preserve"> the on-demand test gives expected 460.5 vs 460.4.</w:t>
      </w:r>
    </w:p>
    <w:p>
      <w:pPr>
        <w:pStyle w:val="ListBullet"/>
        <w:spacing w:after="60"/>
      </w:pPr>
      <w:r>
        <w:rPr>
          <w:b/>
        </w:rPr>
        <w:t>Frequencies are reproducible:</w:t>
      </w:r>
      <w:r>
        <w:t xml:space="preserve"> MSK vs other centres correlate at 0.89-0.996, median difference under 1 percentage point.</w:t>
      </w:r>
    </w:p>
    <w:p>
      <w:pPr>
        <w:pStyle w:val="ListBullet"/>
        <w:spacing w:after="60"/>
      </w:pPr>
      <w:r>
        <w:rPr>
          <w:b/>
        </w:rPr>
        <w:t>It matches published numbers:</w:t>
      </w:r>
      <w:r>
        <w:t xml:space="preserve"> </w:t>
      </w:r>
      <w:r>
        <w:rPr>
          <w:i/>
        </w:rPr>
        <w:t>KRAS</w:t>
      </w:r>
      <w:r>
        <w:t xml:space="preserve"> G12C + </w:t>
      </w:r>
      <w:r>
        <w:rPr>
          <w:i/>
        </w:rPr>
        <w:t>STK11</w:t>
      </w:r>
      <w:r>
        <w:t xml:space="preserve"> in lung cancer is 26% in GENIE vs about 25% in the literature.</w:t>
      </w:r>
    </w:p>
    <w:tbl>
      <w:tblPr>
        <w:tblW w:type="auto" w:w="0"/>
        <w:jc w:val="center"/>
        <w:tblLook w:firstColumn="1" w:firstRow="1" w:lastColumn="0" w:lastRow="0" w:noHBand="0" w:noVBand="1" w:val="04A0"/>
        <w:tblLayout w:type="fixed"/>
      </w:tblPr>
      <w:tblGrid>
        <w:gridCol w:w="9639"/>
      </w:tblGrid>
      <w:tr>
        <w:trPr>
          <w:cantSplit w:val="true"/>
        </w:trPr>
        <w:tc>
          <w:tcPr>
            <w:tcW w:type="dxa" w:w="9638"/>
            <w:shd w:val="clear" w:color="auto" w:fill="EAF3F5"/>
            <w:tcMar>
              <w:top w:w="110" w:type="dxa"/>
              <w:left w:w="200" w:type="dxa"/>
              <w:bottom w:w="110" w:type="dxa"/>
              <w:right w:w="160" w:type="dxa"/>
            </w:tcMar>
            <w:tcBorders>
              <w:top w:val="nil" w:sz="0" w:color="FFFFFF"/>
              <w:left w:val="single" w:sz="24" w:color="2A7F8E"/>
              <w:bottom w:val="nil" w:sz="0" w:color="FFFFFF"/>
              <w:right w:val="nil" w:sz="0" w:color="FFFFFF"/>
            </w:tcBorders>
          </w:tcPr>
          <w:p>
            <w:pPr>
              <w:spacing w:after="40"/>
            </w:pPr>
            <w:r>
              <w:rPr>
                <w:b/>
                <w:color w:val="2A7F8E"/>
                <w:sz w:val="21"/>
              </w:rPr>
              <w:t>Worked example: BRAF V600E + NRAS in melanoma</w:t>
            </w:r>
          </w:p>
          <w:p>
            <w:pPr>
              <w:spacing w:after="60"/>
            </w:pPr>
            <w:r>
              <w:rPr>
                <w:sz w:val="20"/>
              </w:rPr>
              <w:t xml:space="preserve">Seen in </w:t>
            </w:r>
            <w:r>
              <w:rPr>
                <w:b/>
                <w:sz w:val="20"/>
              </w:rPr>
              <w:t>7 of 4,144 patients</w:t>
            </w:r>
            <w:r>
              <w:rPr>
                <w:sz w:val="20"/>
              </w:rPr>
              <w:t xml:space="preserve">, </w:t>
            </w:r>
            <w:r>
              <w:rPr>
                <w:b/>
                <w:sz w:val="20"/>
              </w:rPr>
              <w:t>27 times rarer</w:t>
            </w:r>
            <w:r>
              <w:rPr>
                <w:sz w:val="20"/>
              </w:rPr>
              <w:t xml:space="preserve"> than expected. CIViC holds level-B evidence that the combination confers resistance to BRAF inhibitors. One query returns the frequency, the statistical verdict and the treatment evidence together.</w:t>
            </w:r>
          </w:p>
        </w:tc>
      </w:tr>
    </w:tbl>
    <w:p>
      <w:pPr>
        <w:spacing w:after="40"/>
      </w:pPr>
    </w:p>
    <w:p>
      <w:pPr>
        <w:pStyle w:val="Heading2"/>
      </w:pPr>
      <w:r>
        <w:t>8.4  Compared with the literature, and limits</w:t>
      </w:r>
    </w:p>
    <w:p>
      <w:pPr>
        <w:pStyle w:val="ListBullet"/>
        <w:spacing w:after="60"/>
      </w:pPr>
      <w:r>
        <w:t xml:space="preserve">The tool is </w:t>
      </w:r>
      <w:r>
        <w:rPr>
          <w:b/>
        </w:rPr>
        <w:t>variant-level</w:t>
      </w:r>
      <w:r>
        <w:t>, in line with Scharpf 2022, Cook 2021 and Vaeyens 2023, which show partners differ by allele.</w:t>
      </w:r>
    </w:p>
    <w:p>
      <w:pPr>
        <w:pStyle w:val="ListBullet"/>
        <w:spacing w:after="60"/>
      </w:pPr>
      <w:r>
        <w:t>Similarity matching (Foote 2025; TumorComparer) works on richer profiles but did not work on panel data here.</w:t>
      </w:r>
    </w:p>
    <w:p>
      <w:pPr>
        <w:pStyle w:val="ListBullet"/>
        <w:spacing w:after="60"/>
      </w:pPr>
      <w:r>
        <w:rPr>
          <w:b/>
        </w:rPr>
        <w:t>Limit:</w:t>
      </w:r>
      <w:r>
        <w:t xml:space="preserve"> co-occurrence is not treatment prediction. OncoKB would add a second evidence source but needs a licence token.</w:t>
      </w:r>
    </w:p>
    <w:p>
      <w:pPr>
        <w:pStyle w:val="ListBullet"/>
        <w:spacing w:after="60"/>
      </w:pPr>
      <w:r>
        <w:rPr>
          <w:b/>
        </w:rPr>
        <w:t>Not yet built:</w:t>
      </w:r>
      <w:r>
        <w:t xml:space="preserve"> a simple web interface (for example Streamlit), planned once Prof. Wong agrees what it should show.</w:t>
      </w:r>
    </w:p>
    <w:tbl>
      <w:tblPr>
        <w:tblW w:type="auto" w:w="0"/>
        <w:jc w:val="center"/>
        <w:tblLook w:firstColumn="1" w:firstRow="1" w:lastColumn="0" w:lastRow="0" w:noHBand="0" w:noVBand="1" w:val="04A0"/>
        <w:tblLayout w:type="fixed"/>
      </w:tblPr>
      <w:tblGrid>
        <w:gridCol w:w="9639"/>
      </w:tblGrid>
      <w:tr>
        <w:trPr>
          <w:cantSplit w:val="true"/>
        </w:trPr>
        <w:tc>
          <w:tcPr>
            <w:tcW w:type="dxa" w:w="9638"/>
            <w:shd w:val="clear" w:color="auto" w:fill="E8EEF4"/>
            <w:tcMar>
              <w:top w:w="110" w:type="dxa"/>
              <w:left w:w="200" w:type="dxa"/>
              <w:bottom w:w="110" w:type="dxa"/>
              <w:right w:w="160" w:type="dxa"/>
            </w:tcMar>
            <w:tcBorders>
              <w:top w:val="nil" w:sz="0" w:color="FFFFFF"/>
              <w:left w:val="single" w:sz="24" w:color="1F3A5F"/>
              <w:bottom w:val="nil" w:sz="0" w:color="FFFFFF"/>
              <w:right w:val="nil" w:sz="0" w:color="FFFFFF"/>
            </w:tcBorders>
          </w:tcPr>
          <w:p>
            <w:pPr>
              <w:spacing w:after="40"/>
            </w:pPr>
            <w:r>
              <w:rPr>
                <w:b/>
                <w:color w:val="1F3A5F"/>
                <w:sz w:val="21"/>
              </w:rPr>
              <w:t>Questions worth asking at this point</w:t>
            </w:r>
          </w:p>
          <w:p>
            <w:pPr>
              <w:spacing w:after="60"/>
            </w:pPr>
            <w:r>
              <w:rPr>
                <w:sz w:val="20"/>
              </w:rPr>
              <w:t>•  Why logistic models rather than a more powerful learner? (Profiles are short and sparse; the gain over the base rate is the question, not maximum accuracy. Worth discussing.)</w:t>
            </w:r>
          </w:p>
          <w:p>
            <w:pPr>
              <w:spacing w:after="60"/>
            </w:pPr>
            <w:r>
              <w:rPr>
                <w:sz w:val="20"/>
              </w:rPr>
              <w:t>•  How would a new hospital's panel be handled? (The lookup is panel-aware, so genes the panel does not cover are simply not queried.)</w:t>
            </w:r>
          </w:p>
        </w:tc>
      </w:tr>
    </w:tbl>
    <w:p>
      <w:pPr>
        <w:spacing w:after="40"/>
      </w:pPr>
    </w:p>
    <w:p>
      <w:pPr>
        <w:spacing w:before="120"/>
      </w:pPr>
      <w:r>
        <w:rPr>
          <w:i/>
          <w:color w:val="555B66"/>
          <w:sz w:val="17"/>
        </w:rPr>
        <w:t>Source files for this part:</w:t>
      </w:r>
      <w:r>
        <w:rPr>
          <w:color w:val="555B66"/>
          <w:sz w:val="17"/>
        </w:rPr>
        <w:t xml:space="preserve"> notebooks/03_phase3_lookup_tool.ipynb, README.md (Phase 3), docs/literature_review.md §10.</w:t>
      </w:r>
    </w:p>
    <w:p>
      <w:r>
        <w:br w:type="page"/>
      </w:r>
    </w:p>
    <w:p>
      <w:pPr>
        <w:spacing w:after="0"/>
      </w:pPr>
      <w:r>
        <w:rPr>
          <w:b/>
          <w:color w:val="2A7F8E"/>
          <w:sz w:val="20"/>
        </w:rPr>
        <w:t>PART 9</w:t>
      </w:r>
    </w:p>
    <w:p>
      <w:pPr>
        <w:pStyle w:val="Heading1"/>
      </w:pPr>
      <w:r>
        <w:t>Phase 4: biological insight</w:t>
      </w:r>
    </w:p>
    <w:p>
      <w:pPr>
        <w:spacing w:after="200"/>
      </w:pPr>
      <w:r>
        <w:rPr>
          <w:color w:val="555B66"/>
          <w:sz w:val="23"/>
        </w:rPr>
        <w:t>Aim 2. Phase 2 says which pairs interact; Phase 4 asks why, where, and how rare.</w:t>
      </w:r>
    </w:p>
    <w:p>
      <w:r>
        <w:rPr>
          <w:b/>
        </w:rPr>
        <w:t>Notebook:</w:t>
      </w:r>
      <w:r>
        <w:t xml:space="preserve"> </w:t>
      </w:r>
      <w:r>
        <w:rPr>
          <w:rFonts w:ascii="Menlo" w:hAnsi="Menlo" w:eastAsia="Menlo"/>
          <w:sz w:val="18"/>
        </w:rPr>
        <w:t>notebooks/04_phase4_insight.ipynb</w:t>
      </w:r>
      <w:r>
        <w:t xml:space="preserve">   </w:t>
      </w:r>
      <w:r>
        <w:rPr>
          <w:b/>
        </w:rPr>
        <w:t>Outputs:</w:t>
      </w:r>
      <w:r>
        <w:t xml:space="preserve"> </w:t>
      </w:r>
      <w:r>
        <w:rPr>
          <w:rFonts w:ascii="Menlo" w:hAnsi="Menlo" w:eastAsia="Menlo"/>
          <w:sz w:val="18"/>
        </w:rPr>
        <w:t>cancer_type_heterogeneity.parquet</w:t>
      </w:r>
      <w:r>
        <w:t xml:space="preserve">, </w:t>
      </w:r>
      <w:r>
        <w:rPr>
          <w:rFonts w:ascii="Menlo" w:hAnsi="Menlo" w:eastAsia="Menlo"/>
          <w:sz w:val="18"/>
        </w:rPr>
        <w:t>rare_combinations.parquet</w:t>
      </w:r>
      <w:r>
        <w:t xml:space="preserve">, </w:t>
      </w:r>
      <w:r>
        <w:rPr>
          <w:rFonts w:ascii="Menlo" w:hAnsi="Menlo" w:eastAsia="Menlo"/>
          <w:sz w:val="18"/>
        </w:rPr>
        <w:t>allele_*.parquet</w:t>
      </w:r>
    </w:p>
    <w:tbl>
      <w:tblPr>
        <w:tblW w:type="auto" w:w="0"/>
        <w:jc w:val="center"/>
        <w:tblLayout w:type="fixed"/>
        <w:tblLook w:firstColumn="1" w:firstRow="1" w:lastColumn="0" w:lastRow="0" w:noHBand="0" w:noVBand="1" w:val="04A0"/>
        <w:tblLayout w:type="fixed"/>
      </w:tblPr>
      <w:tblGrid>
        <w:gridCol w:w="453"/>
        <w:gridCol w:w="3175"/>
        <w:gridCol w:w="6010"/>
      </w:tblGrid>
      <w:tr>
        <w:trPr>
          <w:cantSplit w:val="true"/>
          <w:tblHeader w:val="true"/>
        </w:trPr>
        <w:tc>
          <w:tcPr>
            <w:tcW w:type="dxa" w:w="454"/>
            <w:shd w:val="clear" w:color="auto" w:fill="1F3A5F"/>
            <w:tcMar>
              <w:top w:w="60" w:type="dxa"/>
              <w:left w:w="90" w:type="dxa"/>
              <w:bottom w:w="60" w:type="dxa"/>
              <w:right w:w="90" w:type="dxa"/>
            </w:tcMar>
          </w:tcPr>
          <w:p>
            <w:pPr>
              <w:spacing w:after="0"/>
            </w:pPr>
            <w:r>
              <w:rPr>
                <w:b/>
                <w:color w:val="FFFFFF"/>
                <w:sz w:val="17"/>
              </w:rPr>
              <w:t>#</w:t>
            </w:r>
          </w:p>
        </w:tc>
        <w:tc>
          <w:tcPr>
            <w:tcW w:type="dxa" w:w="3175"/>
            <w:shd w:val="clear" w:color="auto" w:fill="1F3A5F"/>
            <w:tcMar>
              <w:top w:w="60" w:type="dxa"/>
              <w:left w:w="90" w:type="dxa"/>
              <w:bottom w:w="60" w:type="dxa"/>
              <w:right w:w="90" w:type="dxa"/>
            </w:tcMar>
          </w:tcPr>
          <w:p>
            <w:pPr>
              <w:spacing w:after="0"/>
            </w:pPr>
            <w:r>
              <w:rPr>
                <w:b/>
                <w:color w:val="FFFFFF"/>
                <w:sz w:val="17"/>
              </w:rPr>
              <w:t>Question (from the literature)</w:t>
            </w:r>
          </w:p>
        </w:tc>
        <w:tc>
          <w:tcPr>
            <w:tcW w:type="dxa" w:w="6009"/>
            <w:shd w:val="clear" w:color="auto" w:fill="1F3A5F"/>
            <w:tcMar>
              <w:top w:w="60" w:type="dxa"/>
              <w:left w:w="90" w:type="dxa"/>
              <w:bottom w:w="60" w:type="dxa"/>
              <w:right w:w="90" w:type="dxa"/>
            </w:tcMar>
          </w:tcPr>
          <w:p>
            <w:pPr>
              <w:spacing w:after="0"/>
            </w:pPr>
            <w:r>
              <w:rPr>
                <w:b/>
                <w:color w:val="FFFFFF"/>
                <w:sz w:val="17"/>
              </w:rPr>
              <w:t>Finding</w:t>
            </w:r>
          </w:p>
        </w:tc>
      </w:tr>
      <w:tr>
        <w:trPr>
          <w:cantSplit w:val="true"/>
        </w:trPr>
        <w:tc>
          <w:tcPr>
            <w:tcW w:type="dxa" w:w="45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1</w:t>
            </w:r>
          </w:p>
        </w:tc>
        <w:tc>
          <w:tcPr>
            <w:tcW w:type="dxa" w:w="317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Are exclusive pairs redundant hits in one pathway? (Sanchez-Vega; Mina; El Tekle)</w:t>
            </w:r>
          </w:p>
        </w:tc>
        <w:tc>
          <w:tcPr>
            <w:tcW w:type="dxa" w:w="6009"/>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 xml:space="preserve">Exclusive pairs are </w:t>
            </w:r>
            <w:r>
              <w:rPr>
                <w:b/>
                <w:sz w:val="17"/>
              </w:rPr>
              <w:t>3.3x</w:t>
            </w:r>
            <w:r>
              <w:rPr>
                <w:sz w:val="17"/>
              </w:rPr>
              <w:t xml:space="preserve"> enriched within one of 10 TCGA oncogenic pathways (</w:t>
            </w:r>
            <w:r>
              <w:rPr>
                <w:b/>
                <w:sz w:val="17"/>
              </w:rPr>
              <w:t>4.5x</w:t>
            </w:r>
            <w:r>
              <w:rPr>
                <w:sz w:val="17"/>
              </w:rPr>
              <w:t xml:space="preserve"> for replicated pairs): </w:t>
            </w:r>
            <w:r>
              <w:rPr>
                <w:i/>
                <w:sz w:val="17"/>
              </w:rPr>
              <w:t>EGFR</w:t>
            </w:r>
            <w:r>
              <w:rPr>
                <w:sz w:val="17"/>
              </w:rPr>
              <w:t>/</w:t>
            </w:r>
            <w:r>
              <w:rPr>
                <w:i/>
                <w:sz w:val="17"/>
              </w:rPr>
              <w:t>KRAS</w:t>
            </w:r>
            <w:r>
              <w:rPr>
                <w:sz w:val="17"/>
              </w:rPr>
              <w:t xml:space="preserve">, </w:t>
            </w:r>
            <w:r>
              <w:rPr>
                <w:i/>
                <w:sz w:val="17"/>
              </w:rPr>
              <w:t>BRAF</w:t>
            </w:r>
            <w:r>
              <w:rPr>
                <w:sz w:val="17"/>
              </w:rPr>
              <w:t>/</w:t>
            </w:r>
            <w:r>
              <w:rPr>
                <w:i/>
                <w:sz w:val="17"/>
              </w:rPr>
              <w:t>NRAS</w:t>
            </w:r>
            <w:r>
              <w:rPr>
                <w:sz w:val="17"/>
              </w:rPr>
              <w:t xml:space="preserve">, </w:t>
            </w:r>
            <w:r>
              <w:rPr>
                <w:i/>
                <w:sz w:val="17"/>
              </w:rPr>
              <w:t>MDM2</w:t>
            </w:r>
            <w:r>
              <w:rPr>
                <w:sz w:val="17"/>
              </w:rPr>
              <w:t>/</w:t>
            </w:r>
            <w:r>
              <w:rPr>
                <w:i/>
                <w:sz w:val="17"/>
              </w:rPr>
              <w:t>TP53</w:t>
            </w:r>
            <w:r>
              <w:rPr>
                <w:sz w:val="17"/>
              </w:rPr>
              <w:t xml:space="preserve">, </w:t>
            </w:r>
            <w:r>
              <w:rPr>
                <w:i/>
                <w:sz w:val="17"/>
              </w:rPr>
              <w:t>PIK3CA</w:t>
            </w:r>
            <w:r>
              <w:rPr>
                <w:sz w:val="17"/>
              </w:rPr>
              <w:t>/</w:t>
            </w:r>
            <w:r>
              <w:rPr>
                <w:i/>
                <w:sz w:val="17"/>
              </w:rPr>
              <w:t>PIK3R1</w:t>
            </w:r>
            <w:r>
              <w:rPr>
                <w:sz w:val="17"/>
              </w:rPr>
              <w:t xml:space="preserve">. Co-occurring pairs are </w:t>
            </w:r>
            <w:r>
              <w:rPr>
                <w:b/>
                <w:sz w:val="17"/>
              </w:rPr>
              <w:t>not</w:t>
            </w:r>
            <w:r>
              <w:rPr>
                <w:sz w:val="17"/>
              </w:rPr>
              <w:t xml:space="preserve"> enriched across pathways (OR ≈ 1). Exclusive pairs across pathways (</w:t>
            </w:r>
            <w:r>
              <w:rPr>
                <w:i/>
                <w:sz w:val="17"/>
              </w:rPr>
              <w:t>EGFR</w:t>
            </w:r>
            <w:r>
              <w:rPr>
                <w:sz w:val="17"/>
              </w:rPr>
              <w:t xml:space="preserve"> vs </w:t>
            </w:r>
            <w:r>
              <w:rPr>
                <w:i/>
                <w:sz w:val="17"/>
              </w:rPr>
              <w:t>STK11</w:t>
            </w:r>
            <w:r>
              <w:rPr>
                <w:sz w:val="17"/>
              </w:rPr>
              <w:t>/</w:t>
            </w:r>
            <w:r>
              <w:rPr>
                <w:i/>
                <w:sz w:val="17"/>
              </w:rPr>
              <w:t>KEAP1</w:t>
            </w:r>
            <w:r>
              <w:rPr>
                <w:sz w:val="17"/>
              </w:rPr>
              <w:t xml:space="preserve"> in lung) are candidate incompatibilities</w:t>
            </w:r>
          </w:p>
        </w:tc>
      </w:tr>
      <w:tr>
        <w:trPr>
          <w:cantSplit w:val="true"/>
        </w:trPr>
        <w:tc>
          <w:tcPr>
            <w:tcW w:type="dxa" w:w="45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2</w:t>
            </w:r>
          </w:p>
        </w:tc>
        <w:tc>
          <w:tcPr>
            <w:tcW w:type="dxa" w:w="317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Which interactions are universal, which type-specific? (Park &amp; Lehner)</w:t>
            </w:r>
          </w:p>
        </w:tc>
        <w:tc>
          <w:tcPr>
            <w:tcW w:type="dxa" w:w="6009"/>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 xml:space="preserve">A third of the 538 pairs tested in ≥3 types differ between types; </w:t>
            </w:r>
            <w:r>
              <w:rPr>
                <w:b/>
                <w:sz w:val="17"/>
              </w:rPr>
              <w:t>47 reverse direction</w:t>
            </w:r>
            <w:r>
              <w:rPr>
                <w:sz w:val="17"/>
              </w:rPr>
              <w:t xml:space="preserve">: </w:t>
            </w:r>
            <w:r>
              <w:rPr>
                <w:i/>
                <w:sz w:val="17"/>
              </w:rPr>
              <w:t>EGFR</w:t>
            </w:r>
            <w:r>
              <w:rPr>
                <w:sz w:val="17"/>
              </w:rPr>
              <w:t>/</w:t>
            </w:r>
            <w:r>
              <w:rPr>
                <w:i/>
                <w:sz w:val="17"/>
              </w:rPr>
              <w:t>TP53</w:t>
            </w:r>
            <w:r>
              <w:rPr>
                <w:sz w:val="17"/>
              </w:rPr>
              <w:t xml:space="preserve"> (together in lung, apart in glioma), </w:t>
            </w:r>
            <w:r>
              <w:rPr>
                <w:i/>
                <w:sz w:val="17"/>
              </w:rPr>
              <w:t>KRAS</w:t>
            </w:r>
            <w:r>
              <w:rPr>
                <w:sz w:val="17"/>
              </w:rPr>
              <w:t>/</w:t>
            </w:r>
            <w:r>
              <w:rPr>
                <w:i/>
                <w:sz w:val="17"/>
              </w:rPr>
              <w:t>TP53</w:t>
            </w:r>
            <w:r>
              <w:rPr>
                <w:sz w:val="17"/>
              </w:rPr>
              <w:t xml:space="preserve"> (together in pancreas, apart in lung and colorectal), </w:t>
            </w:r>
            <w:r>
              <w:rPr>
                <w:i/>
                <w:sz w:val="17"/>
              </w:rPr>
              <w:t>CCND1</w:t>
            </w:r>
            <w:r>
              <w:rPr>
                <w:sz w:val="17"/>
              </w:rPr>
              <w:t>/</w:t>
            </w:r>
            <w:r>
              <w:rPr>
                <w:i/>
                <w:sz w:val="17"/>
              </w:rPr>
              <w:t>TP53</w:t>
            </w:r>
            <w:r>
              <w:rPr>
                <w:sz w:val="17"/>
              </w:rPr>
              <w:t>. 21 are universal (</w:t>
            </w:r>
            <w:r>
              <w:rPr>
                <w:i/>
                <w:sz w:val="17"/>
              </w:rPr>
              <w:t>ATM</w:t>
            </w:r>
            <w:r>
              <w:rPr>
                <w:sz w:val="17"/>
              </w:rPr>
              <w:t>/</w:t>
            </w:r>
            <w:r>
              <w:rPr>
                <w:i/>
                <w:sz w:val="17"/>
              </w:rPr>
              <w:t>TP53</w:t>
            </w:r>
            <w:r>
              <w:rPr>
                <w:sz w:val="17"/>
              </w:rPr>
              <w:t xml:space="preserve">, </w:t>
            </w:r>
            <w:r>
              <w:rPr>
                <w:i/>
                <w:sz w:val="17"/>
              </w:rPr>
              <w:t>CDKN2A</w:t>
            </w:r>
            <w:r>
              <w:rPr>
                <w:sz w:val="17"/>
              </w:rPr>
              <w:t>/</w:t>
            </w:r>
            <w:r>
              <w:rPr>
                <w:i/>
                <w:sz w:val="17"/>
              </w:rPr>
              <w:t>RB1</w:t>
            </w:r>
            <w:r>
              <w:rPr>
                <w:sz w:val="17"/>
              </w:rPr>
              <w:t xml:space="preserve">, </w:t>
            </w:r>
            <w:r>
              <w:rPr>
                <w:i/>
                <w:sz w:val="17"/>
              </w:rPr>
              <w:t>MDM2</w:t>
            </w:r>
            <w:r>
              <w:rPr>
                <w:sz w:val="17"/>
              </w:rPr>
              <w:t>/</w:t>
            </w:r>
            <w:r>
              <w:rPr>
                <w:i/>
                <w:sz w:val="17"/>
              </w:rPr>
              <w:t>RB1</w:t>
            </w:r>
            <w:r>
              <w:rPr>
                <w:sz w:val="17"/>
              </w:rPr>
              <w:t>)</w:t>
            </w:r>
          </w:p>
        </w:tc>
      </w:tr>
      <w:tr>
        <w:trPr>
          <w:cantSplit w:val="true"/>
        </w:trPr>
        <w:tc>
          <w:tcPr>
            <w:tcW w:type="dxa" w:w="45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3</w:t>
            </w:r>
          </w:p>
        </w:tc>
        <w:tc>
          <w:tcPr>
            <w:tcW w:type="dxa" w:w="317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Do variants of one gene have different partners? Is it smoking? (Scharpf; Cook; Vaeyens)</w:t>
            </w:r>
          </w:p>
        </w:tc>
        <w:tc>
          <w:tcPr>
            <w:tcW w:type="dxa" w:w="6009"/>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 xml:space="preserve">10 of 201 (gene, partner) combinations differ by allele: </w:t>
            </w:r>
            <w:r>
              <w:rPr>
                <w:i/>
                <w:sz w:val="17"/>
              </w:rPr>
              <w:t>EGFR</w:t>
            </w:r>
            <w:r>
              <w:rPr>
                <w:sz w:val="17"/>
              </w:rPr>
              <w:t xml:space="preserve"> L858R vs exon 19 for </w:t>
            </w:r>
            <w:r>
              <w:rPr>
                <w:i/>
                <w:sz w:val="17"/>
              </w:rPr>
              <w:t>RBM10</w:t>
            </w:r>
            <w:r>
              <w:rPr>
                <w:sz w:val="17"/>
              </w:rPr>
              <w:t xml:space="preserve"> (q = 4e-22); </w:t>
            </w:r>
            <w:r>
              <w:rPr>
                <w:i/>
                <w:sz w:val="17"/>
              </w:rPr>
              <w:t>PIK3CA</w:t>
            </w:r>
            <w:r>
              <w:rPr>
                <w:sz w:val="17"/>
              </w:rPr>
              <w:t xml:space="preserve"> helical vs kinase for </w:t>
            </w:r>
            <w:r>
              <w:rPr>
                <w:i/>
                <w:sz w:val="17"/>
              </w:rPr>
              <w:t>GATA3</w:t>
            </w:r>
            <w:r>
              <w:rPr>
                <w:sz w:val="17"/>
              </w:rPr>
              <w:t xml:space="preserve"> and </w:t>
            </w:r>
            <w:r>
              <w:rPr>
                <w:i/>
                <w:sz w:val="17"/>
              </w:rPr>
              <w:t>PTEN</w:t>
            </w:r>
            <w:r>
              <w:rPr>
                <w:sz w:val="17"/>
              </w:rPr>
              <w:t xml:space="preserve">. Adjusting for each patient's smoking signature (C&gt;A share) shrinks </w:t>
            </w:r>
            <w:r>
              <w:rPr>
                <w:i/>
                <w:sz w:val="17"/>
              </w:rPr>
              <w:t>KRAS</w:t>
            </w:r>
            <w:r>
              <w:rPr>
                <w:sz w:val="17"/>
              </w:rPr>
              <w:t xml:space="preserve"> G12C/</w:t>
            </w:r>
            <w:r>
              <w:rPr>
                <w:i/>
                <w:sz w:val="17"/>
              </w:rPr>
              <w:t>STK11</w:t>
            </w:r>
            <w:r>
              <w:rPr>
                <w:sz w:val="17"/>
              </w:rPr>
              <w:t xml:space="preserve"> from 2.00x to 1.74x and removes G12C/</w:t>
            </w:r>
            <w:r>
              <w:rPr>
                <w:i/>
                <w:sz w:val="17"/>
              </w:rPr>
              <w:t>RBM10</w:t>
            </w:r>
            <w:r>
              <w:rPr>
                <w:sz w:val="17"/>
              </w:rPr>
              <w:t>; the non-smoking allele G12D is unchanged (a negative control)</w:t>
            </w:r>
          </w:p>
        </w:tc>
      </w:tr>
      <w:tr>
        <w:trPr>
          <w:cantSplit w:val="true"/>
        </w:trPr>
        <w:tc>
          <w:tcPr>
            <w:tcW w:type="dxa" w:w="45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4</w:t>
            </w:r>
          </w:p>
        </w:tc>
        <w:tc>
          <w:tcPr>
            <w:tcW w:type="dxa" w:w="317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Which combinations are rare, and do they exist?</w:t>
            </w:r>
          </w:p>
        </w:tc>
        <w:tc>
          <w:tcPr>
            <w:tcW w:type="dxa" w:w="6009"/>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 xml:space="preserve">351 replicated exclusive pairs; 130 seen in 1-20 patients. </w:t>
            </w:r>
            <w:r>
              <w:rPr>
                <w:i/>
                <w:sz w:val="17"/>
              </w:rPr>
              <w:t>ALK</w:t>
            </w:r>
            <w:r>
              <w:rPr>
                <w:sz w:val="17"/>
              </w:rPr>
              <w:t xml:space="preserve"> fusion + </w:t>
            </w:r>
            <w:r>
              <w:rPr>
                <w:i/>
                <w:sz w:val="17"/>
              </w:rPr>
              <w:t>STK11</w:t>
            </w:r>
            <w:r>
              <w:rPr>
                <w:sz w:val="17"/>
              </w:rPr>
              <w:t xml:space="preserve"> in lung: 0 observed vs 60 expected. </w:t>
            </w:r>
            <w:r>
              <w:rPr>
                <w:i/>
                <w:sz w:val="17"/>
              </w:rPr>
              <w:t>GNAQ</w:t>
            </w:r>
            <w:r>
              <w:rPr>
                <w:sz w:val="17"/>
              </w:rPr>
              <w:t xml:space="preserve"> + </w:t>
            </w:r>
            <w:r>
              <w:rPr>
                <w:i/>
                <w:sz w:val="17"/>
              </w:rPr>
              <w:t>GNA11</w:t>
            </w:r>
            <w:r>
              <w:rPr>
                <w:sz w:val="17"/>
              </w:rPr>
              <w:t xml:space="preserve"> in melanoma: 0 vs 44. </w:t>
            </w:r>
            <w:r>
              <w:rPr>
                <w:i/>
                <w:sz w:val="17"/>
              </w:rPr>
              <w:t>H3F3A</w:t>
            </w:r>
            <w:r>
              <w:rPr>
                <w:sz w:val="17"/>
              </w:rPr>
              <w:t xml:space="preserve"> + </w:t>
            </w:r>
            <w:r>
              <w:rPr>
                <w:i/>
                <w:sz w:val="17"/>
              </w:rPr>
              <w:t>IDH1</w:t>
            </w:r>
            <w:r>
              <w:rPr>
                <w:sz w:val="17"/>
              </w:rPr>
              <w:t xml:space="preserve"> in glioma: 1 vs 43 (two distinct glioma classes)</w:t>
            </w:r>
          </w:p>
        </w:tc>
      </w:tr>
      <w:tr>
        <w:trPr>
          <w:cantSplit w:val="true"/>
        </w:trPr>
        <w:tc>
          <w:tcPr>
            <w:tcW w:type="dxa" w:w="45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5</w:t>
            </w:r>
          </w:p>
        </w:tc>
        <w:tc>
          <w:tcPr>
            <w:tcW w:type="dxa" w:w="317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What differs in hypermutated tumours? (van de Haar; Campbell)</w:t>
            </w:r>
          </w:p>
        </w:tc>
        <w:tc>
          <w:tcPr>
            <w:tcW w:type="dxa" w:w="6009"/>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Mostly subtype structure (MSI vs MSS in colorectal cancer), not new interactions</w:t>
            </w:r>
          </w:p>
        </w:tc>
      </w:tr>
      <w:tr>
        <w:trPr>
          <w:cantSplit w:val="true"/>
        </w:trPr>
        <w:tc>
          <w:tcPr>
            <w:tcW w:type="dxa" w:w="45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6</w:t>
            </w:r>
          </w:p>
        </w:tc>
        <w:tc>
          <w:tcPr>
            <w:tcW w:type="dxa" w:w="317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Do mutation-only and mutation-or-copy-number analyses agree?</w:t>
            </w:r>
          </w:p>
        </w:tc>
        <w:tc>
          <w:tcPr>
            <w:tcW w:type="dxa" w:w="6009"/>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 xml:space="preserve">Same direction in </w:t>
            </w:r>
            <w:r>
              <w:rPr>
                <w:b/>
                <w:sz w:val="17"/>
              </w:rPr>
              <w:t>98.9%</w:t>
            </w:r>
            <w:r>
              <w:rPr>
                <w:sz w:val="17"/>
              </w:rPr>
              <w:t xml:space="preserve"> of pairs significant in both</w:t>
            </w:r>
          </w:p>
        </w:tc>
      </w:tr>
      <w:tr>
        <w:trPr>
          <w:cantSplit w:val="true"/>
        </w:trPr>
        <w:tc>
          <w:tcPr>
            <w:tcW w:type="dxa" w:w="45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7</w:t>
            </w:r>
          </w:p>
        </w:tc>
        <w:tc>
          <w:tcPr>
            <w:tcW w:type="dxa" w:w="317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Is anything here new? (novelty audit)</w:t>
            </w:r>
          </w:p>
        </w:tc>
        <w:tc>
          <w:tcPr>
            <w:tcW w:type="dxa" w:w="6009"/>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Of 386 robust pairs, 41 are in neither the literature nor the SelectSim atlas, and those are amplicon passengers or subtype markers; the best candidate (CTCF vs TP53, endometrial) is in SelectSim's atlas</w:t>
            </w:r>
          </w:p>
        </w:tc>
      </w:tr>
    </w:tbl>
    <w:p>
      <w:pPr>
        <w:spacing w:after="40"/>
      </w:pPr>
    </w:p>
    <w:p>
      <w:pPr>
        <w:pStyle w:val="Heading2"/>
      </w:pPr>
      <w:r>
        <w:t>9.1  A blind spot we found in our own method</w:t>
      </w:r>
    </w:p>
    <w:tbl>
      <w:tblPr>
        <w:tblW w:type="auto" w:w="0"/>
        <w:jc w:val="center"/>
        <w:tblLook w:firstColumn="1" w:firstRow="1" w:lastColumn="0" w:lastRow="0" w:noHBand="0" w:noVBand="1" w:val="04A0"/>
        <w:tblLayout w:type="fixed"/>
      </w:tblPr>
      <w:tblGrid>
        <w:gridCol w:w="9639"/>
      </w:tblGrid>
      <w:tr>
        <w:trPr>
          <w:cantSplit w:val="true"/>
        </w:trPr>
        <w:tc>
          <w:tcPr>
            <w:tcW w:type="dxa" w:w="9638"/>
            <w:shd w:val="clear" w:color="auto" w:fill="FDF1E3"/>
            <w:tcMar>
              <w:top w:w="110" w:type="dxa"/>
              <w:left w:w="200" w:type="dxa"/>
              <w:bottom w:w="110" w:type="dxa"/>
              <w:right w:w="160" w:type="dxa"/>
            </w:tcMar>
            <w:tcBorders>
              <w:top w:val="nil" w:sz="0" w:color="FFFFFF"/>
              <w:left w:val="single" w:sz="24" w:color="D9822B"/>
              <w:bottom w:val="nil" w:sz="0" w:color="FFFFFF"/>
              <w:right w:val="nil" w:sz="0" w:color="FFFFFF"/>
            </w:tcBorders>
          </w:tcPr>
          <w:p>
            <w:pPr>
              <w:spacing w:after="40"/>
            </w:pPr>
            <w:r>
              <w:rPr>
                <w:b/>
                <w:color w:val="8A4B0A"/>
                <w:sz w:val="21"/>
              </w:rPr>
              <w:t>The amplifier-burden confound (6 Oct 2026)</w:t>
            </w:r>
          </w:p>
          <w:p>
            <w:pPr>
              <w:spacing w:after="60"/>
            </w:pPr>
            <w:r>
              <w:rPr>
                <w:sz w:val="20"/>
              </w:rPr>
              <w:t xml:space="preserve">Looking for genuinely new signal, we found </w:t>
            </w:r>
            <w:r>
              <w:rPr>
                <w:i/>
                <w:sz w:val="20"/>
              </w:rPr>
              <w:t>CD79B</w:t>
            </w:r>
            <w:r>
              <w:rPr>
                <w:sz w:val="20"/>
              </w:rPr>
              <w:t xml:space="preserve">, a B-cell gene with no breast-cancer role, flagged as co-occurring with </w:t>
            </w:r>
            <w:r>
              <w:rPr>
                <w:i/>
                <w:sz w:val="20"/>
              </w:rPr>
              <w:t>GATA3</w:t>
            </w:r>
            <w:r>
              <w:rPr>
                <w:sz w:val="20"/>
              </w:rPr>
              <w:t xml:space="preserve">, </w:t>
            </w:r>
            <w:r>
              <w:rPr>
                <w:i/>
                <w:sz w:val="20"/>
              </w:rPr>
              <w:t>MDM2</w:t>
            </w:r>
            <w:r>
              <w:rPr>
                <w:sz w:val="20"/>
              </w:rPr>
              <w:t xml:space="preserve">, </w:t>
            </w:r>
            <w:r>
              <w:rPr>
                <w:i/>
                <w:sz w:val="20"/>
              </w:rPr>
              <w:t>AURKA</w:t>
            </w:r>
            <w:r>
              <w:rPr>
                <w:sz w:val="20"/>
              </w:rPr>
              <w:t xml:space="preserve"> and </w:t>
            </w:r>
            <w:r>
              <w:rPr>
                <w:i/>
                <w:sz w:val="20"/>
              </w:rPr>
              <w:t>GNAS</w:t>
            </w:r>
            <w:r>
              <w:rPr>
                <w:sz w:val="20"/>
              </w:rPr>
              <w:t xml:space="preserve"> in breast cancer. It is a passenger on the 17q23 amplicon; its carriers have a median of </w:t>
            </w:r>
            <w:r>
              <w:rPr>
                <w:b/>
                <w:sz w:val="20"/>
              </w:rPr>
              <w:t>7 other amplified genes versus 1 overall</w:t>
            </w:r>
            <w:r>
              <w:rPr>
                <w:sz w:val="20"/>
              </w:rPr>
              <w:t xml:space="preserve">, a general “amplifier” phenotype. After adjusting for each patient's amplification burden the </w:t>
            </w:r>
            <w:r>
              <w:rPr>
                <w:i/>
                <w:sz w:val="20"/>
              </w:rPr>
              <w:t>GATA3</w:t>
            </w:r>
            <w:r>
              <w:rPr>
                <w:sz w:val="20"/>
              </w:rPr>
              <w:t xml:space="preserve"> link reversed sign (pure confound), while </w:t>
            </w:r>
            <w:r>
              <w:rPr>
                <w:i/>
                <w:sz w:val="20"/>
              </w:rPr>
              <w:t>MDM2</w:t>
            </w:r>
            <w:r>
              <w:rPr>
                <w:sz w:val="20"/>
              </w:rPr>
              <w:t>/</w:t>
            </w:r>
            <w:r>
              <w:rPr>
                <w:i/>
                <w:sz w:val="20"/>
              </w:rPr>
              <w:t>AURKA</w:t>
            </w:r>
            <w:r>
              <w:rPr>
                <w:sz w:val="20"/>
              </w:rPr>
              <w:t>/</w:t>
            </w:r>
            <w:r>
              <w:rPr>
                <w:i/>
                <w:sz w:val="20"/>
              </w:rPr>
              <w:t>GNAS</w:t>
            </w:r>
            <w:r>
              <w:rPr>
                <w:sz w:val="20"/>
              </w:rPr>
              <w:t xml:space="preserve"> survived.</w:t>
            </w:r>
          </w:p>
          <w:p>
            <w:pPr>
              <w:spacing w:after="60"/>
            </w:pPr>
            <w:r>
              <w:rPr>
                <w:b/>
                <w:sz w:val="20"/>
              </w:rPr>
              <w:t>Systematic follow-up:</w:t>
            </w:r>
            <w:r>
              <w:rPr>
                <w:sz w:val="20"/>
              </w:rPr>
              <w:t xml:space="preserve"> of the 25 copy-number-driven candidates (at least 80% of co-altered patients carry copy-number changes in both genes), </w:t>
            </w:r>
            <w:r>
              <w:rPr>
                <w:b/>
                <w:sz w:val="20"/>
              </w:rPr>
              <w:t>21 survive</w:t>
            </w:r>
            <w:r>
              <w:rPr>
                <w:sz w:val="20"/>
              </w:rPr>
              <w:t xml:space="preserve"> burden adjustment and </w:t>
            </w:r>
            <w:r>
              <w:rPr>
                <w:b/>
                <w:sz w:val="20"/>
              </w:rPr>
              <w:t>4 are artefacts</w:t>
            </w:r>
            <w:r>
              <w:rPr>
                <w:sz w:val="20"/>
              </w:rPr>
              <w:t xml:space="preserve"> (</w:t>
            </w:r>
            <w:r>
              <w:rPr>
                <w:i/>
                <w:sz w:val="20"/>
              </w:rPr>
              <w:t>BCL2L1</w:t>
            </w:r>
            <w:r>
              <w:rPr>
                <w:sz w:val="20"/>
              </w:rPr>
              <w:t>/</w:t>
            </w:r>
            <w:r>
              <w:rPr>
                <w:i/>
                <w:sz w:val="20"/>
              </w:rPr>
              <w:t>MYC</w:t>
            </w:r>
            <w:r>
              <w:rPr>
                <w:sz w:val="20"/>
              </w:rPr>
              <w:t xml:space="preserve"> colorectal, </w:t>
            </w:r>
            <w:r>
              <w:rPr>
                <w:i/>
                <w:sz w:val="20"/>
              </w:rPr>
              <w:t>CCND1</w:t>
            </w:r>
            <w:r>
              <w:rPr>
                <w:sz w:val="20"/>
              </w:rPr>
              <w:t>/</w:t>
            </w:r>
            <w:r>
              <w:rPr>
                <w:i/>
                <w:sz w:val="20"/>
              </w:rPr>
              <w:t>CDKN2A</w:t>
            </w:r>
            <w:r>
              <w:rPr>
                <w:sz w:val="20"/>
              </w:rPr>
              <w:t xml:space="preserve"> bladder, </w:t>
            </w:r>
            <w:r>
              <w:rPr>
                <w:i/>
                <w:sz w:val="20"/>
              </w:rPr>
              <w:t>CDK4</w:t>
            </w:r>
            <w:r>
              <w:rPr>
                <w:sz w:val="20"/>
              </w:rPr>
              <w:t>/</w:t>
            </w:r>
            <w:r>
              <w:rPr>
                <w:i/>
                <w:sz w:val="20"/>
              </w:rPr>
              <w:t>TERT</w:t>
            </w:r>
            <w:r>
              <w:rPr>
                <w:sz w:val="20"/>
              </w:rPr>
              <w:t xml:space="preserve"> and </w:t>
            </w:r>
            <w:r>
              <w:rPr>
                <w:i/>
                <w:sz w:val="20"/>
              </w:rPr>
              <w:t>FOXA1</w:t>
            </w:r>
            <w:r>
              <w:rPr>
                <w:sz w:val="20"/>
              </w:rPr>
              <w:t>/</w:t>
            </w:r>
            <w:r>
              <w:rPr>
                <w:i/>
                <w:sz w:val="20"/>
              </w:rPr>
              <w:t>TERT</w:t>
            </w:r>
            <w:r>
              <w:rPr>
                <w:sz w:val="20"/>
              </w:rPr>
              <w:t xml:space="preserve"> lung).</w:t>
            </w:r>
          </w:p>
        </w:tc>
      </w:tr>
    </w:tbl>
    <w:p>
      <w:pPr>
        <w:spacing w:after="40"/>
      </w:pPr>
    </w:p>
    <w:p>
      <w:pPr>
        <w:pStyle w:val="ListBullet"/>
        <w:spacing w:after="60"/>
      </w:pPr>
      <w:r>
        <w:t xml:space="preserve">Building burden directly into the main test </w:t>
      </w:r>
      <w:r>
        <w:rPr>
          <w:b/>
        </w:rPr>
        <w:t>over-adjusts</w:t>
      </w:r>
      <w:r>
        <w:t xml:space="preserve">: known pairs like </w:t>
      </w:r>
      <w:r>
        <w:rPr>
          <w:i/>
        </w:rPr>
        <w:t>CCND1</w:t>
      </w:r>
      <w:r>
        <w:t>/</w:t>
      </w:r>
      <w:r>
        <w:rPr>
          <w:i/>
        </w:rPr>
        <w:t>FGFR1</w:t>
      </w:r>
      <w:r>
        <w:t xml:space="preserve"> are lost, because burden is partly caused by the genes being tested. So burden adjustment is kept as a sensitivity flag (</w:t>
      </w:r>
      <w:r>
        <w:rPr>
          <w:rFonts w:ascii="Menlo" w:hAnsi="Menlo" w:eastAsia="Menlo"/>
          <w:sz w:val="18"/>
        </w:rPr>
        <w:t>burden_robust</w:t>
      </w:r>
      <w:r>
        <w:t>), not the default: in the final run 1,276 of 1,584 candidates pass it.</w:t>
      </w:r>
    </w:p>
    <w:p>
      <w:pPr>
        <w:pStyle w:val="ListBullet"/>
        <w:spacing w:after="60"/>
      </w:pPr>
      <w:r>
        <w:t xml:space="preserve">An earlier quick check had compared amplification-only status for </w:t>
      </w:r>
      <w:r>
        <w:rPr>
          <w:i/>
        </w:rPr>
        <w:t>GATA3</w:t>
      </w:r>
      <w:r>
        <w:t>, which is mostly altered by mutation, so it tested a different question. The corrected, systematic script (</w:t>
      </w:r>
      <w:r>
        <w:rPr>
          <w:rFonts w:ascii="Menlo" w:hAnsi="Menlo" w:eastAsia="Menlo"/>
          <w:sz w:val="18"/>
        </w:rPr>
        <w:t>12_burden_adjusted_retest.py</w:t>
      </w:r>
      <w:r>
        <w:t>) is authoritative.</w:t>
      </w:r>
    </w:p>
    <w:p>
      <w:pPr>
        <w:pStyle w:val="Heading2"/>
      </w:pPr>
      <w:r>
        <w:t>9.2  An exception to the pathway rule</w:t>
      </w:r>
    </w:p>
    <w:p>
      <w:r>
        <w:rPr>
          <w:i/>
        </w:rPr>
        <w:t>NF1</w:t>
      </w:r>
      <w:r>
        <w:t xml:space="preserve"> and </w:t>
      </w:r>
      <w:r>
        <w:rPr>
          <w:i/>
        </w:rPr>
        <w:t>PTPN11</w:t>
      </w:r>
      <w:r>
        <w:t xml:space="preserve"> are both RTK-RAS pathway genes, yet they </w:t>
      </w:r>
      <w:r>
        <w:rPr>
          <w:b/>
        </w:rPr>
        <w:t>co-occur</w:t>
      </w:r>
      <w:r>
        <w:t xml:space="preserve"> in glioma, almost entirely through point mutations (so the amplicon confound does not apply). A plausible reading is cooperation rather than redundancy: losing the brake (</w:t>
      </w:r>
      <w:r>
        <w:rPr>
          <w:i/>
        </w:rPr>
        <w:t>NF1</w:t>
      </w:r>
      <w:r>
        <w:t>) while pressing the accelerator (</w:t>
      </w:r>
      <w:r>
        <w:rPr>
          <w:i/>
        </w:rPr>
        <w:t>PTPN11</w:t>
      </w:r>
      <w:r>
        <w:t>).</w:t>
      </w:r>
    </w:p>
    <w:p>
      <w:pPr>
        <w:pStyle w:val="Heading2"/>
      </w:pPr>
      <w:r>
        <w:rPr/>
        <w:t>9.3  Is anything new? A novelty audit</w:t>
      </w:r>
    </w:p>
    <w:p>
      <w:r>
        <w:rPr/>
        <w:t xml:space="preserve">The questions above come from the literature, so the answers mostly </w:t>
      </w:r>
      <w:r>
        <w:rPr>
          <w:i/>
        </w:rPr>
        <w:t>confirm</w:t>
      </w:r>
      <w:r>
        <w:rPr/>
        <w:t xml:space="preserve"> known biology. To find what is not yet reported, each of the 386 most robust pairs (replicated outside MSK, burden-robust, not weak) was checked against two sources (19_novelty_screen.py): Europe PMC papers naming both genes and the cancer type in the title or abstract, and the SelectSim atlas, whose 892 validated pairs sit in a supplementary table that no title search can see.</w:t>
      </w:r>
    </w:p>
    <w:p>
      <w:pPr>
        <w:pStyle w:val="ListBullet"/>
        <w:spacing w:after="60"/>
      </w:pPr>
      <w:r>
        <w:rPr>
          <w:b/>
        </w:rPr>
        <w:t>343 of 386</w:t>
      </w:r>
      <w:r>
        <w:rPr/>
        <w:t xml:space="preserve"> pairs are already named together in titles or abstracts; </w:t>
      </w:r>
      <w:r>
        <w:rPr>
          <w:b/>
        </w:rPr>
        <w:t>41</w:t>
      </w:r>
      <w:r>
        <w:rPr/>
        <w:t xml:space="preserve"> are in neither source.</w:t>
      </w:r>
    </w:p>
    <w:p>
      <w:pPr>
        <w:pStyle w:val="ListBullet"/>
        <w:spacing w:after="60"/>
      </w:pPr>
      <w:r>
        <w:rPr/>
        <w:t xml:space="preserve">Those 41 are almost all </w:t>
      </w:r>
      <w:r>
        <w:rPr>
          <w:b/>
        </w:rPr>
        <w:t>stand-ins for known biology</w:t>
      </w:r>
      <w:r>
        <w:rPr/>
        <w:t>: passenger genes on an amplicon standing in for the real driver next to them (</w:t>
      </w:r>
      <w:r>
        <w:rPr>
          <w:i/>
        </w:rPr>
        <w:t>GLI1</w:t>
      </w:r>
      <w:r>
        <w:rPr/>
        <w:t xml:space="preserve"> beside </w:t>
      </w:r>
      <w:r>
        <w:rPr>
          <w:i/>
        </w:rPr>
        <w:t>CDK4</w:t>
      </w:r>
      <w:r>
        <w:rPr/>
        <w:t xml:space="preserve">, </w:t>
      </w:r>
      <w:r>
        <w:rPr>
          <w:i/>
        </w:rPr>
        <w:t>KDR</w:t>
      </w:r>
      <w:r>
        <w:rPr/>
        <w:t xml:space="preserve"> beside </w:t>
      </w:r>
      <w:r>
        <w:rPr>
          <w:i/>
        </w:rPr>
        <w:t>PDGFRA</w:t>
      </w:r>
      <w:r>
        <w:rPr/>
        <w:t xml:space="preserve">, </w:t>
      </w:r>
      <w:r>
        <w:rPr>
          <w:i/>
        </w:rPr>
        <w:t>RARA</w:t>
      </w:r>
      <w:r>
        <w:rPr/>
        <w:t xml:space="preserve"> beside </w:t>
      </w:r>
      <w:r>
        <w:rPr>
          <w:i/>
        </w:rPr>
        <w:t>ERBB2</w:t>
      </w:r>
      <w:r>
        <w:rPr/>
        <w:t xml:space="preserve">, </w:t>
      </w:r>
      <w:r>
        <w:rPr>
          <w:i/>
        </w:rPr>
        <w:t>MTAP</w:t>
      </w:r>
      <w:r>
        <w:rPr/>
        <w:t xml:space="preserve"> beside </w:t>
      </w:r>
      <w:r>
        <w:rPr>
          <w:i/>
        </w:rPr>
        <w:t>CDKN2A</w:t>
      </w:r>
      <w:r>
        <w:rPr/>
        <w:t xml:space="preserve">, </w:t>
      </w:r>
      <w:r>
        <w:rPr>
          <w:i/>
        </w:rPr>
        <w:t>CD79B</w:t>
      </w:r>
      <w:r>
        <w:rPr/>
        <w:t xml:space="preserve"> on 17q23), or subtype markers (</w:t>
      </w:r>
      <w:r>
        <w:rPr>
          <w:i/>
        </w:rPr>
        <w:t>CCNE1</w:t>
      </w:r>
      <w:r>
        <w:rPr/>
        <w:t xml:space="preserve"> vs </w:t>
      </w:r>
      <w:r>
        <w:rPr>
          <w:i/>
        </w:rPr>
        <w:t>CTNNB1</w:t>
      </w:r>
      <w:r>
        <w:rPr/>
        <w:t xml:space="preserve"> in endometrial cancer).</w:t>
      </w:r>
    </w:p>
    <w:p>
      <w:pPr>
        <w:pStyle w:val="ListBullet"/>
        <w:spacing w:after="60"/>
      </w:pPr>
      <w:r>
        <w:rPr/>
        <w:t xml:space="preserve">The driver-level ones were stress-tested (20_candidate_followup.py) with logistic regression adjusted for subtype, the obvious third genes, copy-number burden and TMB, and once more in TMB &lt; 5 tumours only. </w:t>
      </w:r>
      <w:r>
        <w:rPr>
          <w:i/>
        </w:rPr>
        <w:t>MDM2</w:t>
      </w:r>
      <w:r>
        <w:rPr/>
        <w:t xml:space="preserve"> vs </w:t>
      </w:r>
      <w:r>
        <w:rPr>
          <w:i/>
        </w:rPr>
        <w:t>SMARCA4</w:t>
      </w:r>
      <w:r>
        <w:rPr/>
        <w:t xml:space="preserve"> (lung) is explained by </w:t>
      </w:r>
      <w:r>
        <w:rPr>
          <w:i/>
        </w:rPr>
        <w:t>TP53</w:t>
      </w:r>
      <w:r>
        <w:rPr/>
        <w:t xml:space="preserve">; </w:t>
      </w:r>
      <w:r>
        <w:rPr>
          <w:i/>
        </w:rPr>
        <w:t>KRAS</w:t>
      </w:r>
      <w:r>
        <w:rPr/>
        <w:t xml:space="preserve"> vs </w:t>
      </w:r>
      <w:r>
        <w:rPr>
          <w:i/>
        </w:rPr>
        <w:t>RARA</w:t>
      </w:r>
      <w:r>
        <w:rPr/>
        <w:t xml:space="preserve"> (gastric) by </w:t>
      </w:r>
      <w:r>
        <w:rPr>
          <w:i/>
        </w:rPr>
        <w:t>ERBB2</w:t>
      </w:r>
      <w:r>
        <w:rPr/>
        <w:t xml:space="preserve">; </w:t>
      </w:r>
      <w:r>
        <w:rPr>
          <w:i/>
        </w:rPr>
        <w:t>BCL2L1</w:t>
      </w:r>
      <w:r>
        <w:rPr/>
        <w:t xml:space="preserve"> vs </w:t>
      </w:r>
      <w:r>
        <w:rPr>
          <w:i/>
        </w:rPr>
        <w:t>SMAD4</w:t>
      </w:r>
      <w:r>
        <w:rPr/>
        <w:t xml:space="preserve"> (colorectal) by burden; </w:t>
      </w:r>
      <w:r>
        <w:rPr>
          <w:i/>
        </w:rPr>
        <w:t>CTCF</w:t>
      </w:r>
      <w:r>
        <w:rPr/>
        <w:t xml:space="preserve"> + </w:t>
      </w:r>
      <w:r>
        <w:rPr>
          <w:i/>
        </w:rPr>
        <w:t>PIK3R1</w:t>
      </w:r>
      <w:r>
        <w:rPr/>
        <w:t xml:space="preserve"> (endometrial) by residual microsatellite instability.</w:t>
      </w:r>
    </w:p>
    <w:tbl>
      <w:tblPr>
        <w:tblW w:type="auto" w:w="0"/>
        <w:jc w:val="center"/>
        <w:tblLook w:firstColumn="1" w:firstRow="1" w:lastColumn="0" w:lastRow="0" w:noHBand="0" w:noVBand="1" w:val="04A0"/>
        <w:tblLayout w:type="fixed"/>
      </w:tblPr>
      <w:tblGrid>
        <w:gridCol w:w="9639"/>
      </w:tblGrid>
      <w:tr>
        <w:trPr>
          <w:cantSplit w:val="true"/>
        </w:trPr>
        <w:tc>
          <w:tcPr>
            <w:tcW w:type="dxa" w:w="9638"/>
            <w:shd w:val="clear" w:color="auto" w:fill="FDF1E3"/>
            <w:tcMar>
              <w:top w:w="110" w:type="dxa"/>
              <w:left w:w="200" w:type="dxa"/>
              <w:bottom w:w="110" w:type="dxa"/>
              <w:right w:w="160" w:type="dxa"/>
            </w:tcMar>
            <w:tcBorders>
              <w:top w:val="nil" w:sz="0" w:color="FFFFFF"/>
              <w:left w:val="single" w:sz="24" w:color="D9822B"/>
              <w:bottom w:val="nil" w:sz="0" w:color="FFFFFF"/>
              <w:right w:val="nil" w:sz="0" w:color="FFFFFF"/>
            </w:tcBorders>
          </w:tcPr>
          <w:p>
            <w:pPr>
              <w:spacing w:after="40"/>
            </w:pPr>
            <w:r>
              <w:rPr>
                <w:b/>
                <w:color w:val="8A4B0A"/>
                <w:sz w:val="21"/>
              </w:rPr>
              <w:t>A candidate that turned out to be known: CTCF vs TP53 in endometrial cancer</w:t>
            </w:r>
          </w:p>
          <w:p>
            <w:pPr>
              <w:spacing w:after="60"/>
            </w:pPr>
            <w:r>
              <w:rPr>
                <w:i/>
                <w:sz w:val="20"/>
              </w:rPr>
              <w:t>CTCF</w:t>
            </w:r>
            <w:r>
              <w:rPr>
                <w:sz w:val="20"/>
              </w:rPr>
              <w:t xml:space="preserve"> mutations are rare in </w:t>
            </w:r>
            <w:r>
              <w:rPr>
                <w:i/>
                <w:sz w:val="20"/>
              </w:rPr>
              <w:t>TP53</w:t>
            </w:r>
            <w:r>
              <w:rPr>
                <w:sz w:val="20"/>
              </w:rPr>
              <w:t xml:space="preserve">-mutant endometrial cancers: </w:t>
            </w:r>
            <w:r>
              <w:rPr>
                <w:b/>
                <w:sz w:val="20"/>
              </w:rPr>
              <w:t>22 observed vs 121 expected</w:t>
            </w:r>
            <w:r>
              <w:rPr>
                <w:sz w:val="20"/>
              </w:rPr>
              <w:t>. The avoidance holds after subtype, PI3K-pathway genes, copy-number burden and TMB (adjusted odds ratio 0.34, p = 3e-4), goes the same way in TCGA, and the silent-mutation route agrees.</w:t>
            </w:r>
          </w:p>
          <w:p>
            <w:pPr>
              <w:spacing w:after="60"/>
            </w:pPr>
            <w:r>
              <w:rPr>
                <w:sz w:val="20"/>
              </w:rPr>
              <w:t xml:space="preserve">No title or abstract reports it, so the literature screen flagged it as new. But </w:t>
            </w:r>
            <w:r>
              <w:rPr>
                <w:b/>
                <w:sz w:val="20"/>
              </w:rPr>
              <w:t>SelectSim's supplementary atlas lists it</w:t>
            </w:r>
            <w:r>
              <w:rPr>
                <w:sz w:val="20"/>
              </w:rPr>
              <w:t xml:space="preserve"> (endometrial, breast and pan-cancer). Our analysis is an independent confirmation under stricter adjustment, not a discovery.</w:t>
            </w:r>
          </w:p>
          <w:p>
            <w:pPr>
              <w:spacing w:after="60"/>
            </w:pPr>
            <w:r>
              <w:rPr>
                <w:b/>
                <w:sz w:val="20"/>
              </w:rPr>
              <w:t>Lesson:</w:t>
            </w:r>
            <w:r>
              <w:rPr>
                <w:sz w:val="20"/>
              </w:rPr>
              <w:t xml:space="preserve"> a novelty claim must be checked against the supplementary tables of atlas papers, not only against abstracts.</w:t>
            </w:r>
          </w:p>
        </w:tc>
      </w:tr>
    </w:tbl>
    <w:p>
      <w:pPr>
        <w:spacing w:before="120"/>
      </w:pPr>
    </w:p>
    <w:p>
      <w:r>
        <w:rPr>
          <w:b/>
        </w:rPr>
        <w:t>What the audit means.</w:t>
      </w:r>
    </w:p>
    <w:p>
      <w:pPr>
        <w:pStyle w:val="ListBullet"/>
        <w:spacing w:after="60"/>
      </w:pPr>
      <w:r>
        <w:rPr>
          <w:b/>
        </w:rPr>
        <w:t>Agreement with an independent atlas:</w:t>
      </w:r>
      <w:r>
        <w:rPr/>
        <w:t xml:space="preserve"> all 79 robust pairs that SelectSim reports for the same cancer type have the same direction here (0 opposite), from a different team, method and GENIE release.</w:t>
      </w:r>
    </w:p>
    <w:p>
      <w:pPr>
        <w:pStyle w:val="ListBullet"/>
        <w:spacing w:after="60"/>
      </w:pPr>
      <w:r>
        <w:rPr>
          <w:b/>
        </w:rPr>
        <w:t>At the level of mutation-driven driver pairs in common cancers, the landscape is close to saturated.</w:t>
      </w:r>
      <w:r>
        <w:rPr/>
        <w:t xml:space="preserve"> This is a result in its own right, and it was checked rather than assumed.</w:t>
      </w:r>
    </w:p>
    <w:p>
      <w:pPr>
        <w:pStyle w:val="ListBullet"/>
        <w:spacing w:after="60"/>
      </w:pPr>
      <w:r>
        <w:rPr>
          <w:b/>
        </w:rPr>
        <w:t>The project's distinct contribution lies elsewhere:</w:t>
      </w:r>
      <w:r>
        <w:rPr/>
        <w:t xml:space="preserve"> copy-number and fusion partners (SelectSim is mutation-only: 44 of 49 copy-number pairs and 154 of 175 mixed pairs are not in it), panel-aware statistics across all centres, the artefact audits, exact rare combinations and the clinical tool.</w:t>
      </w:r>
    </w:p>
    <w:p>
      <w:pPr>
        <w:pStyle w:val="ListBullet"/>
        <w:spacing w:after="60"/>
      </w:pPr>
      <w:r>
        <w:rPr>
          <w:b/>
        </w:rPr>
        <w:t>Where new biology is most likely:</w:t>
      </w:r>
      <w:r>
        <w:rPr/>
        <w:t xml:space="preserve"> copy-number × mutation pairs, fusion partners, rare cancer types and variant-level partners. Running the same audit on those is a natural next step.</w:t>
      </w:r>
    </w:p>
    <w:p>
      <w:pPr>
        <w:pStyle w:val="Heading2"/>
      </w:pPr>
      <w:r>
        <w:rPr/>
        <w:t>9.4  Figures</w:t>
      </w:r>
    </w:p>
    <w:p>
      <w:r>
        <w:rPr/>
        <w:t>All results are drawn as publication figures in R (scripts/figures/; rebuild everything with bash scripts/figures/run_all.sh). Each is saved as a vector PDF for the thesis and a 300-dpi PNG for slides in results/figures/. Figure types follow the co-mutation literature (GENIE 2017, DISCOVER, maftools, Sanchez-Vega 2018, Park &amp; Lehner 2015, van de Haar 2019, SelectSim 2026). Colours: green = co-occurring, purple = exclusive. Each notebook also shows its own figures in a “Publication figures” section just before its Discussion: Fig 1 in notebook 01; Fig 3 and S1 in 02; Fig 6 and S2 in 03; Figs 4, 5 and S4 in 04; Fig 2, S3, S5 and S6 in 05.</w:t>
      </w:r>
    </w:p>
    <w:p>
      <w:pPr>
        <w:keepNext/>
        <w:jc w:val="center"/>
      </w:pPr>
      <w:r>
        <w:drawing>
          <wp:inline xmlns:a="http://schemas.openxmlformats.org/drawingml/2006/main" xmlns:pic="http://schemas.openxmlformats.org/drawingml/2006/picture">
            <wp:extent cx="5577840" cy="6096649"/>
            <wp:docPr id="7" name="Picture 7"/>
            <wp:cNvGraphicFramePr>
              <a:graphicFrameLocks noChangeAspect="1"/>
            </wp:cNvGraphicFramePr>
            <a:graphic>
              <a:graphicData uri="http://schemas.openxmlformats.org/drawingml/2006/picture">
                <pic:pic>
                  <pic:nvPicPr>
                    <pic:cNvPr id="0" name="fig4_biology.png"/>
                    <pic:cNvPicPr/>
                  </pic:nvPicPr>
                  <pic:blipFill>
                    <a:blip r:embed="rId17"/>
                    <a:stretch>
                      <a:fillRect/>
                    </a:stretch>
                  </pic:blipFill>
                  <pic:spPr>
                    <a:xfrm>
                      <a:off x="0" y="0"/>
                      <a:ext cx="5577840" cy="6096649"/>
                    </a:xfrm>
                    <a:prstGeom prst="rect"/>
                  </pic:spPr>
                </pic:pic>
              </a:graphicData>
            </a:graphic>
          </wp:inline>
        </w:drawing>
      </w:r>
    </w:p>
    <w:p>
      <w:pPr>
        <w:jc w:val="center"/>
      </w:pPr>
      <w:r>
        <w:rPr>
          <w:color w:val="555B66"/>
          <w:sz w:val="18"/>
        </w:rPr>
        <w:t>Figure 7. Biology (Figure 4 of the figure set). a, share of tested pairs that are candidates within and between the 10 Sanchez-Vega pathways; b, exclusivity is pathway-bound (35% vs 14%); c, the same pair across cancer types, reversing vs universal; d, copy-number burden check for the 25 copy-number-driven pairs.</w:t>
      </w:r>
    </w:p>
    <w:p>
      <w:pPr>
        <w:keepNext/>
        <w:jc w:val="center"/>
      </w:pPr>
      <w:r>
        <w:drawing>
          <wp:inline xmlns:a="http://schemas.openxmlformats.org/drawingml/2006/main" xmlns:pic="http://schemas.openxmlformats.org/drawingml/2006/picture">
            <wp:extent cx="5577840" cy="5792074"/>
            <wp:docPr id="8" name="Picture 8"/>
            <wp:cNvGraphicFramePr>
              <a:graphicFrameLocks noChangeAspect="1"/>
            </wp:cNvGraphicFramePr>
            <a:graphic>
              <a:graphicData uri="http://schemas.openxmlformats.org/drawingml/2006/picture">
                <pic:pic>
                  <pic:nvPicPr>
                    <pic:cNvPr id="0" name="fig5_fusions_alleles.png"/>
                    <pic:cNvPicPr/>
                  </pic:nvPicPr>
                  <pic:blipFill>
                    <a:blip r:embed="rId18"/>
                    <a:stretch>
                      <a:fillRect/>
                    </a:stretch>
                  </pic:blipFill>
                  <pic:spPr>
                    <a:xfrm>
                      <a:off x="0" y="0"/>
                      <a:ext cx="5577840" cy="5792074"/>
                    </a:xfrm>
                    <a:prstGeom prst="rect"/>
                  </pic:spPr>
                </pic:pic>
              </a:graphicData>
            </a:graphic>
          </wp:inline>
        </w:drawing>
      </w:r>
    </w:p>
    <w:p>
      <w:pPr>
        <w:jc w:val="center"/>
      </w:pPr>
      <w:r>
        <w:rPr>
          <w:color w:val="555B66"/>
          <w:sz w:val="18"/>
        </w:rPr>
        <w:t>Figure 8. Fusions and variants (Figure 5 of the figure set). a, lung cancer oncoprint: EGFR, KRAS and ALK/ROS1/RET fusions form a staircase of mutual exclusivity; b, fusion partners per cancer type; c, KRAS variant partners before and after adjusting for the smoking signature.</w:t>
      </w:r>
    </w:p>
    <w:p>
      <w:r>
        <w:rPr/>
        <w:t>The full set (results/figures/):</w:t>
      </w:r>
    </w:p>
    <w:p>
      <w:pPr>
        <w:pStyle w:val="ListBullet"/>
        <w:spacing w:after="60"/>
      </w:pPr>
      <w:r>
        <w:rPr>
          <w:b/>
        </w:rPr>
        <w:t>Fig 1 Data:</w:t>
      </w:r>
      <w:r>
        <w:rPr/>
        <w:t xml:space="preserve"> patient flow; cohort by centre; panel metadata vs released data; alterations per patient.</w:t>
      </w:r>
    </w:p>
    <w:p>
      <w:pPr>
        <w:pStyle w:val="ListBullet"/>
        <w:spacing w:after="60"/>
      </w:pPr>
      <w:r>
        <w:rPr>
          <w:b/>
        </w:rPr>
        <w:t>Fig 2 Can the test be trusted?</w:t>
      </w:r>
      <w:r>
        <w:rPr/>
        <w:t xml:space="preserve"> null p-value histograms; head-to-head benchmark; GENIE vs TCGA effects.</w:t>
      </w:r>
    </w:p>
    <w:p>
      <w:pPr>
        <w:pStyle w:val="ListBullet"/>
        <w:spacing w:after="60"/>
      </w:pPr>
      <w:r>
        <w:rPr>
          <w:b/>
        </w:rPr>
        <w:t>Fig 3 Landscape:</w:t>
      </w:r>
      <w:r>
        <w:rPr/>
        <w:t xml:space="preserve"> triangle heatmaps (lung, breast, colorectal); volcano of all 6,697 pairs; lung interaction network.</w:t>
      </w:r>
    </w:p>
    <w:p>
      <w:pPr>
        <w:pStyle w:val="ListBullet"/>
        <w:spacing w:after="60"/>
      </w:pPr>
      <w:r>
        <w:rPr>
          <w:b/>
        </w:rPr>
        <w:t>Fig 4 Biology</w:t>
      </w:r>
      <w:r>
        <w:rPr/>
        <w:t xml:space="preserve"> and </w:t>
      </w:r>
      <w:r>
        <w:rPr>
          <w:b/>
        </w:rPr>
        <w:t>Fig 5 Fusions and variants</w:t>
      </w:r>
      <w:r>
        <w:rPr/>
        <w:t xml:space="preserve"> (shown above).</w:t>
      </w:r>
    </w:p>
    <w:p>
      <w:pPr>
        <w:pStyle w:val="ListBullet"/>
        <w:spacing w:after="60"/>
      </w:pPr>
      <w:r>
        <w:rPr>
          <w:b/>
        </w:rPr>
        <w:t>Fig 6 The tool:</w:t>
      </w:r>
      <w:r>
        <w:rPr/>
        <w:t xml:space="preserve"> KRAS G12C partners; partner prediction vs base rates; MSK vs other-centre frequencies.</w:t>
      </w:r>
    </w:p>
    <w:p>
      <w:pPr>
        <w:pStyle w:val="ListBullet"/>
        <w:spacing w:after="60"/>
      </w:pPr>
      <w:r>
        <w:rPr>
          <w:b/>
        </w:rPr>
        <w:t>S1-S6:</w:t>
      </w:r>
      <w:r>
        <w:rPr/>
        <w:t xml:space="preserve"> filter funnel; UpSet of lung drivers; KRAS/TP53 forest plot; rare combinations; dN/dS route; exclusive gene sets.</w:t>
      </w:r>
    </w:p>
    <w:p>
      <w:pPr>
        <w:pStyle w:val="Heading2"/>
      </w:pPr>
      <w:r>
        <w:rPr/>
        <w:t>9.5  Limits stated in the notebook</w:t>
      </w:r>
    </w:p>
    <w:p>
      <w:pPr>
        <w:pStyle w:val="ListBullet"/>
        <w:spacing w:after="60"/>
      </w:pPr>
      <w:r>
        <w:t>Pathway membership uses only 10 curated pathways (165 genes); pairs outside are unclassified.</w:t>
      </w:r>
    </w:p>
    <w:p>
      <w:pPr>
        <w:pStyle w:val="ListBullet"/>
        <w:spacing w:after="60"/>
      </w:pPr>
      <w:r>
        <w:t>Heterogeneity variances are approximate (Poisson).</w:t>
      </w:r>
    </w:p>
    <w:p>
      <w:pPr>
        <w:pStyle w:val="ListBullet"/>
        <w:spacing w:after="60"/>
      </w:pPr>
      <w:r>
        <w:t>The smoking proxy is inferred from panel mutation spectra; GENIE has no smoking history.</w:t>
      </w:r>
    </w:p>
    <w:p>
      <w:pPr>
        <w:pStyle w:val="ListBullet"/>
        <w:spacing w:after="60"/>
      </w:pPr>
      <w:r>
        <w:t>Exclusivity in a cross-section cannot separate redundancy from synthetic lethality.</w:t>
      </w:r>
    </w:p>
    <w:p>
      <w:pPr>
        <w:pStyle w:val="ListBullet"/>
        <w:spacing w:after="60"/>
      </w:pPr>
      <w:r>
        <w:rPr/>
        <w:t>The novelty audit counts papers that name both genes, not papers that claim the interaction, and covers one atlas; gene symbols that are also words (MET, ATM, KIT) err towards “known”.</w:t>
      </w:r>
    </w:p>
    <w:tbl>
      <w:tblPr>
        <w:tblW w:type="auto" w:w="0"/>
        <w:jc w:val="center"/>
        <w:tblLook w:firstColumn="1" w:firstRow="1" w:lastColumn="0" w:lastRow="0" w:noHBand="0" w:noVBand="1" w:val="04A0"/>
        <w:tblLayout w:type="fixed"/>
      </w:tblPr>
      <w:tblGrid>
        <w:gridCol w:w="9639"/>
      </w:tblGrid>
      <w:tr>
        <w:trPr>
          <w:cantSplit w:val="true"/>
        </w:trPr>
        <w:tc>
          <w:tcPr>
            <w:tcW w:type="dxa" w:w="9638"/>
            <w:shd w:val="clear" w:color="auto" w:fill="E8EEF4"/>
            <w:tcMar>
              <w:top w:w="110" w:type="dxa"/>
              <w:left w:w="200" w:type="dxa"/>
              <w:bottom w:w="110" w:type="dxa"/>
              <w:right w:w="160" w:type="dxa"/>
            </w:tcMar>
            <w:tcBorders>
              <w:top w:val="nil" w:sz="0" w:color="FFFFFF"/>
              <w:left w:val="single" w:sz="24" w:color="1F3A5F"/>
              <w:bottom w:val="nil" w:sz="0" w:color="FFFFFF"/>
              <w:right w:val="nil" w:sz="0" w:color="FFFFFF"/>
            </w:tcBorders>
          </w:tcPr>
          <w:p>
            <w:pPr>
              <w:spacing w:after="40"/>
            </w:pPr>
            <w:r>
              <w:rPr>
                <w:b/>
                <w:color w:val="1F3A5F"/>
                <w:sz w:val="21"/>
              </w:rPr>
              <w:t>Questions worth asking at this point</w:t>
            </w:r>
          </w:p>
          <w:p>
            <w:pPr>
              <w:spacing w:after="60"/>
            </w:pPr>
            <w:r>
              <w:rPr>
                <w:sz w:val="20"/>
              </w:rPr>
              <w:t>•  Is “exclusive = same pathway” a finding or an assumption? (Finding: tested as an enrichment, 3.3x; but only for genes in the 10 curated pathways.)</w:t>
            </w:r>
          </w:p>
          <w:p>
            <w:pPr>
              <w:spacing w:after="60"/>
            </w:pPr>
            <w:r>
              <w:rPr>
                <w:sz w:val="20"/>
              </w:rPr>
              <w:t>•  Why trust exclusive pairs more than co-occurring ones? (More robust to subtype, never reverses, strengthens under adjustment; see Part 7.5.)</w:t>
            </w:r>
          </w:p>
        </w:tc>
      </w:tr>
    </w:tbl>
    <w:p>
      <w:pPr>
        <w:spacing w:after="40"/>
      </w:pPr>
    </w:p>
    <w:p>
      <w:pPr>
        <w:spacing w:before="120"/>
      </w:pPr>
      <w:r>
        <w:rPr>
          <w:color w:val="555B66"/>
          <w:sz w:val="17"/>
        </w:rPr>
        <w:t>Source files for this part: notebooks/04_phase4_insight.ipynb; git commits d040be9 and 507ace8; scripts/analyses/12_burden_adjusted_retest.py (script 11, the first check, is retired); scripts/analyses/19_novelty_screen.py and 20_candidate_followup.py; scripts/figures/ and results/figures/.</w:t>
      </w:r>
    </w:p>
    <w:p>
      <w:r>
        <w:br w:type="page"/>
      </w:r>
    </w:p>
    <w:p>
      <w:pPr>
        <w:spacing w:after="0"/>
      </w:pPr>
      <w:r>
        <w:rPr>
          <w:b/>
          <w:color w:val="2A7F8E"/>
          <w:sz w:val="20"/>
        </w:rPr>
        <w:t>PART 10</w:t>
      </w:r>
    </w:p>
    <w:p>
      <w:pPr>
        <w:pStyle w:val="Heading1"/>
      </w:pPr>
      <w:r>
        <w:t>Independent checks</w:t>
      </w:r>
    </w:p>
    <w:p>
      <w:pPr>
        <w:spacing w:after="200"/>
      </w:pPr>
      <w:r>
        <w:rPr>
          <w:color w:val="555B66"/>
          <w:sz w:val="23"/>
        </w:rPr>
        <w:t>Does the whole thing hold up in patients, centres and statistical routes it was not built on?</w:t>
      </w:r>
    </w:p>
    <w:p>
      <w:pPr>
        <w:pStyle w:val="Heading2"/>
      </w:pPr>
      <w:r>
        <w:t>10.1  External validation in TCGA</w:t>
      </w:r>
    </w:p>
    <w:p>
      <w:r>
        <w:t xml:space="preserve">All results of this part are collected in </w:t>
      </w:r>
      <w:r>
        <w:rPr>
          <w:rFonts w:ascii="Menlo" w:hAnsi="Menlo" w:eastAsia="Menlo"/>
          <w:sz w:val="18"/>
        </w:rPr>
        <w:t>notebooks/05_validation_and_methods.ipynb</w:t>
      </w:r>
      <w:r>
        <w:t xml:space="preserve">. </w:t>
      </w:r>
      <w:r>
        <w:rPr>
          <w:rFonts w:ascii="Menlo" w:hAnsi="Menlo" w:eastAsia="Menlo"/>
          <w:sz w:val="18"/>
        </w:rPr>
        <w:t>scripts/analyses/14_tcga_external_validation.py</w:t>
      </w:r>
      <w:r>
        <w:t xml:space="preserve"> re-tests the same pairs, with the same test, in the TCGA PanCancer Atlas (independent patients, whole-exome sequencing, different centres and calling pipelines, non-hypermutated). Phase 1 rules were applied as closely as the data allow.</w:t>
      </w:r>
    </w:p>
    <w:p>
      <w:pPr>
        <w:keepNext/>
        <w:jc w:val="center"/>
      </w:pPr>
      <w:r>
        <w:drawing>
          <wp:inline xmlns:a="http://schemas.openxmlformats.org/drawingml/2006/main" xmlns:pic="http://schemas.openxmlformats.org/drawingml/2006/picture">
            <wp:extent cx="3960000" cy="2277993"/>
            <wp:docPr id="5" name="Picture 5"/>
            <wp:cNvGraphicFramePr>
              <a:graphicFrameLocks noChangeAspect="1"/>
            </wp:cNvGraphicFramePr>
            <a:graphic>
              <a:graphicData uri="http://schemas.openxmlformats.org/drawingml/2006/picture">
                <pic:pic>
                  <pic:nvPicPr>
                    <pic:cNvPr id="0" name="fig5_tcga.png"/>
                    <pic:cNvPicPr/>
                  </pic:nvPicPr>
                  <pic:blipFill>
                    <a:blip r:embed="rId15"/>
                    <a:stretch>
                      <a:fillRect/>
                    </a:stretch>
                  </pic:blipFill>
                  <pic:spPr>
                    <a:xfrm>
                      <a:off x="0" y="0"/>
                      <a:ext cx="3960000" cy="2277993"/>
                    </a:xfrm>
                    <a:prstGeom prst="rect"/>
                  </pic:spPr>
                </pic:pic>
              </a:graphicData>
            </a:graphic>
          </wp:inline>
        </w:drawing>
      </w:r>
    </w:p>
    <w:p>
      <w:pPr>
        <w:jc w:val="center"/>
      </w:pPr>
      <w:r>
        <w:rPr>
          <w:color w:val="555B66"/>
          <w:sz w:val="18"/>
        </w:rPr>
        <w:t>Figure 5. Share of pairs significant in TCGA in the same direction. Bracketed values are the number of pairs testable in TCGA.</w:t>
      </w:r>
    </w:p>
    <w:tbl>
      <w:tblPr>
        <w:tblW w:type="auto" w:w="0"/>
        <w:jc w:val="center"/>
        <w:tblLayout w:type="fixed"/>
        <w:tblLook w:firstColumn="1" w:firstRow="1" w:lastColumn="0" w:lastRow="0" w:noHBand="0" w:noVBand="1" w:val="04A0"/>
        <w:tblLayout w:type="fixed"/>
      </w:tblPr>
      <w:tblGrid>
        <w:gridCol w:w="2608"/>
        <w:gridCol w:w="1701"/>
        <w:gridCol w:w="1587"/>
        <w:gridCol w:w="2268"/>
        <w:gridCol w:w="1474"/>
      </w:tblGrid>
      <w:tr>
        <w:trPr>
          <w:cantSplit w:val="true"/>
          <w:tblHeader w:val="true"/>
        </w:trPr>
        <w:tc>
          <w:tcPr>
            <w:tcW w:type="dxa" w:w="2608"/>
            <w:shd w:val="clear" w:color="auto" w:fill="1F3A5F"/>
            <w:tcMar>
              <w:top w:w="60" w:type="dxa"/>
              <w:left w:w="90" w:type="dxa"/>
              <w:bottom w:w="60" w:type="dxa"/>
              <w:right w:w="90" w:type="dxa"/>
            </w:tcMar>
          </w:tcPr>
          <w:p>
            <w:pPr>
              <w:spacing w:after="0"/>
            </w:pPr>
            <w:r>
              <w:rPr>
                <w:b/>
                <w:color w:val="FFFFFF"/>
                <w:sz w:val="18"/>
              </w:rPr>
              <w:t>GENIE result</w:t>
            </w:r>
          </w:p>
        </w:tc>
        <w:tc>
          <w:tcPr>
            <w:tcW w:type="dxa" w:w="1701"/>
            <w:shd w:val="clear" w:color="auto" w:fill="1F3A5F"/>
            <w:tcMar>
              <w:top w:w="60" w:type="dxa"/>
              <w:left w:w="90" w:type="dxa"/>
              <w:bottom w:w="60" w:type="dxa"/>
              <w:right w:w="90" w:type="dxa"/>
            </w:tcMar>
          </w:tcPr>
          <w:p>
            <w:pPr>
              <w:spacing w:after="0"/>
            </w:pPr>
            <w:r>
              <w:rPr>
                <w:b/>
                <w:color w:val="FFFFFF"/>
                <w:sz w:val="18"/>
              </w:rPr>
              <w:t>Testable in TCGA</w:t>
            </w:r>
          </w:p>
        </w:tc>
        <w:tc>
          <w:tcPr>
            <w:tcW w:type="dxa" w:w="1587"/>
            <w:shd w:val="clear" w:color="auto" w:fill="1F3A5F"/>
            <w:tcMar>
              <w:top w:w="60" w:type="dxa"/>
              <w:left w:w="90" w:type="dxa"/>
              <w:bottom w:w="60" w:type="dxa"/>
              <w:right w:w="90" w:type="dxa"/>
            </w:tcMar>
          </w:tcPr>
          <w:p>
            <w:pPr>
              <w:spacing w:after="0"/>
            </w:pPr>
            <w:r>
              <w:rPr>
                <w:b/>
                <w:color w:val="FFFFFF"/>
                <w:sz w:val="18"/>
              </w:rPr>
              <w:t>Same direction</w:t>
            </w:r>
          </w:p>
        </w:tc>
        <w:tc>
          <w:tcPr>
            <w:tcW w:type="dxa" w:w="2268"/>
            <w:shd w:val="clear" w:color="auto" w:fill="1F3A5F"/>
            <w:tcMar>
              <w:top w:w="60" w:type="dxa"/>
              <w:left w:w="90" w:type="dxa"/>
              <w:bottom w:w="60" w:type="dxa"/>
              <w:right w:w="90" w:type="dxa"/>
            </w:tcMar>
          </w:tcPr>
          <w:p>
            <w:pPr>
              <w:spacing w:after="0"/>
            </w:pPr>
            <w:r>
              <w:rPr>
                <w:b/>
                <w:color w:val="FFFFFF"/>
                <w:sz w:val="18"/>
              </w:rPr>
              <w:t>TCGA p&lt;0.05, same direction</w:t>
            </w:r>
          </w:p>
        </w:tc>
        <w:tc>
          <w:tcPr>
            <w:tcW w:type="dxa" w:w="1474"/>
            <w:shd w:val="clear" w:color="auto" w:fill="1F3A5F"/>
            <w:tcMar>
              <w:top w:w="60" w:type="dxa"/>
              <w:left w:w="90" w:type="dxa"/>
              <w:bottom w:w="60" w:type="dxa"/>
              <w:right w:w="90" w:type="dxa"/>
            </w:tcMar>
          </w:tcPr>
          <w:p>
            <w:pPr>
              <w:spacing w:after="0"/>
            </w:pPr>
            <w:r>
              <w:rPr>
                <w:b/>
                <w:color w:val="FFFFFF"/>
                <w:sz w:val="18"/>
              </w:rPr>
              <w:t>Significant, opposite</w:t>
            </w:r>
          </w:p>
        </w:tc>
      </w:tr>
      <w:tr>
        <w:trPr>
          <w:cantSplit w:val="true"/>
        </w:trPr>
        <w:tc>
          <w:tcPr>
            <w:tcW w:type="dxa" w:w="260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Replicated candidates</w:t>
            </w:r>
          </w:p>
        </w:tc>
        <w:tc>
          <w:tcPr>
            <w:tcW w:type="dxa" w:w="170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316</w:t>
            </w:r>
          </w:p>
        </w:tc>
        <w:tc>
          <w:tcPr>
            <w:tcW w:type="dxa" w:w="1587"/>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94%</w:t>
            </w:r>
          </w:p>
        </w:tc>
        <w:tc>
          <w:tcPr>
            <w:tcW w:type="dxa" w:w="226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46%</w:t>
            </w:r>
          </w:p>
        </w:tc>
        <w:tc>
          <w:tcPr>
            <w:tcW w:type="dxa" w:w="147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0</w:t>
            </w:r>
          </w:p>
        </w:tc>
      </w:tr>
      <w:tr>
        <w:trPr>
          <w:cantSplit w:val="true"/>
        </w:trPr>
        <w:tc>
          <w:tcPr>
            <w:tcW w:type="dxa" w:w="260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All candidates</w:t>
            </w:r>
          </w:p>
        </w:tc>
        <w:tc>
          <w:tcPr>
            <w:tcW w:type="dxa" w:w="170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765</w:t>
            </w:r>
          </w:p>
        </w:tc>
        <w:tc>
          <w:tcPr>
            <w:tcW w:type="dxa" w:w="1587"/>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88%</w:t>
            </w:r>
          </w:p>
        </w:tc>
        <w:tc>
          <w:tcPr>
            <w:tcW w:type="dxa" w:w="226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32%</w:t>
            </w:r>
          </w:p>
        </w:tc>
        <w:tc>
          <w:tcPr>
            <w:tcW w:type="dxa" w:w="147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0</w:t>
            </w:r>
          </w:p>
        </w:tc>
      </w:tr>
      <w:tr>
        <w:trPr>
          <w:cantSplit w:val="true"/>
        </w:trPr>
        <w:tc>
          <w:tcPr>
            <w:tcW w:type="dxa" w:w="260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Not significant in GENIE</w:t>
            </w:r>
          </w:p>
        </w:tc>
        <w:tc>
          <w:tcPr>
            <w:tcW w:type="dxa" w:w="170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1,317</w:t>
            </w:r>
          </w:p>
        </w:tc>
        <w:tc>
          <w:tcPr>
            <w:tcW w:type="dxa" w:w="1587"/>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69%</w:t>
            </w:r>
          </w:p>
        </w:tc>
        <w:tc>
          <w:tcPr>
            <w:tcW w:type="dxa" w:w="226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7% (≈ chance)</w:t>
            </w:r>
          </w:p>
        </w:tc>
        <w:tc>
          <w:tcPr>
            <w:tcW w:type="dxa" w:w="147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13</w:t>
            </w:r>
          </w:p>
        </w:tc>
      </w:tr>
    </w:tbl>
    <w:p>
      <w:pPr>
        <w:spacing w:after="40"/>
      </w:pPr>
    </w:p>
    <w:p>
      <w:pPr>
        <w:pStyle w:val="ListBullet"/>
        <w:spacing w:after="60"/>
      </w:pPr>
      <w:r>
        <w:t xml:space="preserve">Replicated candidates validate </w:t>
      </w:r>
      <w:r>
        <w:rPr>
          <w:b/>
        </w:rPr>
        <w:t>6.5x more often</w:t>
      </w:r>
      <w:r>
        <w:t xml:space="preserve"> than GENIE-null pairs, and none reverses. </w:t>
      </w:r>
      <w:r>
        <w:rPr>
          <w:i/>
        </w:rPr>
        <w:t>KEAP1</w:t>
      </w:r>
      <w:r>
        <w:t>/</w:t>
      </w:r>
      <w:r>
        <w:rPr>
          <w:i/>
        </w:rPr>
        <w:t>STK11</w:t>
      </w:r>
      <w:r>
        <w:t xml:space="preserve">, </w:t>
      </w:r>
      <w:r>
        <w:rPr>
          <w:i/>
        </w:rPr>
        <w:t>EGFR</w:t>
      </w:r>
      <w:r>
        <w:t>/</w:t>
      </w:r>
      <w:r>
        <w:rPr>
          <w:i/>
        </w:rPr>
        <w:t>KRAS</w:t>
      </w:r>
      <w:r>
        <w:t xml:space="preserve">, </w:t>
      </w:r>
      <w:r>
        <w:rPr>
          <w:i/>
        </w:rPr>
        <w:t>CCND1</w:t>
      </w:r>
      <w:r>
        <w:t>/</w:t>
      </w:r>
      <w:r>
        <w:rPr>
          <w:i/>
        </w:rPr>
        <w:t>FGFR1</w:t>
      </w:r>
      <w:r>
        <w:t xml:space="preserve"> and </w:t>
      </w:r>
      <w:r>
        <w:rPr>
          <w:i/>
        </w:rPr>
        <w:t>CDKN2A</w:t>
      </w:r>
      <w:r>
        <w:t>/</w:t>
      </w:r>
      <w:r>
        <w:rPr>
          <w:i/>
        </w:rPr>
        <w:t>EGFR</w:t>
      </w:r>
      <w:r>
        <w:t xml:space="preserve"> are confirmed.</w:t>
      </w:r>
    </w:p>
    <w:p>
      <w:pPr>
        <w:pStyle w:val="ListBullet"/>
        <w:spacing w:after="60"/>
      </w:pPr>
      <w:r>
        <w:t>TCGA is about 20x smaller, so a non-significant TCGA result mostly reflects low power.</w:t>
      </w:r>
    </w:p>
    <w:p>
      <w:pPr>
        <w:pStyle w:val="ListBullet"/>
        <w:spacing w:after="60"/>
      </w:pPr>
      <w:r>
        <w:t>Agreement is lowest in lung cancer (79%), where TCGA is half squamous and smoking-related while GENIE is mostly adenocarcinoma.</w:t>
      </w:r>
    </w:p>
    <w:p>
      <w:pPr>
        <w:pStyle w:val="Heading2"/>
      </w:pPr>
      <w:r>
        <w:t>10.2  An independent statistical route: conditional selection</w:t>
      </w:r>
    </w:p>
    <w:p>
      <w:r>
        <w:t>Borrowing Coselens' idea (</w:t>
      </w:r>
      <w:r>
        <w:rPr>
          <w:rFonts w:ascii="Menlo" w:hAnsi="Menlo" w:eastAsia="Menlo"/>
          <w:sz w:val="18"/>
        </w:rPr>
        <w:t>17_conditional_selection_dnds.py</w:t>
      </w:r>
      <w:r>
        <w:t>): if gene A helps gene B get selected, B's ratio of protein-changing to silent mutations should be higher in A-mutant tumours. Silent mutations measure each group's background mutation rate, so this controls mutation load by a completely different route than the conditional test.</w:t>
      </w:r>
    </w:p>
    <w:p>
      <w:pPr>
        <w:pStyle w:val="ListBullet"/>
        <w:spacing w:after="60"/>
      </w:pPr>
      <w:r>
        <w:t xml:space="preserve">219 testable directions among mutation-driven replicated candidates; direction agrees with Phase 2 in </w:t>
      </w:r>
      <w:r>
        <w:rPr>
          <w:b/>
        </w:rPr>
        <w:t>84%</w:t>
      </w:r>
      <w:r>
        <w:t xml:space="preserve">, and in </w:t>
      </w:r>
      <w:r>
        <w:rPr>
          <w:b/>
        </w:rPr>
        <w:t>100% of the 53</w:t>
      </w:r>
      <w:r>
        <w:t xml:space="preserve"> that are themselves significant.</w:t>
      </w:r>
    </w:p>
    <w:p>
      <w:pPr>
        <w:pStyle w:val="ListBullet"/>
        <w:spacing w:after="60"/>
      </w:pPr>
      <w:r>
        <w:t xml:space="preserve">Example: </w:t>
      </w:r>
      <w:r>
        <w:rPr>
          <w:i/>
        </w:rPr>
        <w:t>IDH1</w:t>
      </w:r>
      <w:r>
        <w:t xml:space="preserve">-mutant gliomas carry 8x more protein-changing (relative to silent) </w:t>
      </w:r>
      <w:r>
        <w:rPr>
          <w:i/>
        </w:rPr>
        <w:t>CIC</w:t>
      </w:r>
      <w:r>
        <w:t xml:space="preserve"> mutations than </w:t>
      </w:r>
      <w:r>
        <w:rPr>
          <w:i/>
        </w:rPr>
        <w:t>IDH1</w:t>
      </w:r>
      <w:r>
        <w:t>-wild-type gliomas, the biology of oligodendroglioma.</w:t>
      </w:r>
    </w:p>
    <w:p>
      <w:pPr>
        <w:pStyle w:val="ListBullet"/>
        <w:spacing w:after="60"/>
      </w:pPr>
      <w:r>
        <w:t>Limit: panels report few silent mutations per gene, and subtype confounding is shared with the main analysis.</w:t>
      </w:r>
    </w:p>
    <w:p>
      <w:pPr>
        <w:pStyle w:val="Heading2"/>
      </w:pPr>
      <w:r>
        <w:t>10.3  Partial pooling across cancer types</w:t>
      </w:r>
    </w:p>
    <w:p>
      <w:r>
        <w:t>Borrowing Scharpf's idea (</w:t>
      </w:r>
      <w:r>
        <w:rPr>
          <w:rFonts w:ascii="Menlo" w:hAnsi="Menlo" w:eastAsia="Menlo"/>
          <w:sz w:val="18"/>
        </w:rPr>
        <w:t>18_hierarchical_shrinkage.py</w:t>
      </w:r>
      <w:r>
        <w:t>): pull each cancer type's effect toward the pair's pooled effect, more when the estimate is noisy. Against TCGA effects over 2,152 testable pairs, correlation rises 0.691 → 0.700 and squared error falls 0.206 → 0.195; for noisy estimates (&lt;30 co-altered patients) correlation rises 0.558 → 0.577. A modest gain that also blurs cancer-type specificity, so pooled estimates are kept as an extra column, not used for headline calls.</w:t>
      </w:r>
    </w:p>
    <w:p>
      <w:pPr>
        <w:pStyle w:val="Heading2"/>
      </w:pPr>
      <w:r>
        <w:t>10.4  Head-to-head benchmark of the method families</w:t>
      </w:r>
    </w:p>
    <w:p>
      <w:r>
        <w:rPr>
          <w:rFonts w:ascii="Menlo" w:hAnsi="Menlo" w:eastAsia="Menlo"/>
          <w:sz w:val="18"/>
        </w:rPr>
        <w:t>15_method_benchmark.py</w:t>
      </w:r>
      <w:r>
        <w:rPr>
          <w:b w:val="0"/>
        </w:rPr>
        <w:t xml:space="preserve"> ran each family on identical patients and pairs (9 cancer types, 2,553 pairs, panels covering every gene used) and scored it two ways: false positives on null data that keep every patient's alteration count and every gene's frequency but destroy gene-gene links, and replication of each method's significant calls in TCGA. SELECT (Mina 2017) was re-implemented from its published Methods S1 (weighted mutual information, 1,000 margin-preserving randomisations within subtypes, effect size and empirical FDR); a first simplified “SELECT-style” score without a null was withdrawn because it was not SELECT.</w:t>
      </w:r>
    </w:p>
    <w:p>
      <w:pPr>
        <w:keepNext/>
        <w:jc w:val="center"/>
      </w:pPr>
      <w:r>
        <w:drawing>
          <wp:inline xmlns:a="http://schemas.openxmlformats.org/drawingml/2006/main" xmlns:pic="http://schemas.openxmlformats.org/drawingml/2006/picture">
            <wp:extent cx="5577840" cy="4571196"/>
            <wp:docPr id="9" name="Picture 9"/>
            <wp:cNvGraphicFramePr>
              <a:graphicFrameLocks noChangeAspect="1"/>
            </wp:cNvGraphicFramePr>
            <a:graphic>
              <a:graphicData uri="http://schemas.openxmlformats.org/drawingml/2006/picture">
                <pic:pic>
                  <pic:nvPicPr>
                    <pic:cNvPr id="0" name="fig2_method_validity.png"/>
                    <pic:cNvPicPr/>
                  </pic:nvPicPr>
                  <pic:blipFill>
                    <a:blip r:embed="rId19"/>
                    <a:stretch>
                      <a:fillRect/>
                    </a:stretch>
                  </pic:blipFill>
                  <pic:spPr>
                    <a:xfrm>
                      <a:off x="0" y="0"/>
                      <a:ext cx="5577840" cy="4571196"/>
                    </a:xfrm>
                    <a:prstGeom prst="rect"/>
                  </pic:spPr>
                </pic:pic>
              </a:graphicData>
            </a:graphic>
          </wp:inline>
        </w:drawing>
      </w:r>
    </w:p>
    <w:p>
      <w:pPr>
        <w:jc w:val="center"/>
      </w:pPr>
      <w:r>
        <w:rPr>
          <w:color w:val="555B66"/>
          <w:sz w:val="18"/>
        </w:rPr>
        <w:t>Figure 6. Figure 2 of the figure set. a, p-values on null data with no real gene-gene links (flat = calibrated); b, false positives and TCGA replication per method; c, GENIE vs TCGA effect for every testable pair.</w:t>
      </w:r>
    </w:p>
    <w:tbl>
      <w:tblPr>
        <w:tblW w:type="auto" w:w="0"/>
        <w:jc w:val="center"/>
        <w:tblLayout w:type="fixed"/>
        <w:tblLook w:firstColumn="1" w:firstRow="1" w:lastColumn="0" w:lastRow="0" w:noHBand="0" w:noVBand="1" w:val="04A0"/>
        <w:tblLayout w:type="fixed"/>
      </w:tblPr>
      <w:tblGrid>
        <w:gridCol w:w="3175"/>
        <w:gridCol w:w="1134"/>
        <w:gridCol w:w="1360"/>
        <w:gridCol w:w="1474"/>
        <w:gridCol w:w="1360"/>
        <w:gridCol w:w="1134"/>
      </w:tblGrid>
      <w:tr>
        <w:trPr>
          <w:cantSplit w:val="true"/>
          <w:tblHeader w:val="true"/>
        </w:trPr>
        <w:tc>
          <w:tcPr>
            <w:tcW w:type="dxa" w:w="3175"/>
            <w:shd w:val="clear" w:color="auto" w:fill="1F3A5F"/>
            <w:tcMar>
              <w:top w:w="60" w:type="dxa"/>
              <w:left w:w="90" w:type="dxa"/>
              <w:bottom w:w="60" w:type="dxa"/>
              <w:right w:w="90" w:type="dxa"/>
            </w:tcMar>
          </w:tcPr>
          <w:p>
            <w:pPr>
              <w:spacing w:after="0"/>
            </w:pPr>
            <w:r>
              <w:rPr>
                <w:b/>
                <w:color w:val="FFFFFF"/>
                <w:sz w:val="17"/>
              </w:rPr>
              <w:t>Method</w:t>
            </w:r>
          </w:p>
        </w:tc>
        <w:tc>
          <w:tcPr>
            <w:tcW w:type="dxa" w:w="1134"/>
            <w:shd w:val="clear" w:color="auto" w:fill="1F3A5F"/>
            <w:tcMar>
              <w:top w:w="60" w:type="dxa"/>
              <w:left w:w="90" w:type="dxa"/>
              <w:bottom w:w="60" w:type="dxa"/>
              <w:right w:w="90" w:type="dxa"/>
            </w:tcMar>
          </w:tcPr>
          <w:p>
            <w:pPr>
              <w:spacing w:after="0"/>
            </w:pPr>
            <w:r>
              <w:rPr>
                <w:b/>
                <w:color w:val="FFFFFF"/>
                <w:sz w:val="17"/>
              </w:rPr>
              <w:t>Null p&lt;0.05</w:t>
            </w:r>
          </w:p>
        </w:tc>
        <w:tc>
          <w:tcPr>
            <w:tcW w:type="dxa" w:w="1361"/>
            <w:shd w:val="clear" w:color="auto" w:fill="1F3A5F"/>
            <w:tcMar>
              <w:top w:w="60" w:type="dxa"/>
              <w:left w:w="90" w:type="dxa"/>
              <w:bottom w:w="60" w:type="dxa"/>
              <w:right w:w="90" w:type="dxa"/>
            </w:tcMar>
          </w:tcPr>
          <w:p>
            <w:pPr>
              <w:spacing w:after="0"/>
            </w:pPr>
            <w:r>
              <w:rPr>
                <w:b/>
                <w:color w:val="FFFFFF"/>
                <w:sz w:val="17"/>
              </w:rPr>
              <w:t>Null after FDR</w:t>
            </w:r>
          </w:p>
        </w:tc>
        <w:tc>
          <w:tcPr>
            <w:tcW w:type="dxa" w:w="1474"/>
            <w:shd w:val="clear" w:color="auto" w:fill="1F3A5F"/>
            <w:tcMar>
              <w:top w:w="60" w:type="dxa"/>
              <w:left w:w="90" w:type="dxa"/>
              <w:bottom w:w="60" w:type="dxa"/>
              <w:right w:w="90" w:type="dxa"/>
            </w:tcMar>
          </w:tcPr>
          <w:p>
            <w:pPr>
              <w:spacing w:after="0"/>
            </w:pPr>
            <w:r>
              <w:rPr>
                <w:b/>
                <w:color w:val="FFFFFF"/>
                <w:sz w:val="17"/>
              </w:rPr>
              <w:t>Significant (real data)</w:t>
            </w:r>
          </w:p>
        </w:tc>
        <w:tc>
          <w:tcPr>
            <w:tcW w:type="dxa" w:w="1361"/>
            <w:shd w:val="clear" w:color="auto" w:fill="1F3A5F"/>
            <w:tcMar>
              <w:top w:w="60" w:type="dxa"/>
              <w:left w:w="90" w:type="dxa"/>
              <w:bottom w:w="60" w:type="dxa"/>
              <w:right w:w="90" w:type="dxa"/>
            </w:tcMar>
          </w:tcPr>
          <w:p>
            <w:pPr>
              <w:spacing w:after="0"/>
            </w:pPr>
            <w:r>
              <w:rPr>
                <w:b/>
                <w:color w:val="FFFFFF"/>
                <w:sz w:val="17"/>
              </w:rPr>
              <w:t>Replicate in TCGA</w:t>
            </w:r>
          </w:p>
        </w:tc>
        <w:tc>
          <w:tcPr>
            <w:tcW w:type="dxa" w:w="1134"/>
            <w:shd w:val="clear" w:color="auto" w:fill="1F3A5F"/>
            <w:tcMar>
              <w:top w:w="60" w:type="dxa"/>
              <w:left w:w="90" w:type="dxa"/>
              <w:bottom w:w="60" w:type="dxa"/>
              <w:right w:w="90" w:type="dxa"/>
            </w:tcMar>
          </w:tcPr>
          <w:p>
            <w:pPr>
              <w:spacing w:after="0"/>
            </w:pPr>
            <w:r>
              <w:rPr>
                <w:b/>
                <w:color w:val="FFFFFF"/>
                <w:sz w:val="17"/>
              </w:rPr>
              <w:t>Opposite in TCGA</w:t>
            </w:r>
          </w:p>
        </w:tc>
      </w:tr>
      <w:tr>
        <w:trPr>
          <w:cantSplit w:val="true"/>
        </w:trPr>
        <w:tc>
          <w:tcPr>
            <w:tcW w:type="dxa" w:w="317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A  Fisher (cBioPortal, maftools)</w:t>
            </w:r>
          </w:p>
        </w:tc>
        <w:tc>
          <w:tcPr>
            <w:tcW w:type="dxa" w:w="113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11.4%</w:t>
            </w:r>
          </w:p>
        </w:tc>
        <w:tc>
          <w:tcPr>
            <w:tcW w:type="dxa" w:w="136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0.6%</w:t>
            </w:r>
          </w:p>
        </w:tc>
        <w:tc>
          <w:tcPr>
            <w:tcW w:type="dxa" w:w="147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990</w:t>
            </w:r>
          </w:p>
        </w:tc>
        <w:tc>
          <w:tcPr>
            <w:tcW w:type="dxa" w:w="136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28.6%</w:t>
            </w:r>
          </w:p>
        </w:tc>
        <w:tc>
          <w:tcPr>
            <w:tcW w:type="dxa" w:w="113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0</w:t>
            </w:r>
          </w:p>
        </w:tc>
      </w:tr>
      <w:tr>
        <w:trPr>
          <w:cantSplit w:val="true"/>
        </w:trPr>
        <w:tc>
          <w:tcPr>
            <w:tcW w:type="dxa" w:w="317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B1  DISCOVER-style plug-in (Rediscover)</w:t>
            </w:r>
          </w:p>
        </w:tc>
        <w:tc>
          <w:tcPr>
            <w:tcW w:type="dxa" w:w="113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32.7%</w:t>
            </w:r>
          </w:p>
        </w:tc>
        <w:tc>
          <w:tcPr>
            <w:tcW w:type="dxa" w:w="136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18.1%</w:t>
            </w:r>
          </w:p>
        </w:tc>
        <w:tc>
          <w:tcPr>
            <w:tcW w:type="dxa" w:w="147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1,101</w:t>
            </w:r>
          </w:p>
        </w:tc>
        <w:tc>
          <w:tcPr>
            <w:tcW w:type="dxa" w:w="136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30.5%</w:t>
            </w:r>
          </w:p>
        </w:tc>
        <w:tc>
          <w:tcPr>
            <w:tcW w:type="dxa" w:w="113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0</w:t>
            </w:r>
          </w:p>
        </w:tc>
      </w:tr>
      <w:tr>
        <w:trPr>
          <w:cantSplit w:val="true"/>
        </w:trPr>
        <w:tc>
          <w:tcPr>
            <w:tcW w:type="dxa" w:w="317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B2  Conditional test, no strata</w:t>
            </w:r>
          </w:p>
        </w:tc>
        <w:tc>
          <w:tcPr>
            <w:tcW w:type="dxa" w:w="113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2.0%</w:t>
            </w:r>
          </w:p>
        </w:tc>
        <w:tc>
          <w:tcPr>
            <w:tcW w:type="dxa" w:w="136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0%</w:t>
            </w:r>
          </w:p>
        </w:tc>
        <w:tc>
          <w:tcPr>
            <w:tcW w:type="dxa" w:w="147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853</w:t>
            </w:r>
          </w:p>
        </w:tc>
        <w:tc>
          <w:tcPr>
            <w:tcW w:type="dxa" w:w="1361"/>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33.8%</w:t>
            </w:r>
          </w:p>
        </w:tc>
        <w:tc>
          <w:tcPr>
            <w:tcW w:type="dxa" w:w="1134"/>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7"/>
              </w:rPr>
              <w:t>0</w:t>
            </w:r>
          </w:p>
        </w:tc>
      </w:tr>
      <w:tr>
        <w:trPr>
          <w:cantSplit w:val="true"/>
        </w:trPr>
        <w:tc>
          <w:tcPr>
            <w:tcW w:type="dxa" w:w="317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B3  Conditional + subtype strata (Phase 2)</w:t>
            </w:r>
          </w:p>
        </w:tc>
        <w:tc>
          <w:tcPr>
            <w:tcW w:type="dxa" w:w="113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1.9%</w:t>
            </w:r>
          </w:p>
        </w:tc>
        <w:tc>
          <w:tcPr>
            <w:tcW w:type="dxa" w:w="136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0%</w:t>
            </w:r>
          </w:p>
        </w:tc>
        <w:tc>
          <w:tcPr>
            <w:tcW w:type="dxa" w:w="147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677</w:t>
            </w:r>
          </w:p>
        </w:tc>
        <w:tc>
          <w:tcPr>
            <w:tcW w:type="dxa" w:w="136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37.0%</w:t>
            </w:r>
          </w:p>
        </w:tc>
        <w:tc>
          <w:tcPr>
            <w:tcW w:type="dxa" w:w="113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0</w:t>
            </w:r>
          </w:p>
        </w:tc>
      </w:tr>
      <w:tr>
        <w:trPr>
          <w:cantSplit w:val="true"/>
        </w:trPr>
        <w:tc>
          <w:tcPr>
            <w:tcW w:type="dxa" w:w="317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D  SELECT (Mina 2017; re-implemented)</w:t>
            </w:r>
          </w:p>
        </w:tc>
        <w:tc>
          <w:tcPr>
            <w:tcW w:type="dxa" w:w="113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3.8%</w:t>
            </w:r>
          </w:p>
        </w:tc>
        <w:tc>
          <w:tcPr>
            <w:tcW w:type="dxa" w:w="136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0.2%</w:t>
            </w:r>
          </w:p>
        </w:tc>
        <w:tc>
          <w:tcPr>
            <w:tcW w:type="dxa" w:w="147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770</w:t>
            </w:r>
          </w:p>
        </w:tc>
        <w:tc>
          <w:tcPr>
            <w:tcW w:type="dxa" w:w="1361"/>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7"/>
              </w:rPr>
              <w:t>33.7%</w:t>
            </w:r>
          </w:p>
        </w:tc>
        <w:tc>
          <w:tcPr>
            <w:tcW w:type="dxa" w:w="1134"/>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7"/>
              </w:rPr>
              <w:t>0</w:t>
            </w:r>
          </w:p>
        </w:tc>
      </w:tr>
    </w:tbl>
    <w:p>
      <w:pPr>
        <w:spacing w:after="40"/>
      </w:pPr>
    </w:p>
    <w:p>
      <w:pPr>
        <w:pStyle w:val="ListBullet"/>
        <w:spacing w:after="60"/>
      </w:pPr>
      <w:r>
        <w:rPr>
          <w:b/>
        </w:rPr>
        <w:rPr>
          <w:b/>
        </w:rPr>
        <w:t>Calibration needs a margin-preserving null.</w:t>
      </w:r>
      <w:r>
        <w:rPr>
          <w:b w:val="0"/>
        </w:rPr>
        <w:t xml:space="preserve"> The conditional test (exact) and SELECT (by randomisation) are both calibrated; Fisher over-calls, and the DISCOVER-style plug-in is worst, with 18% of null pairs surviving FDR, all as false exclusivity.</w:t>
      </w:r>
    </w:p>
    <w:p>
      <w:pPr>
        <w:pStyle w:val="ListBullet"/>
        <w:spacing w:after="60"/>
      </w:pPr>
      <w:r>
        <w:rPr>
          <w:b/>
        </w:rPr>
        <w:rPr>
          <w:b/>
        </w:rPr>
        <w:t>Our calls replicate best</w:t>
      </w:r>
      <w:r>
        <w:rPr>
          <w:b w:val="0"/>
        </w:rPr>
        <w:t xml:space="preserve"> (37% vs 34% for SELECT and 29% for Fisher) with fewer calls: the extra calls of the other methods are mostly the ones that fail.</w:t>
      </w:r>
    </w:p>
    <w:p>
      <w:pPr>
        <w:pStyle w:val="ListBullet"/>
        <w:spacing w:after="60"/>
      </w:pPr>
      <w:r>
        <w:rPr>
          <w:b/>
        </w:rPr>
        <w:t>The strongest pairs are found by every method</w:t>
      </w:r>
      <w:r>
        <w:t xml:space="preserve"> (84-92% of each method's top 50 replicate). Methods differ on the marginal calls, which is where false positives live, and where a clinician's query usually lands.</w:t>
      </w:r>
    </w:p>
    <w:p>
      <w:pPr>
        <w:pStyle w:val="ListBullet"/>
        <w:spacing w:after="60"/>
      </w:pPr>
      <w:r>
        <w:rPr>
          <w:b/>
        </w:rPr>
        <w:t>Honest caveat:</w:t>
      </w:r>
      <w:r>
        <w:t xml:space="preserve"> subtype strata rank slightly lower at the top 200 pairs (56% vs 63% for the conditional test without strata), because the pairs they remove are subtype markers that TCGA reproduces too. External replication cannot penalise an artefact the two cohorts share, so the case for strata rests on the removed pairs being textbook subtype markers (</w:t>
      </w:r>
      <w:r>
        <w:rPr>
          <w:i/>
        </w:rPr>
        <w:t>CIC</w:t>
      </w:r>
      <w:r>
        <w:t xml:space="preserve"> vs </w:t>
      </w:r>
      <w:r>
        <w:rPr>
          <w:i/>
        </w:rPr>
        <w:t>PTEN</w:t>
      </w:r>
      <w:r>
        <w:t xml:space="preserve">, </w:t>
      </w:r>
      <w:r>
        <w:rPr>
          <w:i/>
        </w:rPr>
        <w:t>CDH1</w:t>
      </w:r>
      <w:r>
        <w:t xml:space="preserve"> vs </w:t>
      </w:r>
      <w:r>
        <w:rPr>
          <w:i/>
        </w:rPr>
        <w:t>ERBB2</w:t>
      </w:r>
      <w:r>
        <w:t>).</w:t>
      </w:r>
    </w:p>
    <w:p>
      <w:pPr>
        <w:pStyle w:val="ListBullet"/>
        <w:spacing w:after="60"/>
      </w:pPr>
      <w:r>
        <w:rPr>
          <w:b/>
        </w:rPr>
        <w:rPr>
          <w:b/>
        </w:rPr>
        <w:t>SELECT ranks the very strongest pairs best</w:t>
      </w:r>
      <w:r>
        <w:rPr>
          <w:b w:val="0"/>
        </w:rPr>
        <w:t xml:space="preserve"> (96% of its top 50 and 84% of its top 100 replicate): its effect size is a good ranking score. Our advantage is the precision of the significant list, not the top of the ranking.</w:t>
      </w:r>
    </w:p>
    <w:p>
      <w:pPr>
        <w:pStyle w:val="Heading2"/>
      </w:pPr>
      <w:r>
        <w:t>10.5  Exclusive gene sets: does the load-aware idea carry over?</w:t>
      </w:r>
    </w:p>
    <w:p>
      <w:r>
        <w:rPr>
          <w:rFonts w:ascii="Menlo" w:hAnsi="Menlo" w:eastAsia="Menlo"/>
          <w:sz w:val="18"/>
        </w:rPr>
        <w:t>16_exclusive_gene_sets.py</w:t>
      </w:r>
      <w:r>
        <w:t xml:space="preserve"> compared Dendrix's “coverage minus overlap” score with a load-aware version that uses the conditional model's expected overlap. Both scored every gene triple among the 35 most altered genes in 6 cancer types, judged by whether the top 20 sets form one known pathway.</w:t>
      </w:r>
    </w:p>
    <w:tbl>
      <w:tblPr>
        <w:tblW w:type="auto" w:w="0"/>
        <w:jc w:val="center"/>
        <w:tblLayout w:type="fixed"/>
        <w:tblLook w:firstColumn="1" w:firstRow="1" w:lastColumn="0" w:lastRow="0" w:noHBand="0" w:noVBand="1" w:val="04A0"/>
        <w:tblLayout w:type="fixed"/>
      </w:tblPr>
      <w:tblGrid>
        <w:gridCol w:w="5103"/>
        <w:gridCol w:w="2268"/>
        <w:gridCol w:w="2268"/>
      </w:tblGrid>
      <w:tr>
        <w:trPr>
          <w:cantSplit w:val="true"/>
          <w:tblHeader w:val="true"/>
        </w:trPr>
        <w:tc>
          <w:tcPr>
            <w:tcW w:type="dxa" w:w="5102"/>
            <w:shd w:val="clear" w:color="auto" w:fill="1F3A5F"/>
            <w:tcMar>
              <w:top w:w="60" w:type="dxa"/>
              <w:left w:w="90" w:type="dxa"/>
              <w:bottom w:w="60" w:type="dxa"/>
              <w:right w:w="90" w:type="dxa"/>
            </w:tcMar>
          </w:tcPr>
          <w:p>
            <w:pPr>
              <w:spacing w:after="0"/>
            </w:pPr>
            <w:r>
              <w:rPr>
                <w:b/>
                <w:color w:val="FFFFFF"/>
                <w:sz w:val="18"/>
              </w:rPr>
            </w:r>
          </w:p>
        </w:tc>
        <w:tc>
          <w:tcPr>
            <w:tcW w:type="dxa" w:w="2268"/>
            <w:shd w:val="clear" w:color="auto" w:fill="1F3A5F"/>
            <w:tcMar>
              <w:top w:w="60" w:type="dxa"/>
              <w:left w:w="90" w:type="dxa"/>
              <w:bottom w:w="60" w:type="dxa"/>
              <w:right w:w="90" w:type="dxa"/>
            </w:tcMar>
          </w:tcPr>
          <w:p>
            <w:pPr>
              <w:spacing w:after="0"/>
            </w:pPr>
            <w:r>
              <w:rPr>
                <w:b/>
                <w:color w:val="FFFFFF"/>
                <w:sz w:val="18"/>
              </w:rPr>
              <w:t>Dendrix</w:t>
            </w:r>
          </w:p>
        </w:tc>
        <w:tc>
          <w:tcPr>
            <w:tcW w:type="dxa" w:w="2268"/>
            <w:shd w:val="clear" w:color="auto" w:fill="1F3A5F"/>
            <w:tcMar>
              <w:top w:w="60" w:type="dxa"/>
              <w:left w:w="90" w:type="dxa"/>
              <w:bottom w:w="60" w:type="dxa"/>
              <w:right w:w="90" w:type="dxa"/>
            </w:tcMar>
          </w:tcPr>
          <w:p>
            <w:pPr>
              <w:spacing w:after="0"/>
            </w:pPr>
            <w:r>
              <w:rPr>
                <w:b/>
                <w:color w:val="FFFFFF"/>
                <w:sz w:val="18"/>
              </w:rPr>
              <w:t>Load-aware</w:t>
            </w:r>
          </w:p>
        </w:tc>
      </w:tr>
      <w:tr>
        <w:trPr>
          <w:cantSplit w:val="true"/>
        </w:trPr>
        <w:tc>
          <w:tcPr>
            <w:tcW w:type="dxa" w:w="5102"/>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Top-20 sets with all 3 genes in one pathway</w:t>
            </w:r>
          </w:p>
        </w:tc>
        <w:tc>
          <w:tcPr>
            <w:tcW w:type="dxa" w:w="226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5%</w:t>
            </w:r>
          </w:p>
        </w:tc>
        <w:tc>
          <w:tcPr>
            <w:tcW w:type="dxa" w:w="226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8"/>
              </w:rPr>
              <w:t>15%</w:t>
            </w:r>
          </w:p>
        </w:tc>
      </w:tr>
      <w:tr>
        <w:trPr>
          <w:cantSplit w:val="true"/>
        </w:trPr>
        <w:tc>
          <w:tcPr>
            <w:tcW w:type="dxa" w:w="5102"/>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Top-20 sets with at least 2 genes sharing a pathway</w:t>
            </w:r>
          </w:p>
        </w:tc>
        <w:tc>
          <w:tcPr>
            <w:tcW w:type="dxa" w:w="226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46%</w:t>
            </w:r>
          </w:p>
        </w:tc>
        <w:tc>
          <w:tcPr>
            <w:tcW w:type="dxa" w:w="226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8"/>
              </w:rPr>
              <w:t>73%</w:t>
            </w:r>
          </w:p>
        </w:tc>
      </w:tr>
      <w:tr>
        <w:trPr>
          <w:cantSplit w:val="true"/>
        </w:trPr>
        <w:tc>
          <w:tcPr>
            <w:tcW w:type="dxa" w:w="5102"/>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Mean frequency of the genes chosen</w:t>
            </w:r>
          </w:p>
        </w:tc>
        <w:tc>
          <w:tcPr>
            <w:tcW w:type="dxa" w:w="226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0.24-0.30</w:t>
            </w:r>
          </w:p>
        </w:tc>
        <w:tc>
          <w:tcPr>
            <w:tcW w:type="dxa" w:w="226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0.19-0.22</w:t>
            </w:r>
          </w:p>
        </w:tc>
      </w:tr>
    </w:tbl>
    <w:p>
      <w:pPr>
        <w:spacing w:after="40"/>
      </w:pPr>
    </w:p>
    <w:p>
      <w:r>
        <w:t xml:space="preserve">The top load-aware sets are textbook pathways: </w:t>
      </w:r>
      <w:r>
        <w:rPr>
          <w:i/>
        </w:rPr>
        <w:t>BRAF</w:t>
      </w:r>
      <w:r>
        <w:t>/</w:t>
      </w:r>
      <w:r>
        <w:rPr>
          <w:i/>
        </w:rPr>
        <w:t>KRAS</w:t>
      </w:r>
      <w:r>
        <w:t>/</w:t>
      </w:r>
      <w:r>
        <w:rPr>
          <w:i/>
        </w:rPr>
        <w:t>NRAS</w:t>
      </w:r>
      <w:r>
        <w:t xml:space="preserve"> (colorectal), </w:t>
      </w:r>
      <w:r>
        <w:rPr>
          <w:i/>
        </w:rPr>
        <w:t>AKT1</w:t>
      </w:r>
      <w:r>
        <w:t>/</w:t>
      </w:r>
      <w:r>
        <w:rPr>
          <w:i/>
        </w:rPr>
        <w:t>PIK3CA</w:t>
      </w:r>
      <w:r>
        <w:t>/</w:t>
      </w:r>
      <w:r>
        <w:rPr>
          <w:i/>
        </w:rPr>
        <w:t>PIK3R1</w:t>
      </w:r>
      <w:r>
        <w:t xml:space="preserve"> (endometrial), </w:t>
      </w:r>
      <w:r>
        <w:rPr>
          <w:i/>
        </w:rPr>
        <w:t>CDK4</w:t>
      </w:r>
      <w:r>
        <w:t>/</w:t>
      </w:r>
      <w:r>
        <w:rPr>
          <w:i/>
        </w:rPr>
        <w:t>CDKN2A</w:t>
      </w:r>
      <w:r>
        <w:t>/</w:t>
      </w:r>
      <w:r>
        <w:rPr>
          <w:i/>
        </w:rPr>
        <w:t>RB1</w:t>
      </w:r>
      <w:r>
        <w:t xml:space="preserve"> (glioma), </w:t>
      </w:r>
      <w:r>
        <w:rPr>
          <w:i/>
        </w:rPr>
        <w:t>EGFR</w:t>
      </w:r>
      <w:r>
        <w:t>/</w:t>
      </w:r>
      <w:r>
        <w:rPr>
          <w:i/>
        </w:rPr>
        <w:t>ERBB2</w:t>
      </w:r>
      <w:r>
        <w:t>/</w:t>
      </w:r>
      <w:r>
        <w:rPr>
          <w:i/>
        </w:rPr>
        <w:t>KRAS</w:t>
      </w:r>
      <w:r>
        <w:t xml:space="preserve"> (lung). Dendrix instead bundles </w:t>
      </w:r>
      <w:r>
        <w:rPr>
          <w:i/>
        </w:rPr>
        <w:t>TP53</w:t>
      </w:r>
      <w:r>
        <w:t xml:space="preserve"> with other common genes (</w:t>
      </w:r>
      <w:r>
        <w:rPr>
          <w:i/>
        </w:rPr>
        <w:t>ATM</w:t>
      </w:r>
      <w:r>
        <w:t>/</w:t>
      </w:r>
      <w:r>
        <w:rPr>
          <w:i/>
        </w:rPr>
        <w:t>SMAD2</w:t>
      </w:r>
      <w:r>
        <w:t>/</w:t>
      </w:r>
      <w:r>
        <w:rPr>
          <w:i/>
        </w:rPr>
        <w:t>TP53</w:t>
      </w:r>
      <w:r>
        <w:t xml:space="preserve">, </w:t>
      </w:r>
      <w:r>
        <w:rPr>
          <w:i/>
        </w:rPr>
        <w:t>KRAS</w:t>
      </w:r>
      <w:r>
        <w:t>/</w:t>
      </w:r>
      <w:r>
        <w:rPr>
          <w:i/>
        </w:rPr>
        <w:t>MDM2</w:t>
      </w:r>
      <w:r>
        <w:t>/</w:t>
      </w:r>
      <w:r>
        <w:rPr>
          <w:i/>
        </w:rPr>
        <w:t>TP53</w:t>
      </w:r>
      <w:r>
        <w:t xml:space="preserve">), because a coverage score that ignores mutation load rewards whatever is frequent. </w:t>
      </w:r>
      <w:r>
        <w:rPr>
          <w:b/>
        </w:rPr>
        <w:t>The load-aware null matters for sets as it does for pairs.</w:t>
      </w:r>
    </w:p>
    <w:p>
      <w:pPr>
        <w:pStyle w:val="Heading2"/>
      </w:pPr>
      <w:r>
        <w:t>10.6  Mutation-load confounding: van de Haar's diagnostic</w:t>
      </w:r>
    </w:p>
    <w:p>
      <w:r>
        <w:rPr>
          <w:rFonts w:ascii="Menlo" w:hAnsi="Menlo" w:eastAsia="Menlo"/>
          <w:sz w:val="18"/>
        </w:rPr>
        <w:t>21_mutation_load_confounding.py</w:t>
      </w:r>
      <w:r>
        <w:t xml:space="preserve"> runs the check van de Haar et al. (2019) used to show that most published mutual exclusivity is confounded by mutation load. Each gene gets a mutation load association (MLA): is it altered more in low-load or high-load tumours? On exome data, every method they tested called far more exclusive pairs for low-MLA genes (correlation r = -0.60 to -0.87).</w:t>
      </w:r>
    </w:p>
    <w:p>
      <w:pPr>
        <w:pStyle w:val="ListBullet"/>
        <w:spacing w:after="60"/>
      </w:pPr>
      <w:r>
        <w:rPr>
          <w:b/>
        </w:rPr>
        <w:t xml:space="preserve">Not seen on GENIE panels in our design. </w:t>
      </w:r>
      <w:r>
        <w:rPr>
          <w:b w:val="0"/>
        </w:rPr>
        <w:t>With non-hypermutated tumours only, the correlation is slightly positive for every method (Fisher +0.16, DISCOVER-style +0.25, SELECT +0.13, ours +0.20).</w:t>
      </w:r>
    </w:p>
    <w:p>
      <w:pPr>
        <w:pStyle w:val="ListBullet"/>
        <w:spacing w:after="60"/>
      </w:pPr>
      <w:r>
        <w:rPr>
          <w:b/>
        </w:rPr>
        <w:t xml:space="preserve">A weak version appears once hypermutated tumours are included </w:t>
      </w:r>
      <w:r>
        <w:rPr>
          <w:b w:val="0"/>
        </w:rPr>
        <w:t>(Fisher -0.17, ours -0.17): our test alone does not remove it.</w:t>
      </w:r>
    </w:p>
    <w:p>
      <w:pPr>
        <w:pStyle w:val="ListBullet"/>
        <w:spacing w:after="60"/>
      </w:pPr>
      <w:r>
        <w:rPr>
          <w:b/>
        </w:rPr>
        <w:t xml:space="preserve">So the split removes it. </w:t>
      </w:r>
      <w:r>
        <w:rPr>
          <w:b w:val="0"/>
        </w:rPr>
        <w:t>Analysing non-hypermutated tumours separately (Prof. Wong's suggestion) is what protects against load confounding; the conditional test protects calibration. They fix different problems, which is why the design keeps both.</w:t>
      </w:r>
    </w:p>
    <w:tbl>
      <w:tblPr>
        <w:tblW w:type="auto" w:w="0"/>
        <w:jc w:val="center"/>
        <w:tblLook w:firstColumn="1" w:firstRow="1" w:lastColumn="0" w:lastRow="0" w:noHBand="0" w:noVBand="1" w:val="04A0"/>
        <w:tblLayout w:type="fixed"/>
      </w:tblPr>
      <w:tblGrid>
        <w:gridCol w:w="9639"/>
      </w:tblGrid>
      <w:tr>
        <w:trPr>
          <w:cantSplit w:val="true"/>
        </w:trPr>
        <w:tc>
          <w:tcPr>
            <w:tcW w:type="dxa" w:w="9638"/>
            <w:shd w:val="clear" w:color="auto" w:fill="E8EEF4"/>
            <w:tcMar>
              <w:top w:w="110" w:type="dxa"/>
              <w:left w:w="200" w:type="dxa"/>
              <w:bottom w:w="110" w:type="dxa"/>
              <w:right w:w="160" w:type="dxa"/>
            </w:tcMar>
            <w:tcBorders>
              <w:top w:val="nil" w:sz="0" w:color="FFFFFF"/>
              <w:left w:val="single" w:sz="24" w:color="1F3A5F"/>
              <w:bottom w:val="nil" w:sz="0" w:color="FFFFFF"/>
              <w:right w:val="nil" w:sz="0" w:color="FFFFFF"/>
            </w:tcBorders>
          </w:tcPr>
          <w:p>
            <w:pPr>
              <w:spacing w:after="40"/>
            </w:pPr>
            <w:r>
              <w:rPr>
                <w:b/>
                <w:color w:val="1F3A5F"/>
                <w:sz w:val="21"/>
              </w:rPr>
              <w:t>What trying the published methods taught us</w:t>
            </w:r>
          </w:p>
          <w:p>
            <w:pPr>
              <w:spacing w:after="60"/>
            </w:pPr>
            <w:r>
              <w:rPr>
                <w:sz w:val="20"/>
              </w:rPr>
              <w:t>•  The main design choice is confirmed from three directions: null calibration, independent patients (TCGA) and an independent signal (silent-mutation ratios).</w:t>
            </w:r>
          </w:p>
          <w:p>
            <w:pPr>
              <w:spacing w:after="60"/>
            </w:pPr>
            <w:r>
              <w:rPr>
                <w:sz w:val="20"/>
              </w:rPr>
              <w:t>•  The advantage is in the long tail of moderate effects, not in headline pairs.</w:t>
            </w:r>
          </w:p>
          <w:p>
            <w:pPr>
              <w:spacing w:after="60"/>
            </w:pPr>
            <w:r>
              <w:rPr>
                <w:sz w:val="20"/>
              </w:rPr>
              <w:t>•  Copy number needs its own artefact checks (burden, neighbouring genes, shared events); no published method addresses them for panel data.</w:t>
            </w:r>
          </w:p>
          <w:p>
            <w:pPr>
              <w:spacing w:after="60"/>
            </w:pPr>
            <w:r>
              <w:rPr>
                <w:sz w:val="20"/>
              </w:rPr>
              <w:t>•  SELECT, re-implemented faithfully, is the closest alternative: calibrated and best at ranking the strongest pairs. Shrinkage was borrowed but not adopted (small gain, blurs specificity).</w:t>
            </w:r>
          </w:p>
          <w:p>
            <w:pPr>
              <w:spacing w:after="60"/>
            </w:pPr>
            <w:r>
              <w:rPr>
                <w:sz w:val="20"/>
              </w:rPr>
              <w:t>•  Mutation-load confounding (van de Haar) is removed by analysing non-hypermutated tumours separately, not by the choice of test.</w:t>
            </w:r>
          </w:p>
          <w:p>
            <w:pPr>
              <w:spacing w:after="60"/>
            </w:pPr>
            <w:r>
              <w:rPr>
                <w:sz w:val="20"/>
              </w:rPr>
              <w:t xml:space="preserve">All tables of this part are reproduced in </w:t>
            </w:r>
            <w:r>
              <w:rPr>
                <w:rFonts w:ascii="Menlo" w:hAnsi="Menlo" w:eastAsia="Menlo"/>
                <w:sz w:val="20"/>
              </w:rPr>
              <w:t>notebooks/05_validation_and_methods.ipynb</w:t>
            </w:r>
            <w:r>
              <w:rPr>
                <w:sz w:val="20"/>
              </w:rPr>
              <w:t>.</w:t>
            </w:r>
          </w:p>
        </w:tc>
      </w:tr>
    </w:tbl>
    <w:p>
      <w:pPr>
        <w:spacing w:after="40"/>
      </w:pPr>
    </w:p>
    <w:p>
      <w:pPr>
        <w:spacing w:before="120"/>
      </w:pPr>
      <w:r>
        <w:rPr>
          <w:i/>
          <w:color w:val="555B66"/>
          <w:sz w:val="17"/>
        </w:rPr>
        <w:t>Source files for this part:</w:t>
      </w:r>
      <w:r>
        <w:rPr>
          <w:color w:val="555B66"/>
          <w:sz w:val="17"/>
        </w:rPr>
        <w:t xml:space="preserve"> notebooks/05_validation_and_methods.ipynb, results/logs/15-17 logs, scripts/analyses/14-18_*.py and 21_*.py, docs/literature_review.md §7 and §10.</w:t>
      </w:r>
    </w:p>
    <w:p>
      <w:r>
        <w:br w:type="page"/>
      </w:r>
    </w:p>
    <w:p>
      <w:pPr>
        <w:spacing w:after="0"/>
      </w:pPr>
      <w:r>
        <w:rPr>
          <w:b/>
          <w:color w:val="2A7F8E"/>
          <w:sz w:val="20"/>
        </w:rPr>
        <w:t>PART 11</w:t>
      </w:r>
    </w:p>
    <w:p>
      <w:pPr>
        <w:pStyle w:val="Heading1"/>
      </w:pPr>
      <w:r>
        <w:t>Where things stand</w:t>
      </w:r>
    </w:p>
    <w:p>
      <w:pPr>
        <w:spacing w:after="200"/>
      </w:pPr>
      <w:r>
        <w:rPr>
          <w:color w:val="555B66"/>
          <w:sz w:val="23"/>
        </w:rPr>
        <w:t>An honest status: what is done, what is moving, what needs a decision, and what to be careful about.</w:t>
      </w:r>
    </w:p>
    <w:p>
      <w:pPr>
        <w:pStyle w:val="Heading2"/>
      </w:pPr>
      <w:r>
        <w:t>11.1  Progress dashboard</w:t>
      </w:r>
    </w:p>
    <w:tbl>
      <w:tblPr>
        <w:tblW w:type="auto" w:w="0"/>
        <w:jc w:val="center"/>
        <w:tblLayout w:type="fixed"/>
        <w:tblLook w:firstColumn="1" w:firstRow="1" w:lastColumn="0" w:lastRow="0" w:noHBand="0" w:noVBand="1" w:val="04A0"/>
        <w:tblLayout w:type="fixed"/>
      </w:tblPr>
      <w:tblGrid>
        <w:gridCol w:w="3175"/>
        <w:gridCol w:w="2268"/>
        <w:gridCol w:w="4195"/>
      </w:tblGrid>
      <w:tr>
        <w:trPr>
          <w:cantSplit w:val="true"/>
          <w:tblHeader w:val="true"/>
        </w:trPr>
        <w:tc>
          <w:tcPr>
            <w:tcW w:type="dxa" w:w="3175"/>
            <w:shd w:val="clear" w:color="auto" w:fill="1F3A5F"/>
            <w:tcMar>
              <w:top w:w="60" w:type="dxa"/>
              <w:left w:w="90" w:type="dxa"/>
              <w:bottom w:w="60" w:type="dxa"/>
              <w:right w:w="90" w:type="dxa"/>
            </w:tcMar>
          </w:tcPr>
          <w:p>
            <w:pPr>
              <w:spacing w:after="0"/>
            </w:pPr>
            <w:r>
              <w:rPr>
                <w:b/>
                <w:color w:val="FFFFFF"/>
                <w:sz w:val="18"/>
              </w:rPr>
              <w:t>Component</w:t>
            </w:r>
          </w:p>
        </w:tc>
        <w:tc>
          <w:tcPr>
            <w:tcW w:type="dxa" w:w="2268"/>
            <w:shd w:val="clear" w:color="auto" w:fill="1F3A5F"/>
            <w:tcMar>
              <w:top w:w="60" w:type="dxa"/>
              <w:left w:w="90" w:type="dxa"/>
              <w:bottom w:w="60" w:type="dxa"/>
              <w:right w:w="90" w:type="dxa"/>
            </w:tcMar>
          </w:tcPr>
          <w:p>
            <w:pPr>
              <w:spacing w:after="0"/>
            </w:pPr>
            <w:r>
              <w:rPr>
                <w:b/>
                <w:color w:val="FFFFFF"/>
                <w:sz w:val="18"/>
              </w:rPr>
              <w:t>State</w:t>
            </w:r>
          </w:p>
        </w:tc>
        <w:tc>
          <w:tcPr>
            <w:tcW w:type="dxa" w:w="4195"/>
            <w:shd w:val="clear" w:color="auto" w:fill="1F3A5F"/>
            <w:tcMar>
              <w:top w:w="60" w:type="dxa"/>
              <w:left w:w="90" w:type="dxa"/>
              <w:bottom w:w="60" w:type="dxa"/>
              <w:right w:w="90" w:type="dxa"/>
            </w:tcMar>
          </w:tcPr>
          <w:p>
            <w:pPr>
              <w:spacing w:after="0"/>
            </w:pPr>
            <w:r>
              <w:rPr>
                <w:b/>
                <w:color w:val="FFFFFF"/>
                <w:sz w:val="18"/>
              </w:rPr>
              <w:t>Notes</w:t>
            </w:r>
          </w:p>
        </w:tc>
      </w:tr>
      <w:tr>
        <w:trPr>
          <w:cantSplit w:val="true"/>
        </w:trPr>
        <w:tc>
          <w:tcPr>
            <w:tcW w:type="dxa" w:w="317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Phase 1: cleaning</w:t>
            </w:r>
          </w:p>
        </w:tc>
        <w:tc>
          <w:tcPr>
            <w:tcW w:type="dxa" w:w="226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8"/>
              </w:rPr>
              <w:t>Done</w:t>
            </w:r>
          </w:p>
        </w:tc>
        <w:tc>
          <w:tcPr>
            <w:tcW w:type="dxa" w:w="419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Re-run 22 Oct with fusions; 1,945,807-row alteration table</w:t>
            </w:r>
          </w:p>
        </w:tc>
      </w:tr>
      <w:tr>
        <w:trPr>
          <w:cantSplit w:val="true"/>
        </w:trPr>
        <w:tc>
          <w:tcPr>
            <w:tcW w:type="dxa" w:w="317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Phase 2: pair screen</w:t>
            </w:r>
          </w:p>
        </w:tc>
        <w:tc>
          <w:tcPr>
            <w:tcW w:type="dxa" w:w="226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8"/>
              </w:rPr>
              <w:t>Done (v3 + fusions + burden flag)</w:t>
            </w:r>
          </w:p>
        </w:tc>
        <w:tc>
          <w:tcPr>
            <w:tcW w:type="dxa" w:w="419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Re-run 23 Oct; 6,697 pairs, 1,584 candidates, 486 replicated</w:t>
            </w:r>
          </w:p>
        </w:tc>
      </w:tr>
      <w:tr>
        <w:trPr>
          <w:cantSplit w:val="true"/>
        </w:trPr>
        <w:tc>
          <w:tcPr>
            <w:tcW w:type="dxa" w:w="317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Phase 3: lookup tool</w:t>
            </w:r>
          </w:p>
        </w:tc>
        <w:tc>
          <w:tcPr>
            <w:tcW w:type="dxa" w:w="226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8"/>
              </w:rPr>
              <w:t>Built and re-run</w:t>
            </w:r>
          </w:p>
        </w:tc>
        <w:tc>
          <w:tcPr>
            <w:tcW w:type="dxa" w:w="419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Accepts genes, variants, copy number and fusions. No web interface yet; OncoKB not integrated</w:t>
            </w:r>
          </w:p>
        </w:tc>
      </w:tr>
      <w:tr>
        <w:trPr>
          <w:cantSplit w:val="true"/>
        </w:trPr>
        <w:tc>
          <w:tcPr>
            <w:tcW w:type="dxa" w:w="317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Phase 4: insight</w:t>
            </w:r>
          </w:p>
        </w:tc>
        <w:tc>
          <w:tcPr>
            <w:tcW w:type="dxa" w:w="226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8"/>
              </w:rPr>
              <w:t>Built and re-run</w:t>
            </w:r>
          </w:p>
        </w:tc>
        <w:tc>
          <w:tcPr>
            <w:tcW w:type="dxa" w:w="419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Includes the burden-confound analysis and the fusion-aware rare-combination catalogue</w:t>
            </w:r>
          </w:p>
        </w:tc>
      </w:tr>
      <w:tr>
        <w:trPr>
          <w:cantSplit w:val="true"/>
        </w:trPr>
        <w:tc>
          <w:tcPr>
            <w:tcW w:type="dxa" w:w="317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Notebook 05: validation and methods</w:t>
            </w:r>
          </w:p>
        </w:tc>
        <w:tc>
          <w:tcPr>
            <w:tcW w:type="dxa" w:w="226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8"/>
              </w:rPr>
              <w:t>New, committed</w:t>
            </w:r>
          </w:p>
        </w:tc>
        <w:tc>
          <w:tcPr>
            <w:tcW w:type="dxa" w:w="419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Collects TCGA validation, benchmark, gene sets, dN/dS, shrinkage, burden, fusions</w:t>
            </w:r>
          </w:p>
        </w:tc>
      </w:tr>
      <w:tr>
        <w:trPr>
          <w:cantSplit w:val="true"/>
        </w:trPr>
        <w:tc>
          <w:tcPr>
            <w:tcW w:type="dxa" w:w="317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External validation (TCGA)</w:t>
            </w:r>
          </w:p>
        </w:tc>
        <w:tc>
          <w:tcPr>
            <w:tcW w:type="dxa" w:w="226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8"/>
              </w:rPr>
              <w:t>Done</w:t>
            </w:r>
          </w:p>
        </w:tc>
        <w:tc>
          <w:tcPr>
            <w:tcW w:type="dxa" w:w="419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94% same direction, 0 reversed</w:t>
            </w:r>
          </w:p>
        </w:tc>
      </w:tr>
      <w:tr>
        <w:trPr>
          <w:cantSplit w:val="true"/>
        </w:trPr>
        <w:tc>
          <w:tcPr>
            <w:tcW w:type="dxa" w:w="317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Method benchmark (15), gene sets (16), dN/dS (17), shrinkage (18)</w:t>
            </w:r>
          </w:p>
        </w:tc>
        <w:tc>
          <w:tcPr>
            <w:tcW w:type="dxa" w:w="226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8"/>
              </w:rPr>
              <w:t>Done</w:t>
            </w:r>
          </w:p>
        </w:tc>
        <w:tc>
          <w:tcPr>
            <w:tcW w:type="dxa" w:w="419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 xml:space="preserve">Results in Part 10; logs in </w:t>
            </w:r>
            <w:r>
              <w:rPr>
                <w:rFonts w:ascii="Menlo" w:hAnsi="Menlo" w:eastAsia="Menlo"/>
                <w:sz w:val="18"/>
              </w:rPr>
              <w:t>results/logs/</w:t>
            </w:r>
          </w:p>
        </w:tc>
      </w:tr>
      <w:tr>
        <w:trPr>
          <w:cantSplit w:val="true"/>
        </w:trPr>
        <w:tc>
          <w:tcPr>
            <w:tcW w:type="dxa" w:w="317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Literature review</w:t>
            </w:r>
          </w:p>
        </w:tc>
        <w:tc>
          <w:tcPr>
            <w:tcW w:type="dxa" w:w="226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8"/>
              </w:rPr>
              <w:t>Complete</w:t>
            </w:r>
          </w:p>
        </w:tc>
        <w:tc>
          <w:tcPr>
            <w:tcW w:type="dxa" w:w="419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Placeholders filled; 41 references</w:t>
            </w:r>
          </w:p>
        </w:tc>
      </w:tr>
      <w:tr>
        <w:trPr>
          <w:cantSplit w:val="true"/>
        </w:trPr>
        <w:tc>
          <w:tcPr>
            <w:tcW w:type="dxa" w:w="317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Notebook 06: deep dive</w:t>
            </w:r>
          </w:p>
        </w:tc>
        <w:tc>
          <w:tcPr>
            <w:tcW w:type="dxa" w:w="226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b/>
                <w:sz w:val="18"/>
              </w:rPr>
              <w:t>Re-run 24 Oct; committed</w:t>
            </w:r>
          </w:p>
        </w:tc>
        <w:tc>
          <w:tcPr>
            <w:tcW w:type="dxa" w:w="4195"/>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Updated to the final Phase 2 outputs; 260 of 687 hits survive all checks</w:t>
            </w:r>
          </w:p>
        </w:tc>
      </w:tr>
      <w:tr>
        <w:trPr>
          <w:cantSplit w:val="true"/>
        </w:trPr>
        <w:tc>
          <w:tcPr>
            <w:tcW w:type="dxa" w:w="317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Supervisor review</w:t>
            </w:r>
          </w:p>
        </w:tc>
        <w:tc>
          <w:tcPr>
            <w:tcW w:type="dxa" w:w="226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b/>
                <w:sz w:val="18"/>
              </w:rPr>
              <w:t>Pending</w:t>
            </w:r>
          </w:p>
        </w:tc>
        <w:tc>
          <w:tcPr>
            <w:tcW w:type="dxa" w:w="419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rFonts w:ascii="Menlo" w:hAnsi="Menlo" w:eastAsia="Menlo"/>
                <w:sz w:val="18"/>
              </w:rPr>
              <w:t>docs/supervisor_summary.md</w:t>
            </w:r>
            <w:r>
              <w:rPr>
                <w:sz w:val="18"/>
              </w:rPr>
              <w:t xml:space="preserve"> is the briefing</w:t>
            </w:r>
          </w:p>
        </w:tc>
      </w:tr>
      <w:tr>
        <w:trPr>
          <w:cantSplit w:val="true"/>
        </w:trPr>
        <w:tc>
          <w:tcPr>
            <w:tcW w:type="dxa" w:w="317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Figures (R)</w:t>
            </w:r>
          </w:p>
        </w:tc>
        <w:tc>
          <w:tcPr>
            <w:tcW w:type="dxa" w:w="226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Done</w:t>
            </w:r>
          </w:p>
        </w:tc>
        <w:tc>
          <w:tcPr>
            <w:tcW w:type="dxa" w:w="419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rFonts w:ascii="Menlo" w:hAnsi="Menlo" w:eastAsia="Menlo"/>
                <w:sz w:val="18"/>
              </w:rPr>
              <w:t>6 main + 6 supplementary; rebuilt by scripts/figures/run_all.sh</w:t>
            </w:r>
          </w:p>
        </w:tc>
      </w:tr>
      <w:tr>
        <w:trPr>
          <w:cantSplit w:val="true"/>
        </w:trPr>
        <w:tc>
          <w:tcPr>
            <w:tcW w:type="dxa" w:w="317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Novelty audit (19, 20) and SelectSim comparison</w:t>
            </w:r>
          </w:p>
        </w:tc>
        <w:tc>
          <w:tcPr>
            <w:tcW w:type="dxa" w:w="226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Done</w:t>
            </w:r>
          </w:p>
        </w:tc>
        <w:tc>
          <w:tcPr>
            <w:tcW w:type="dxa" w:w="4195"/>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rFonts w:ascii="Menlo" w:hAnsi="Menlo" w:eastAsia="Menlo"/>
                <w:sz w:val="18"/>
              </w:rPr>
              <w:t>No new driver pair survives; full agreement in direction with SelectSim</w:t>
            </w:r>
          </w:p>
        </w:tc>
      </w:tr>
    </w:tbl>
    <w:p>
      <w:pPr>
        <w:spacing w:after="40"/>
      </w:pPr>
    </w:p>
    <w:p>
      <w:pPr>
        <w:pStyle w:val="Heading2"/>
      </w:pPr>
      <w:r>
        <w:t>11.2  Decisions that need Prof. Wong's view</w:t>
      </w:r>
    </w:p>
    <w:p>
      <w:pPr>
        <w:pStyle w:val="ListNumber"/>
        <w:spacing w:after="60"/>
        <w:numPr>
          <w:ilvl w:val="0"/>
          <w:numId w:val="12"/>
        </w:numPr>
      </w:pPr>
      <w:r>
        <w:rPr>
          <w:b/>
        </w:rPr>
        <w:t>Main analysis = non-hypermutated patients.</w:t>
      </w:r>
      <w:r>
        <w:t xml:space="preserve"> Agree that hypermutated tumours are reported descriptively only?</w:t>
      </w:r>
    </w:p>
    <w:p>
      <w:pPr>
        <w:pStyle w:val="ListNumber"/>
        <w:spacing w:after="60"/>
        <w:numPr>
          <w:ilvl w:val="0"/>
          <w:numId w:val="12"/>
        </w:numPr>
      </w:pPr>
      <w:r>
        <w:rPr>
          <w:b/>
        </w:rPr>
        <w:t>Subtype labels.</w:t>
      </w:r>
      <w:r>
        <w:t xml:space="preserve"> GENIE's detailed labels differ by centre (“Glioblastoma” vs “Glioblastoma Multiforme”). Harmonise via OncoTree codes?</w:t>
      </w:r>
    </w:p>
    <w:p>
      <w:pPr>
        <w:pStyle w:val="ListNumber"/>
        <w:spacing w:after="60"/>
        <w:numPr>
          <w:ilvl w:val="0"/>
          <w:numId w:val="12"/>
        </w:numPr>
      </w:pPr>
      <w:r>
        <w:rPr>
          <w:b/>
        </w:rPr>
        <w:t>Weak-effect threshold</w:t>
      </w:r>
      <w:r>
        <w:t xml:space="preserve"> for reporting (currently 1.5-fold).</w:t>
      </w:r>
    </w:p>
    <w:p>
      <w:pPr>
        <w:pStyle w:val="ListNumber"/>
        <w:spacing w:after="60"/>
        <w:numPr>
          <w:ilvl w:val="0"/>
          <w:numId w:val="12"/>
        </w:numPr>
      </w:pPr>
      <w:r>
        <w:rPr>
          <w:b/>
        </w:rPr>
        <w:t>Thesis emphasis:</w:t>
      </w:r>
      <w:r>
        <w:t xml:space="preserve"> the tool, or the biology? This decides what to polish first.</w:t>
      </w:r>
    </w:p>
    <w:p>
      <w:pPr>
        <w:pStyle w:val="ListNumber"/>
        <w:spacing w:after="60"/>
        <w:numPr>
          <w:ilvl w:val="0"/>
          <w:numId w:val="12"/>
        </w:numPr>
      </w:pPr>
      <w:r>
        <w:rPr>
          <w:b/>
        </w:rPr>
        <w:t>Data access:</w:t>
      </w:r>
      <w:r>
        <w:t xml:space="preserve"> apply for GENIE BPC (treatment and outcome) and an OncoKB academic token?</w:t>
      </w:r>
    </w:p>
    <w:p>
      <w:pPr>
        <w:pStyle w:val="Heading2"/>
      </w:pPr>
      <w:r>
        <w:t>11.3  Not yet supervisor-reviewed</w:t>
      </w:r>
    </w:p>
    <w:p>
      <w:r>
        <w:t>The conditional pair test; the germline cutoff change (1e-4 → 1e-3); one sample per patient; TMB-based hypermutation status; the expected-count gate; the shared-DNA filter; the v3 design (non-hypermutated main analysis, subtype strata, replication); gene fusions; and the burden sensitivity check.</w:t>
      </w:r>
    </w:p>
    <w:p>
      <w:pPr>
        <w:pStyle w:val="Heading2"/>
      </w:pPr>
      <w:r>
        <w:t>11.4  Limitations to keep in mind</w:t>
      </w:r>
    </w:p>
    <w:p>
      <w:pPr>
        <w:pStyle w:val="ListBullet"/>
        <w:spacing w:after="60"/>
      </w:pPr>
      <w:r>
        <w:t>Some panels list more genes than they report; this can only be detected statistically and is documented, not fixed.</w:t>
      </w:r>
    </w:p>
    <w:p>
      <w:pPr>
        <w:pStyle w:val="ListBullet"/>
        <w:spacing w:after="60"/>
      </w:pPr>
      <w:r>
        <w:t>Panel data has no clonality, so subclonal co-occurrence is out of reach.</w:t>
      </w:r>
    </w:p>
    <w:p>
      <w:pPr>
        <w:pStyle w:val="ListBullet"/>
        <w:spacing w:after="60"/>
      </w:pPr>
      <w:r>
        <w:t>GENIE has no treatment data, so the tool reports evidence, not predicted response.</w:t>
      </w:r>
    </w:p>
    <w:p>
      <w:pPr>
        <w:pStyle w:val="ListBullet"/>
        <w:spacing w:after="60"/>
      </w:pPr>
      <w:r>
        <w:t>TCGA is ~20x smaller, so many pairs cannot be validated there.</w:t>
      </w:r>
    </w:p>
    <w:p>
      <w:pPr>
        <w:pStyle w:val="ListBullet"/>
        <w:spacing w:after="60"/>
      </w:pPr>
      <w:r>
        <w:t>Replication is a floor on reliability: artefacts shared by all centres (hypermutation, subtype) also replicate.</w:t>
      </w:r>
    </w:p>
    <w:p>
      <w:pPr>
        <w:pStyle w:val="ListBullet"/>
        <w:spacing w:after="60"/>
      </w:pPr>
      <w:r>
        <w:t>A significant pair is a statistical association, not proof of a gene-gene interaction (Parts 7.5 and 9).</w:t>
      </w:r>
    </w:p>
    <w:p>
      <w:pPr>
        <w:pStyle w:val="Heading2"/>
      </w:pPr>
      <w:r>
        <w:t>11.5  Things that may confuse you</w:t>
      </w:r>
    </w:p>
    <w:tbl>
      <w:tblPr>
        <w:tblW w:type="auto" w:w="0"/>
        <w:jc w:val="center"/>
        <w:tblLook w:firstColumn="1" w:firstRow="1" w:lastColumn="0" w:lastRow="0" w:noHBand="0" w:noVBand="1" w:val="04A0"/>
        <w:tblLayout w:type="fixed"/>
      </w:tblPr>
      <w:tblGrid>
        <w:gridCol w:w="9639"/>
      </w:tblGrid>
      <w:tr>
        <w:trPr>
          <w:cantSplit w:val="true"/>
        </w:trPr>
        <w:tc>
          <w:tcPr>
            <w:tcW w:type="dxa" w:w="9638"/>
            <w:shd w:val="clear" w:color="auto" w:fill="E8EEF4"/>
            <w:tcMar>
              <w:top w:w="110" w:type="dxa"/>
              <w:left w:w="200" w:type="dxa"/>
              <w:bottom w:w="110" w:type="dxa"/>
              <w:right w:w="160" w:type="dxa"/>
            </w:tcMar>
            <w:tcBorders>
              <w:top w:val="nil" w:sz="0" w:color="FFFFFF"/>
              <w:left w:val="single" w:sz="24" w:color="1F3A5F"/>
              <w:bottom w:val="nil" w:sz="0" w:color="FFFFFF"/>
              <w:right w:val="nil" w:sz="0" w:color="FFFFFF"/>
            </w:tcBorders>
          </w:tcPr>
          <w:p>
            <w:pPr>
              <w:spacing w:after="40"/>
            </w:pPr>
            <w:r>
              <w:rPr>
                <w:b/>
                <w:color w:val="1F3A5F"/>
                <w:sz w:val="21"/>
              </w:rPr>
              <w:t>Inconsistencies found on 24 Oct, and what was done</w:t>
            </w:r>
          </w:p>
          <w:p>
            <w:pPr>
              <w:spacing w:after="60"/>
            </w:pPr>
            <w:r>
              <w:rPr>
                <w:sz w:val="20"/>
              </w:rPr>
              <w:t xml:space="preserve">•  </w:t>
            </w:r>
            <w:r>
              <w:rPr>
                <w:b/>
                <w:sz w:val="20"/>
              </w:rPr>
              <w:t>Notebook 06</w:t>
            </w:r>
            <w:r>
              <w:rPr>
                <w:sz w:val="20"/>
              </w:rPr>
              <w:t xml:space="preserve"> was stale in text and code: re-run and rewritten (see Part 7.5), now committed.</w:t>
            </w:r>
          </w:p>
          <w:p>
            <w:pPr>
              <w:spacing w:after="60"/>
            </w:pPr>
            <w:r>
              <w:rPr>
                <w:sz w:val="20"/>
              </w:rPr>
              <w:t xml:space="preserve">•  </w:t>
            </w:r>
            <w:r>
              <w:rPr>
                <w:b/>
                <w:sz w:val="20"/>
              </w:rPr>
              <w:t>Alteration-table size:</w:t>
            </w:r>
            <w:r>
              <w:rPr>
                <w:sz w:val="20"/>
              </w:rPr>
              <w:t xml:space="preserve"> README Phase 1 step 5 and two text cells in notebook 01 said 1,936,188 rows / 230,886 samples. The data say </w:t>
            </w:r>
            <w:r>
              <w:rPr>
                <w:b/>
                <w:sz w:val="20"/>
              </w:rPr>
              <w:t>1,945,807 rows / 232,386 samples</w:t>
            </w:r>
            <w:r>
              <w:rPr>
                <w:sz w:val="20"/>
              </w:rPr>
              <w:t xml:space="preserve"> (1,644,226 mutations + 291,962 copy-number calls + 9,619 fusions). Fixed in all three places.</w:t>
            </w:r>
          </w:p>
          <w:p>
            <w:pPr>
              <w:spacing w:after="60"/>
            </w:pPr>
            <w:r>
              <w:rPr>
                <w:sz w:val="20"/>
              </w:rPr>
              <w:t xml:space="preserve">•  </w:t>
            </w:r>
            <w:r>
              <w:rPr>
                <w:b/>
                <w:sz w:val="20"/>
              </w:rPr>
              <w:t>Conditional-selection directions:</w:t>
            </w:r>
            <w:r>
              <w:rPr>
                <w:sz w:val="20"/>
              </w:rPr>
              <w:t xml:space="preserve"> the literature review said 218; the output file has </w:t>
            </w:r>
            <w:r>
              <w:rPr>
                <w:b/>
                <w:sz w:val="20"/>
              </w:rPr>
              <w:t>219</w:t>
            </w:r>
            <w:r>
              <w:rPr>
                <w:sz w:val="20"/>
              </w:rPr>
              <w:t xml:space="preserve"> rows. Fixed.</w:t>
            </w:r>
          </w:p>
          <w:p>
            <w:pPr>
              <w:spacing w:after="60"/>
            </w:pPr>
            <w:r>
              <w:rPr>
                <w:sz w:val="20"/>
              </w:rPr>
              <w:t xml:space="preserve">•  </w:t>
            </w:r>
            <w:r>
              <w:rPr>
                <w:b/>
                <w:sz w:val="20"/>
              </w:rPr>
              <w:t>Panel count:</w:t>
            </w:r>
            <w:r>
              <w:rPr>
                <w:sz w:val="20"/>
              </w:rPr>
              <w:t xml:space="preserve"> </w:t>
            </w:r>
            <w:r>
              <w:rPr>
                <w:b/>
                <w:sz w:val="20"/>
              </w:rPr>
              <w:t>167</w:t>
            </w:r>
            <w:r>
              <w:rPr>
                <w:sz w:val="20"/>
              </w:rPr>
              <w:t xml:space="preserve"> is correct (clinical file, panel coverage table and </w:t>
            </w:r>
            <w:r>
              <w:rPr>
                <w:rFonts w:ascii="Menlo" w:hAnsi="Menlo" w:eastAsia="Menlo"/>
                <w:sz w:val="20"/>
              </w:rPr>
              <w:t>genomic_information.txt</w:t>
            </w:r>
            <w:r>
              <w:rPr>
                <w:sz w:val="20"/>
              </w:rPr>
              <w:t xml:space="preserve"> all agree). The old PLAN.md said 166, which is the number of panel </w:t>
            </w:r>
            <w:r>
              <w:rPr>
                <w:i/>
                <w:sz w:val="20"/>
              </w:rPr>
              <w:t>files</w:t>
            </w:r>
            <w:r>
              <w:rPr>
                <w:sz w:val="20"/>
              </w:rPr>
              <w:t xml:space="preserve">: the exome panel </w:t>
            </w:r>
            <w:r>
              <w:rPr>
                <w:rFonts w:ascii="Menlo" w:hAnsi="Menlo" w:eastAsia="Menlo"/>
                <w:sz w:val="20"/>
              </w:rPr>
              <w:t>UHN-WGS-V1</w:t>
            </w:r>
            <w:r>
              <w:rPr>
                <w:sz w:val="20"/>
              </w:rPr>
              <w:t xml:space="preserve"> has none. It also had 117 cancer types (true: 112) and 172,875 copy-number samples (true: 172,874).</w:t>
            </w:r>
          </w:p>
          <w:p>
            <w:pPr>
              <w:spacing w:after="60"/>
            </w:pPr>
            <w:r>
              <w:rPr>
                <w:sz w:val="20"/>
              </w:rPr>
              <w:t xml:space="preserve">•  </w:t>
            </w:r>
            <w:r>
              <w:rPr>
                <w:b/>
                <w:sz w:val="20"/>
              </w:rPr>
              <w:t>PLAN.md was deleted.</w:t>
            </w:r>
            <w:r>
              <w:rPr>
                <w:sz w:val="20"/>
              </w:rPr>
              <w:t xml:space="preserve"> Its lower half was the original plan (clusters, survival, Fisher's test) and no longer matched the work. The registered project description and the reason for the refocus now live in the README; the full file is in git history (commit </w:t>
            </w:r>
            <w:r>
              <w:rPr>
                <w:rFonts w:ascii="Menlo" w:hAnsi="Menlo" w:eastAsia="Menlo"/>
                <w:sz w:val="20"/>
              </w:rPr>
              <w:t>92e8234</w:t>
            </w:r>
            <w:r>
              <w:rPr>
                <w:sz w:val="20"/>
              </w:rPr>
              <w:t>).</w:t>
            </w:r>
          </w:p>
          <w:p>
            <w:pPr>
              <w:spacing w:after="60"/>
            </w:pPr>
            <w:r>
              <w:rPr>
                <w:sz w:val="20"/>
              </w:rPr>
              <w:t xml:space="preserve">•  </w:t>
            </w:r>
            <w:r>
              <w:rPr>
                <w:b/>
                <w:sz w:val="20"/>
              </w:rPr>
              <w:t>Committed</w:t>
            </w:r>
            <w:r>
              <w:rPr>
                <w:sz w:val="20"/>
              </w:rPr>
              <w:t xml:space="preserve"> together with notebook 06, </w:t>
            </w:r>
            <w:r>
              <w:rPr>
                <w:rFonts w:ascii="Menlo" w:hAnsi="Menlo" w:eastAsia="Menlo"/>
                <w:sz w:val="20"/>
              </w:rPr>
              <w:t>mechanism_pairs_checked.parquet</w:t>
            </w:r>
            <w:r>
              <w:rPr>
                <w:sz w:val="20"/>
              </w:rPr>
              <w:t xml:space="preserve"> and this guide.</w:t>
            </w:r>
          </w:p>
          <w:p>
            <w:pPr>
              <w:spacing w:after="60"/>
            </w:pPr>
            <w:r>
              <w:rPr>
                <w:sz w:val="20"/>
              </w:rPr>
              <w:t>•  Notebook 07 (the Phase 2 deep dive) was renamed 06 on 25 Oct so the run order has no gap; older notes and commits call it 07.</w:t>
            </w:r>
          </w:p>
        </w:tc>
      </w:tr>
    </w:tbl>
    <w:p>
      <w:pPr>
        <w:spacing w:after="40"/>
      </w:pPr>
    </w:p>
    <w:p>
      <w:pPr>
        <w:pStyle w:val="Heading2"/>
      </w:pPr>
      <w:r>
        <w:t>11.6  Likely next steps</w:t>
      </w:r>
    </w:p>
    <w:p>
      <w:pPr>
        <w:pStyle w:val="ListNumber"/>
        <w:spacing w:after="60"/>
        <w:numPr>
          <w:ilvl w:val="0"/>
          <w:numId w:val="13"/>
        </w:numPr>
      </w:pPr>
      <w:r>
        <w:t>Supervisor review of the v3 design, fusions and the Phase 3-4 results; the five decisions above.</w:t>
      </w:r>
    </w:p>
    <w:p>
      <w:pPr>
        <w:pStyle w:val="ListNumber"/>
        <w:spacing w:after="60"/>
        <w:numPr>
          <w:ilvl w:val="0"/>
          <w:numId w:val="13"/>
        </w:numPr>
      </w:pPr>
      <w:r>
        <w:t>Simple web interface for the lookup tool once the display is agreed; OncoKB as a second evidence source if a token is obtained.</w:t>
      </w:r>
    </w:p>
    <w:p>
      <w:pPr>
        <w:pStyle w:val="ListNumber"/>
        <w:spacing w:after="60"/>
        <w:numPr>
          <w:ilvl w:val="0"/>
          <w:numId w:val="13"/>
        </w:numPr>
      </w:pPr>
      <w:r>
        <w:t>Harmonise subtype labels via OncoTree codes if Prof. Wong agrees.</w:t>
      </w:r>
    </w:p>
    <w:p>
      <w:pPr>
        <w:pStyle w:val="ListNumber"/>
        <w:spacing w:after="60"/>
        <w:numPr>
          <w:ilvl w:val="0"/>
          <w:numId w:val="13"/>
        </w:numPr>
      </w:pPr>
      <w:r>
        <w:rPr/>
        <w:t>Run the novelty audit on copy-number × mutation pairs, fusion partners and rare cancer types, where new biology is most likely; confirm CTCF vs TP53 within endometrial molecular classes if labels become available.</w:t>
      </w:r>
    </w:p>
    <w:p>
      <w:pPr>
        <w:pStyle w:val="ListNumber"/>
        <w:spacing w:after="60"/>
        <w:numPr>
          <w:ilvl w:val="0"/>
          <w:numId w:val="13"/>
        </w:numPr>
      </w:pPr>
      <w:r>
        <w:t>Optional: external replication in MSK-MET, and GENIE BPC for outcomes.</w:t>
      </w:r>
    </w:p>
    <w:p>
      <w:pPr>
        <w:spacing w:before="120"/>
      </w:pPr>
      <w:r>
        <w:rPr>
          <w:i/>
          <w:color w:val="555B66"/>
          <w:sz w:val="17"/>
        </w:rPr>
        <w:t>Source files for this part:</w:t>
      </w:r>
      <w:r>
        <w:rPr>
          <w:color w:val="555B66"/>
          <w:sz w:val="17"/>
        </w:rPr>
        <w:t xml:space="preserve"> README.md (Status), docs/supervisor_summary.md, git log and status of 24 Oct 2026, results/logs/.</w:t>
      </w:r>
    </w:p>
    <w:p>
      <w:r>
        <w:br w:type="page"/>
      </w:r>
    </w:p>
    <w:p>
      <w:pPr>
        <w:spacing w:after="0"/>
      </w:pPr>
      <w:r>
        <w:rPr>
          <w:b/>
          <w:color w:val="2A7F8E"/>
          <w:sz w:val="20"/>
        </w:rPr>
        <w:t>PART 12</w:t>
      </w:r>
    </w:p>
    <w:p>
      <w:pPr>
        <w:pStyle w:val="Heading1"/>
      </w:pPr>
      <w:r>
        <w:t>Navigating the repository</w:t>
      </w:r>
    </w:p>
    <w:p>
      <w:pPr>
        <w:spacing w:after="200"/>
      </w:pPr>
      <w:r>
        <w:rPr>
          <w:color w:val="555B66"/>
          <w:sz w:val="23"/>
        </w:rPr>
        <w:t>Where things live, and how to reproduce them.</w:t>
      </w:r>
    </w:p>
    <w:tbl>
      <w:tblPr>
        <w:tblW w:type="auto" w:w="0"/>
        <w:jc w:val="center"/>
        <w:tblLayout w:type="fixed"/>
        <w:tblLook w:firstColumn="1" w:firstRow="1" w:lastColumn="0" w:lastRow="0" w:noHBand="0" w:noVBand="1" w:val="04A0"/>
        <w:tblLayout w:type="fixed"/>
      </w:tblPr>
      <w:tblGrid>
        <w:gridCol w:w="3288"/>
        <w:gridCol w:w="6350"/>
      </w:tblGrid>
      <w:tr>
        <w:trPr>
          <w:cantSplit w:val="true"/>
          <w:tblHeader w:val="true"/>
        </w:trPr>
        <w:tc>
          <w:tcPr>
            <w:tcW w:type="dxa" w:w="3288"/>
            <w:shd w:val="clear" w:color="auto" w:fill="1F3A5F"/>
            <w:tcMar>
              <w:top w:w="60" w:type="dxa"/>
              <w:left w:w="90" w:type="dxa"/>
              <w:bottom w:w="60" w:type="dxa"/>
              <w:right w:w="90" w:type="dxa"/>
            </w:tcMar>
          </w:tcPr>
          <w:p>
            <w:pPr>
              <w:spacing w:after="0"/>
            </w:pPr>
            <w:r>
              <w:rPr>
                <w:b/>
                <w:color w:val="FFFFFF"/>
                <w:sz w:val="18"/>
              </w:rPr>
              <w:t>Path</w:t>
            </w:r>
          </w:p>
        </w:tc>
        <w:tc>
          <w:tcPr>
            <w:tcW w:type="dxa" w:w="6350"/>
            <w:shd w:val="clear" w:color="auto" w:fill="1F3A5F"/>
            <w:tcMar>
              <w:top w:w="60" w:type="dxa"/>
              <w:left w:w="90" w:type="dxa"/>
              <w:bottom w:w="60" w:type="dxa"/>
              <w:right w:w="90" w:type="dxa"/>
            </w:tcMar>
          </w:tcPr>
          <w:p>
            <w:pPr>
              <w:spacing w:after="0"/>
            </w:pPr>
            <w:r>
              <w:rPr>
                <w:b/>
                <w:color w:val="FFFFFF"/>
                <w:sz w:val="18"/>
              </w:rPr>
              <w:t>What is there</w:t>
            </w:r>
          </w:p>
        </w:tc>
      </w:tr>
      <w:tr>
        <w:trPr>
          <w:cantSplit w:val="true"/>
        </w:trPr>
        <w:tc>
          <w:tcPr>
            <w:tcW w:type="dxa" w:w="328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rFonts w:ascii="Menlo" w:hAnsi="Menlo" w:eastAsia="Menlo"/>
                <w:sz w:val="18"/>
              </w:rPr>
              <w:t>notebooks/01 … 04</w:t>
            </w:r>
          </w:p>
        </w:tc>
        <w:tc>
          <w:tcPr>
            <w:tcW w:type="dxa" w:w="635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Phase 1-4 notebooks. Each is self-contained, opens with a “data flow at a glance” diagram, shows that phase's publication figures, and ends with a Discussion</w:t>
            </w:r>
          </w:p>
        </w:tc>
      </w:tr>
      <w:tr>
        <w:trPr>
          <w:cantSplit w:val="true"/>
        </w:trPr>
        <w:tc>
          <w:tcPr>
            <w:tcW w:type="dxa" w:w="328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rFonts w:ascii="Menlo" w:hAnsi="Menlo" w:eastAsia="Menlo"/>
                <w:sz w:val="18"/>
              </w:rPr>
              <w:t>notebooks/05_validation_and_methods.ipynb</w:t>
            </w:r>
          </w:p>
        </w:tc>
        <w:tc>
          <w:tcPr>
            <w:tcW w:type="dxa" w:w="635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Collects TCGA validation, method benchmark, gene sets, dN/dS, shrinkage, burden and fusion results (reads saved script outputs)</w:t>
            </w:r>
          </w:p>
        </w:tc>
      </w:tr>
      <w:tr>
        <w:trPr>
          <w:cantSplit w:val="true"/>
        </w:trPr>
        <w:tc>
          <w:tcPr>
            <w:tcW w:type="dxa" w:w="328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rFonts w:ascii="Menlo" w:hAnsi="Menlo" w:eastAsia="Menlo"/>
                <w:sz w:val="18"/>
              </w:rPr>
              <w:t>notebooks/06_phase2_deep_dive.ipynb</w:t>
            </w:r>
          </w:p>
        </w:tc>
        <w:tc>
          <w:tcPr>
            <w:tcW w:type="dxa" w:w="635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Trust checks on Phase 2 hits (subtype, burden, proximity, passengers); re-run 24 Oct, committed</w:t>
            </w:r>
          </w:p>
        </w:tc>
      </w:tr>
      <w:tr>
        <w:trPr>
          <w:cantSplit w:val="true"/>
        </w:trPr>
        <w:tc>
          <w:tcPr>
            <w:tcW w:type="dxa" w:w="328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rFonts w:ascii="Menlo" w:hAnsi="Menlo" w:eastAsia="Menlo"/>
                <w:sz w:val="18"/>
              </w:rPr>
              <w:t>scripts/validation/</w:t>
            </w:r>
          </w:p>
        </w:tc>
        <w:tc>
          <w:tcPr>
            <w:tcW w:type="dxa" w:w="635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Checks of the Phase 2 test: simulation, scipy/mpmath, Rediscover (R)</w:t>
            </w:r>
          </w:p>
        </w:tc>
      </w:tr>
      <w:tr>
        <w:trPr>
          <w:cantSplit w:val="true"/>
        </w:trPr>
        <w:tc>
          <w:tcPr>
            <w:tcW w:type="dxa" w:w="328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rFonts w:ascii="Menlo" w:hAnsi="Menlo" w:eastAsia="Menlo"/>
                <w:sz w:val="18"/>
              </w:rPr>
              <w:t>scripts/analyses/</w:t>
            </w:r>
          </w:p>
        </w:tc>
        <w:tc>
          <w:tcPr>
            <w:tcW w:type="dxa" w:w="635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Numbered analyses 01-20 (script 11 retired), each labelled pipeline or design evidence; index and run order in scripts/README.md</w:t>
            </w:r>
          </w:p>
        </w:tc>
      </w:tr>
      <w:tr>
        <w:trPr>
          <w:cantSplit w:val="true"/>
        </w:trPr>
        <w:tc>
          <w:tcPr>
            <w:tcW w:type="dxa" w:w="328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rFonts w:ascii="Menlo" w:hAnsi="Menlo" w:eastAsia="Menlo"/>
                <w:sz w:val="18"/>
              </w:rPr>
              <w:t>scripts/fetch_external.py</w:t>
            </w:r>
            <w:r>
              <w:rPr>
                <w:sz w:val="18"/>
              </w:rPr>
              <w:t xml:space="preserve">, </w:t>
            </w:r>
            <w:r>
              <w:rPr>
                <w:rFonts w:ascii="Menlo" w:hAnsi="Menlo" w:eastAsia="Menlo"/>
                <w:sz w:val="18"/>
              </w:rPr>
              <w:t>scripts/build_notebook05.py</w:t>
            </w:r>
          </w:p>
        </w:tc>
        <w:tc>
          <w:tcPr>
            <w:tcW w:type="dxa" w:w="635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Downloads CIViC evidence and TCGA pathway gene lists; builds notebook 05</w:t>
            </w:r>
          </w:p>
        </w:tc>
      </w:tr>
      <w:tr>
        <w:trPr>
          <w:cantSplit w:val="true"/>
        </w:trPr>
        <w:tc>
          <w:tcPr>
            <w:tcW w:type="dxa" w:w="328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rFonts w:ascii="Menlo" w:hAnsi="Menlo" w:eastAsia="Menlo"/>
                <w:sz w:val="18"/>
              </w:rPr>
              <w:t>data/raw/</w:t>
            </w:r>
            <w:r>
              <w:rPr>
                <w:sz w:val="18"/>
              </w:rPr>
              <w:t xml:space="preserve">, </w:t>
            </w:r>
            <w:r>
              <w:rPr>
                <w:rFonts w:ascii="Menlo" w:hAnsi="Menlo" w:eastAsia="Menlo"/>
                <w:sz w:val="18"/>
              </w:rPr>
              <w:t>data/external/</w:t>
            </w:r>
          </w:p>
        </w:tc>
        <w:tc>
          <w:tcPr>
            <w:tcW w:type="dxa" w:w="635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Original GENIE files and external resources (</w:t>
            </w:r>
            <w:r>
              <w:rPr>
                <w:b/>
                <w:sz w:val="18"/>
              </w:rPr>
              <w:t>not in git</w:t>
            </w:r>
            <w:r>
              <w:rPr>
                <w:sz w:val="18"/>
              </w:rPr>
              <w:t>)</w:t>
            </w:r>
          </w:p>
        </w:tc>
      </w:tr>
      <w:tr>
        <w:trPr>
          <w:cantSplit w:val="true"/>
        </w:trPr>
        <w:tc>
          <w:tcPr>
            <w:tcW w:type="dxa" w:w="328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rFonts w:ascii="Menlo" w:hAnsi="Menlo" w:eastAsia="Menlo"/>
                <w:sz w:val="18"/>
              </w:rPr>
              <w:t>data/processed/</w:t>
            </w:r>
          </w:p>
        </w:tc>
        <w:tc>
          <w:tcPr>
            <w:tcW w:type="dxa" w:w="635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Cleaned outputs produced by the notebooks (tracked)</w:t>
            </w:r>
          </w:p>
        </w:tc>
      </w:tr>
      <w:tr>
        <w:trPr>
          <w:cantSplit w:val="true"/>
        </w:trPr>
        <w:tc>
          <w:tcPr>
            <w:tcW w:type="dxa" w:w="328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rFonts w:ascii="Menlo" w:hAnsi="Menlo" w:eastAsia="Menlo"/>
                <w:sz w:val="18"/>
              </w:rPr>
              <w:t>results/</w:t>
            </w:r>
          </w:p>
        </w:tc>
        <w:tc>
          <w:tcPr>
            <w:tcW w:type="dxa" w:w="635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Script outputs and logs (not tracked); results/figures/ is tracked</w:t>
            </w:r>
          </w:p>
        </w:tc>
      </w:tr>
      <w:tr>
        <w:trPr>
          <w:cantSplit w:val="true"/>
        </w:trPr>
        <w:tc>
          <w:tcPr>
            <w:tcW w:type="dxa" w:w="328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rFonts w:ascii="Menlo" w:hAnsi="Menlo" w:eastAsia="Menlo"/>
                <w:sz w:val="18"/>
              </w:rPr>
              <w:t>docs/literature_review.md</w:t>
            </w:r>
          </w:p>
        </w:tc>
        <w:tc>
          <w:tcPr>
            <w:tcW w:type="dxa" w:w="635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Prior work, method comparison, reasons for every choice</w:t>
            </w:r>
          </w:p>
        </w:tc>
      </w:tr>
      <w:tr>
        <w:trPr>
          <w:cantSplit w:val="true"/>
        </w:trPr>
        <w:tc>
          <w:tcPr>
            <w:tcW w:type="dxa" w:w="328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rFonts w:ascii="Menlo" w:hAnsi="Menlo" w:eastAsia="Menlo"/>
                <w:sz w:val="18"/>
              </w:rPr>
              <w:t>docs/supervisor_summary.md</w:t>
            </w:r>
          </w:p>
        </w:tc>
        <w:tc>
          <w:tcPr>
            <w:tcW w:type="dxa" w:w="635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Short briefing for supervisor review</w:t>
            </w:r>
          </w:p>
        </w:tc>
      </w:tr>
      <w:tr>
        <w:trPr>
          <w:cantSplit w:val="true"/>
        </w:trPr>
        <w:tc>
          <w:tcPr>
            <w:tcW w:type="dxa" w:w="328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rFonts w:ascii="Menlo" w:hAnsi="Menlo" w:eastAsia="Menlo"/>
                <w:sz w:val="18"/>
              </w:rPr>
              <w:t>README.md</w:t>
            </w:r>
          </w:p>
        </w:tc>
        <w:tc>
          <w:tcPr>
            <w:tcW w:type="dxa" w:w="635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Aims, registered project description, headline numbers, pipeline description, GENIE data problems</w:t>
            </w:r>
          </w:p>
        </w:tc>
      </w:tr>
      <w:tr>
        <w:trPr>
          <w:cantSplit w:val="true"/>
        </w:trPr>
        <w:tc>
          <w:tcPr>
            <w:tcW w:type="dxa" w:w="328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rFonts w:ascii="Menlo" w:hAnsi="Menlo" w:eastAsia="Menlo"/>
                <w:sz w:val="18"/>
              </w:rPr>
              <w:t>scripts/figures/</w:t>
            </w:r>
          </w:p>
        </w:tc>
        <w:tc>
          <w:tcPr>
            <w:tcW w:type="dxa" w:w="635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R figure scripts plus a Python export step; run_all.sh rebuilds every figure</w:t>
            </w:r>
          </w:p>
        </w:tc>
      </w:tr>
      <w:tr>
        <w:trPr>
          <w:cantSplit w:val="true"/>
        </w:trPr>
        <w:tc>
          <w:tcPr>
            <w:tcW w:type="dxa" w:w="328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rFonts w:ascii="Menlo" w:hAnsi="Menlo" w:eastAsia="Menlo"/>
                <w:sz w:val="18"/>
              </w:rPr>
              <w:t>results/figures/</w:t>
            </w:r>
          </w:p>
        </w:tc>
        <w:tc>
          <w:tcPr>
            <w:tcW w:type="dxa" w:w="635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Publication figures (PDF and 300-dpi PNG); tracked in git; each is also shown in the notebook of its phase</w:t>
            </w:r>
          </w:p>
        </w:tc>
      </w:tr>
      <w:tr>
        <w:trPr>
          <w:cantSplit w:val="true"/>
        </w:trPr>
        <w:tc>
          <w:tcPr>
            <w:tcW w:type="dxa" w:w="328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rFonts w:ascii="Menlo" w:hAnsi="Menlo" w:eastAsia="Menlo"/>
                <w:sz w:val="18"/>
              </w:rPr>
              <w:t>data/README.md, scripts/README.md</w:t>
            </w:r>
          </w:p>
        </w:tc>
        <w:tc>
          <w:tcPr>
            <w:tcW w:type="dxa" w:w="635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Where each dataset comes from and what every processed file contains; what every script does and the run order</w:t>
            </w:r>
          </w:p>
        </w:tc>
      </w:tr>
      <w:tr>
        <w:trPr>
          <w:cantSplit w:val="true"/>
        </w:trPr>
        <w:tc>
          <w:tcPr>
            <w:tcW w:type="dxa" w:w="328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rFonts w:ascii="Menlo" w:hAnsi="Menlo" w:eastAsia="Menlo"/>
                <w:sz w:val="18"/>
              </w:rPr>
              <w:t>LICENSE</w:t>
            </w:r>
          </w:p>
        </w:tc>
        <w:tc>
          <w:tcPr>
            <w:tcW w:type="dxa" w:w="635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MIT licence for the code (GENIE and other data keep their own terms)</w:t>
            </w:r>
          </w:p>
        </w:tc>
      </w:tr>
    </w:tbl>
    <w:p>
      <w:pPr>
        <w:spacing w:after="40"/>
      </w:pPr>
    </w:p>
    <w:p>
      <w:pPr>
        <w:pStyle w:val="Heading2"/>
      </w:pPr>
      <w:r>
        <w:t>12.1  Reproducing the work</w:t>
      </w:r>
    </w:p>
    <w:p>
      <w:pPr>
        <w:pStyle w:val="ListNumber"/>
        <w:spacing w:after="60"/>
        <w:numPr>
          <w:ilvl w:val="0"/>
          <w:numId w:val="14"/>
        </w:numPr>
      </w:pPr>
      <w:r>
        <w:t xml:space="preserve">Request GENIE v19.0 access from AACR and place the files under </w:t>
      </w:r>
      <w:r>
        <w:rPr>
          <w:rFonts w:ascii="Menlo" w:hAnsi="Menlo" w:eastAsia="Menlo"/>
          <w:sz w:val="18"/>
        </w:rPr>
        <w:t>data/raw/</w:t>
      </w:r>
      <w:r>
        <w:t>.</w:t>
      </w:r>
    </w:p>
    <w:p>
      <w:pPr>
        <w:pStyle w:val="ListNumber"/>
        <w:spacing w:after="60"/>
        <w:numPr>
          <w:ilvl w:val="0"/>
          <w:numId w:val="14"/>
        </w:numPr>
      </w:pPr>
      <w:r>
        <w:t xml:space="preserve">Run </w:t>
      </w:r>
      <w:r>
        <w:rPr>
          <w:rFonts w:ascii="Menlo" w:hAnsi="Menlo" w:eastAsia="Menlo"/>
          <w:sz w:val="18"/>
        </w:rPr>
        <w:t>./setup.sh</w:t>
      </w:r>
      <w:r>
        <w:t xml:space="preserve"> in the project folder. It creates a virtual environment, installs </w:t>
      </w:r>
      <w:r>
        <w:rPr>
          <w:rFonts w:ascii="Menlo" w:hAnsi="Menlo" w:eastAsia="Menlo"/>
          <w:sz w:val="18"/>
        </w:rPr>
        <w:t>requirements.txt</w:t>
      </w:r>
      <w:r>
        <w:t xml:space="preserve"> and registers a Jupyter kernel named </w:t>
      </w:r>
      <w:r>
        <w:rPr>
          <w:b/>
        </w:rPr>
        <w:t>“Python (fyp-genie)”</w:t>
      </w:r>
      <w:r>
        <w:t>.</w:t>
      </w:r>
    </w:p>
    <w:p>
      <w:pPr>
        <w:pStyle w:val="ListNumber"/>
        <w:spacing w:after="60"/>
        <w:numPr>
          <w:ilvl w:val="0"/>
          <w:numId w:val="14"/>
        </w:numPr>
      </w:pPr>
      <w:r>
        <w:t>Select that kernel and follow the run order in scripts/README.md: notebooks 01 → 02, the pipeline scripts in scripts/analyses/ (08, 10, 12, 14-20; the TCGA download and the literature screen need the internet), notebooks 03 → 04, then the read-only summaries 05 and 06.</w:t>
      </w:r>
    </w:p>
    <w:p>
      <w:pPr>
        <w:pStyle w:val="ListNumber"/>
        <w:spacing w:after="60"/>
        <w:numPr>
          <w:ilvl w:val="0"/>
          <w:numId w:val="14"/>
        </w:numPr>
      </w:pPr>
      <w:r>
        <w:t>Run scripts from the repo root. For the figures and the Rediscover check, install R packages once with Rscript scripts/figures/install_r_packages.R, then bash scripts/figures/run_all.sh rebuilds every figure. scripts/validation/build_msk468_matrix.py comes first among the validation scripts.</w:t>
      </w:r>
    </w:p>
    <w:tbl>
      <w:tblPr>
        <w:tblW w:type="auto" w:w="0"/>
        <w:jc w:val="center"/>
        <w:tblLook w:firstColumn="1" w:firstRow="1" w:lastColumn="0" w:lastRow="0" w:noHBand="0" w:noVBand="1" w:val="04A0"/>
        <w:tblLayout w:type="fixed"/>
      </w:tblPr>
      <w:tblGrid>
        <w:gridCol w:w="9639"/>
      </w:tblGrid>
      <w:tr>
        <w:trPr>
          <w:cantSplit w:val="true"/>
        </w:trPr>
        <w:tc>
          <w:tcPr>
            <w:tcW w:type="dxa" w:w="9638"/>
            <w:shd w:val="clear" w:color="auto" w:fill="E8EEF4"/>
            <w:tcMar>
              <w:top w:w="110" w:type="dxa"/>
              <w:left w:w="200" w:type="dxa"/>
              <w:bottom w:w="110" w:type="dxa"/>
              <w:right w:w="160" w:type="dxa"/>
            </w:tcMar>
            <w:tcBorders>
              <w:top w:val="nil" w:sz="0" w:color="FFFFFF"/>
              <w:left w:val="single" w:sz="24" w:color="1F3A5F"/>
              <w:bottom w:val="nil" w:sz="0" w:color="FFFFFF"/>
              <w:right w:val="nil" w:sz="0" w:color="FFFFFF"/>
            </w:tcBorders>
          </w:tcPr>
          <w:p>
            <w:pPr>
              <w:spacing w:after="40"/>
            </w:pPr>
            <w:r>
              <w:rPr>
                <w:b/>
                <w:color w:val="1F3A5F"/>
                <w:sz w:val="21"/>
              </w:rPr>
              <w:t>Why the scripts load the notebook's code</w:t>
            </w:r>
          </w:p>
          <w:p>
            <w:pPr>
              <w:spacing w:after="60"/>
            </w:pPr>
            <w:r>
              <w:rPr>
                <w:sz w:val="20"/>
              </w:rPr>
              <w:t>The analysis scripts import the Phase 2 test functions directly from the notebook, so what is validated is exactly what the notebook runs.</w:t>
            </w:r>
          </w:p>
        </w:tc>
      </w:tr>
    </w:tbl>
    <w:p>
      <w:pPr>
        <w:spacing w:after="40"/>
      </w:pPr>
    </w:p>
    <w:p>
      <w:pPr>
        <w:spacing w:before="120"/>
      </w:pPr>
      <w:r>
        <w:rPr>
          <w:i/>
          <w:color w:val="555B66"/>
          <w:sz w:val="17"/>
        </w:rPr>
        <w:t>Source files for this part:</w:t>
      </w:r>
      <w:r>
        <w:rPr>
          <w:color w:val="555B66"/>
          <w:sz w:val="17"/>
        </w:rPr>
        <w:t xml:space="preserve"> README.md (Repository structure, Setup, Data access, Validation scripts).</w:t>
      </w:r>
    </w:p>
    <w:p>
      <w:r>
        <w:br w:type="page"/>
      </w:r>
    </w:p>
    <w:p>
      <w:pPr>
        <w:pStyle w:val="Heading1"/>
      </w:pPr>
      <w:r>
        <w:t>Appendix A: Glossary</w:t>
      </w:r>
    </w:p>
    <w:tbl>
      <w:tblPr>
        <w:tblW w:type="auto" w:w="0"/>
        <w:jc w:val="center"/>
        <w:tblLayout w:type="fixed"/>
        <w:tblLook w:firstColumn="1" w:firstRow="1" w:lastColumn="0" w:lastRow="0" w:noHBand="0" w:noVBand="1" w:val="04A0"/>
        <w:tblLayout w:type="fixed"/>
      </w:tblPr>
      <w:tblGrid>
        <w:gridCol w:w="2608"/>
        <w:gridCol w:w="7030"/>
      </w:tblGrid>
      <w:tr>
        <w:trPr>
          <w:cantSplit w:val="true"/>
          <w:tblHeader w:val="true"/>
        </w:trPr>
        <w:tc>
          <w:tcPr>
            <w:tcW w:type="dxa" w:w="2608"/>
            <w:shd w:val="clear" w:color="auto" w:fill="1F3A5F"/>
            <w:tcMar>
              <w:top w:w="60" w:type="dxa"/>
              <w:left w:w="90" w:type="dxa"/>
              <w:bottom w:w="60" w:type="dxa"/>
              <w:right w:w="90" w:type="dxa"/>
            </w:tcMar>
          </w:tcPr>
          <w:p>
            <w:pPr>
              <w:spacing w:after="0"/>
            </w:pPr>
            <w:r>
              <w:rPr>
                <w:b/>
                <w:color w:val="FFFFFF"/>
                <w:sz w:val="18"/>
              </w:rPr>
              <w:t>Term</w:t>
            </w:r>
          </w:p>
        </w:tc>
        <w:tc>
          <w:tcPr>
            <w:tcW w:type="dxa" w:w="7030"/>
            <w:shd w:val="clear" w:color="auto" w:fill="1F3A5F"/>
            <w:tcMar>
              <w:top w:w="60" w:type="dxa"/>
              <w:left w:w="90" w:type="dxa"/>
              <w:bottom w:w="60" w:type="dxa"/>
              <w:right w:w="90" w:type="dxa"/>
            </w:tcMar>
          </w:tcPr>
          <w:p>
            <w:pPr>
              <w:spacing w:after="0"/>
            </w:pPr>
            <w:r>
              <w:rPr>
                <w:b/>
                <w:color w:val="FFFFFF"/>
                <w:sz w:val="18"/>
              </w:rPr>
              <w:t>Meaning</w:t>
            </w:r>
          </w:p>
        </w:tc>
      </w:tr>
      <w:tr>
        <w:trPr>
          <w:cantSplit w:val="true"/>
        </w:trPr>
        <w:tc>
          <w:tcPr>
            <w:tcW w:type="dxa" w:w="260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alteration</w:t>
            </w:r>
          </w:p>
        </w:tc>
        <w:tc>
          <w:tcPr>
            <w:tcW w:type="dxa" w:w="703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A mutation, copy-number change or gene fusion in a tumour</w:t>
            </w:r>
          </w:p>
        </w:tc>
      </w:tr>
      <w:tr>
        <w:trPr>
          <w:cantSplit w:val="true"/>
        </w:trPr>
        <w:tc>
          <w:tcPr>
            <w:tcW w:type="dxa" w:w="260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driver / passenger</w:t>
            </w:r>
          </w:p>
        </w:tc>
        <w:tc>
          <w:tcPr>
            <w:tcW w:type="dxa" w:w="703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A change that helps the tumour grow / one that merely came along</w:t>
            </w:r>
          </w:p>
        </w:tc>
      </w:tr>
      <w:tr>
        <w:trPr>
          <w:cantSplit w:val="true"/>
        </w:trPr>
        <w:tc>
          <w:tcPr>
            <w:tcW w:type="dxa" w:w="260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gene panel</w:t>
            </w:r>
          </w:p>
        </w:tc>
        <w:tc>
          <w:tcPr>
            <w:tcW w:type="dxa" w:w="703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The list of genes a hospital's test reads; 167 different panels in GENIE</w:t>
            </w:r>
          </w:p>
        </w:tc>
      </w:tr>
      <w:tr>
        <w:trPr>
          <w:cantSplit w:val="true"/>
        </w:trPr>
        <w:tc>
          <w:tcPr>
            <w:tcW w:type="dxa" w:w="260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null model</w:t>
            </w:r>
          </w:p>
        </w:tc>
        <w:tc>
          <w:tcPr>
            <w:tcW w:type="dxa" w:w="703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What “chance” means in a test; the most important choice in this field</w:t>
            </w:r>
          </w:p>
        </w:tc>
      </w:tr>
      <w:tr>
        <w:trPr>
          <w:cantSplit w:val="true"/>
        </w:trPr>
        <w:tc>
          <w:tcPr>
            <w:tcW w:type="dxa" w:w="260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Fisher's exact test</w:t>
            </w:r>
          </w:p>
        </w:tc>
        <w:tc>
          <w:tcPr>
            <w:tcW w:type="dxa" w:w="703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Classic 2×2 test; assumes every tumour has the same chance of every alteration</w:t>
            </w:r>
          </w:p>
        </w:tc>
      </w:tr>
      <w:tr>
        <w:trPr>
          <w:cantSplit w:val="true"/>
        </w:trPr>
        <w:tc>
          <w:tcPr>
            <w:tcW w:type="dxa" w:w="260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Poisson-Binomial</w:t>
            </w:r>
          </w:p>
        </w:tc>
        <w:tc>
          <w:tcPr>
            <w:tcW w:type="dxa" w:w="703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Distribution of a count when each tumour has its own probability (DISCOVER, ours)</w:t>
            </w:r>
          </w:p>
        </w:tc>
      </w:tr>
      <w:tr>
        <w:trPr>
          <w:cantSplit w:val="true"/>
        </w:trPr>
        <w:tc>
          <w:tcPr>
            <w:tcW w:type="dxa" w:w="260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conditional (Rasch) test</w:t>
            </w:r>
          </w:p>
        </w:tc>
        <w:tc>
          <w:tcPr>
            <w:tcW w:type="dxa" w:w="703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Our test: each tumour's chance is computed given its own number of alterations</w:t>
            </w:r>
          </w:p>
        </w:tc>
      </w:tr>
      <w:tr>
        <w:trPr>
          <w:cantSplit w:val="true"/>
        </w:trPr>
        <w:tc>
          <w:tcPr>
            <w:tcW w:type="dxa" w:w="260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permutation null</w:t>
            </w:r>
          </w:p>
        </w:tc>
        <w:tc>
          <w:tcPr>
            <w:tcW w:type="dxa" w:w="703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Reshuffle the data keeping each tumour's and gene's totals fixed; our test computes it exactly</w:t>
            </w:r>
          </w:p>
        </w:tc>
      </w:tr>
      <w:tr>
        <w:trPr>
          <w:cantSplit w:val="true"/>
        </w:trPr>
        <w:tc>
          <w:tcPr>
            <w:tcW w:type="dxa" w:w="260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TMB</w:t>
            </w:r>
          </w:p>
        </w:tc>
        <w:tc>
          <w:tcPr>
            <w:tcW w:type="dxa" w:w="703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Tumour mutational burden, mutations per million DNA letters; ≥10 is called hypermutated here</w:t>
            </w:r>
          </w:p>
        </w:tc>
      </w:tr>
      <w:tr>
        <w:trPr>
          <w:cantSplit w:val="true"/>
        </w:trPr>
        <w:tc>
          <w:tcPr>
            <w:tcW w:type="dxa" w:w="260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MSI / MSS</w:t>
            </w:r>
          </w:p>
        </w:tc>
        <w:tc>
          <w:tcPr>
            <w:tcW w:type="dxa" w:w="703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Microsatellite-unstable (repair-deficient, hypermutated) vs stable tumours</w:t>
            </w:r>
          </w:p>
        </w:tc>
      </w:tr>
      <w:tr>
        <w:trPr>
          <w:cantSplit w:val="true"/>
        </w:trPr>
        <w:tc>
          <w:tcPr>
            <w:tcW w:type="dxa" w:w="260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copy-number burden / CIN</w:t>
            </w:r>
          </w:p>
        </w:tc>
        <w:tc>
          <w:tcPr>
            <w:tcW w:type="dxa" w:w="703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How many genes a tumour has gained or lost / ongoing chromosomal instability</w:t>
            </w:r>
          </w:p>
        </w:tc>
      </w:tr>
      <w:tr>
        <w:trPr>
          <w:cantSplit w:val="true"/>
        </w:trPr>
        <w:tc>
          <w:tcPr>
            <w:tcW w:type="dxa" w:w="260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amplicon</w:t>
            </w:r>
          </w:p>
        </w:tc>
        <w:tc>
          <w:tcPr>
            <w:tcW w:type="dxa" w:w="703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A stretch of DNA amplified as one unit, carrying several genes together</w:t>
            </w:r>
          </w:p>
        </w:tc>
      </w:tr>
      <w:tr>
        <w:trPr>
          <w:cantSplit w:val="true"/>
        </w:trPr>
        <w:tc>
          <w:tcPr>
            <w:tcW w:type="dxa" w:w="260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deep vs shallow call</w:t>
            </w:r>
          </w:p>
        </w:tc>
        <w:tc>
          <w:tcPr>
            <w:tcW w:type="dxa" w:w="703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Strong copy-number change (±2) vs one-copy gain or loss (±1)</w:t>
            </w:r>
          </w:p>
        </w:tc>
      </w:tr>
      <w:tr>
        <w:trPr>
          <w:cantSplit w:val="true"/>
        </w:trPr>
        <w:tc>
          <w:tcPr>
            <w:tcW w:type="dxa" w:w="260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subtype confounding</w:t>
            </w:r>
          </w:p>
        </w:tc>
        <w:tc>
          <w:tcPr>
            <w:tcW w:type="dxa" w:w="703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Two alterations look exclusive only because each marks a different disease subtype</w:t>
            </w:r>
          </w:p>
        </w:tc>
      </w:tr>
      <w:tr>
        <w:trPr>
          <w:cantSplit w:val="true"/>
        </w:trPr>
        <w:tc>
          <w:tcPr>
            <w:tcW w:type="dxa" w:w="260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dN/dS</w:t>
            </w:r>
          </w:p>
        </w:tc>
        <w:tc>
          <w:tcPr>
            <w:tcW w:type="dxa" w:w="703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Protein-changing vs silent mutation ratio; &gt;1 suggests positive selection</w:t>
            </w:r>
          </w:p>
        </w:tc>
      </w:tr>
      <w:tr>
        <w:trPr>
          <w:cantSplit w:val="true"/>
        </w:trPr>
        <w:tc>
          <w:tcPr>
            <w:tcW w:type="dxa" w:w="260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FDR / q-value</w:t>
            </w:r>
          </w:p>
        </w:tc>
        <w:tc>
          <w:tcPr>
            <w:tcW w:type="dxa" w:w="703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False discovery rate; q &lt; 0.05 means at most ~5% of called pairs expected to be false</w:t>
            </w:r>
          </w:p>
        </w:tc>
      </w:tr>
      <w:tr>
        <w:trPr>
          <w:cantSplit w:val="true"/>
        </w:trPr>
        <w:tc>
          <w:tcPr>
            <w:tcW w:type="dxa" w:w="260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replication</w:t>
            </w:r>
          </w:p>
        </w:tc>
        <w:tc>
          <w:tcPr>
            <w:tcW w:type="dxa" w:w="703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The same result in independent patients (other centres, or another cohort such as TCGA)</w:t>
            </w:r>
          </w:p>
        </w:tc>
      </w:tr>
      <w:tr>
        <w:trPr>
          <w:cantSplit w:val="true"/>
        </w:trPr>
        <w:tc>
          <w:tcPr>
            <w:tcW w:type="dxa" w:w="260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AUROC</w:t>
            </w:r>
          </w:p>
        </w:tc>
        <w:tc>
          <w:tcPr>
            <w:tcW w:type="dxa" w:w="703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Ability to rank true cases above false ones; 0.5 is a coin flip, 1.0 is perfect</w:t>
            </w:r>
          </w:p>
        </w:tc>
      </w:tr>
      <w:tr>
        <w:trPr>
          <w:cantSplit w:val="true"/>
        </w:trPr>
        <w:tc>
          <w:tcPr>
            <w:tcW w:type="dxa" w:w="260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shrinkage / partial pooling</w:t>
            </w:r>
          </w:p>
        </w:tc>
        <w:tc>
          <w:tcPr>
            <w:tcW w:type="dxa" w:w="703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Pulling a noisy estimate toward an average across related groups</w:t>
            </w:r>
          </w:p>
        </w:tc>
      </w:tr>
      <w:tr>
        <w:trPr>
          <w:cantSplit w:val="true"/>
        </w:trPr>
        <w:tc>
          <w:tcPr>
            <w:tcW w:type="dxa" w:w="260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over-adjustment</w:t>
            </w:r>
          </w:p>
        </w:tc>
        <w:tc>
          <w:tcPr>
            <w:tcW w:type="dxa" w:w="703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Adjusting for something partly caused by what you test, which hides real effects</w:t>
            </w:r>
          </w:p>
        </w:tc>
      </w:tr>
      <w:tr>
        <w:trPr>
          <w:cantSplit w:val="true"/>
        </w:trPr>
        <w:tc>
          <w:tcPr>
            <w:tcW w:type="dxa" w:w="260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OncoKB / CIViC</w:t>
            </w:r>
          </w:p>
        </w:tc>
        <w:tc>
          <w:tcPr>
            <w:tcW w:type="dxa" w:w="703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Curated knowledge bases of the clinical meaning of variants (OncoKB needs a licence; CIViC is open)</w:t>
            </w:r>
          </w:p>
        </w:tc>
      </w:tr>
      <w:tr>
        <w:trPr>
          <w:cantSplit w:val="true"/>
        </w:trPr>
        <w:tc>
          <w:tcPr>
            <w:tcW w:type="dxa" w:w="260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ESCAT</w:t>
            </w:r>
          </w:p>
        </w:tc>
        <w:tc>
          <w:tcPr>
            <w:tcW w:type="dxa" w:w="703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ESMO scale ranking the evidence for matched targeted therapy; part of the original clinical framing, not in the current plan</w:t>
            </w:r>
          </w:p>
        </w:tc>
      </w:tr>
    </w:tbl>
    <w:p>
      <w:pPr>
        <w:spacing w:after="40"/>
      </w:pPr>
    </w:p>
    <w:p>
      <w:pPr>
        <w:pStyle w:val="Heading1"/>
      </w:pPr>
      <w:r>
        <w:t>Appendix B: Timeline</w:t>
      </w:r>
    </w:p>
    <w:tbl>
      <w:tblPr>
        <w:tblW w:type="auto" w:w="0"/>
        <w:jc w:val="center"/>
        <w:tblLayout w:type="fixed"/>
        <w:tblLook w:firstColumn="1" w:firstRow="1" w:lastColumn="0" w:lastRow="0" w:noHBand="0" w:noVBand="1" w:val="04A0"/>
        <w:tblLayout w:type="fixed"/>
      </w:tblPr>
      <w:tblGrid>
        <w:gridCol w:w="1927"/>
        <w:gridCol w:w="7711"/>
      </w:tblGrid>
      <w:tr>
        <w:trPr>
          <w:cantSplit w:val="true"/>
          <w:tblHeader w:val="true"/>
        </w:trPr>
        <w:tc>
          <w:tcPr>
            <w:tcW w:type="dxa" w:w="1928"/>
            <w:shd w:val="clear" w:color="auto" w:fill="1F3A5F"/>
            <w:tcMar>
              <w:top w:w="60" w:type="dxa"/>
              <w:left w:w="90" w:type="dxa"/>
              <w:bottom w:w="60" w:type="dxa"/>
              <w:right w:w="90" w:type="dxa"/>
            </w:tcMar>
          </w:tcPr>
          <w:p>
            <w:pPr>
              <w:spacing w:after="0"/>
            </w:pPr>
            <w:r>
              <w:rPr>
                <w:b/>
                <w:color w:val="FFFFFF"/>
                <w:sz w:val="18"/>
              </w:rPr>
              <w:t>Date</w:t>
            </w:r>
          </w:p>
        </w:tc>
        <w:tc>
          <w:tcPr>
            <w:tcW w:type="dxa" w:w="7710"/>
            <w:shd w:val="clear" w:color="auto" w:fill="1F3A5F"/>
            <w:tcMar>
              <w:top w:w="60" w:type="dxa"/>
              <w:left w:w="90" w:type="dxa"/>
              <w:bottom w:w="60" w:type="dxa"/>
              <w:right w:w="90" w:type="dxa"/>
            </w:tcMar>
          </w:tcPr>
          <w:p>
            <w:pPr>
              <w:spacing w:after="0"/>
            </w:pPr>
            <w:r>
              <w:rPr>
                <w:b/>
                <w:color w:val="FFFFFF"/>
                <w:sz w:val="18"/>
              </w:rPr>
              <w:t>Event</w:t>
            </w:r>
          </w:p>
        </w:tc>
      </w:tr>
      <w:tr>
        <w:trPr>
          <w:cantSplit w:val="true"/>
        </w:trPr>
        <w:tc>
          <w:tcPr>
            <w:tcW w:type="dxa" w:w="192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6 Jul 2026</w:t>
            </w:r>
          </w:p>
        </w:tc>
        <w:tc>
          <w:tcPr>
            <w:tcW w:type="dxa" w:w="771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GENIE v19.0 data inventory confirmed; original plan written</w:t>
            </w:r>
          </w:p>
        </w:tc>
      </w:tr>
      <w:tr>
        <w:trPr>
          <w:cantSplit w:val="true"/>
        </w:trPr>
        <w:tc>
          <w:tcPr>
            <w:tcW w:type="dxa" w:w="192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24 Sep 2026</w:t>
            </w:r>
          </w:p>
        </w:tc>
        <w:tc>
          <w:tcPr>
            <w:tcW w:type="dxa" w:w="771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Project refocused with Prof. Wong: lookup tool and insight</w:t>
            </w:r>
          </w:p>
        </w:tc>
      </w:tr>
      <w:tr>
        <w:trPr>
          <w:cantSplit w:val="true"/>
        </w:trPr>
        <w:tc>
          <w:tcPr>
            <w:tcW w:type="dxa" w:w="192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30 Sep 2026</w:t>
            </w:r>
          </w:p>
        </w:tc>
        <w:tc>
          <w:tcPr>
            <w:tcW w:type="dxa" w:w="771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Literature search begins; design-comparison tests complete</w:t>
            </w:r>
          </w:p>
        </w:tc>
      </w:tr>
      <w:tr>
        <w:trPr>
          <w:cantSplit w:val="true"/>
        </w:trPr>
        <w:tc>
          <w:tcPr>
            <w:tcW w:type="dxa" w:w="192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3 Oct 2026</w:t>
            </w:r>
          </w:p>
        </w:tc>
        <w:tc>
          <w:tcPr>
            <w:tcW w:type="dxa" w:w="771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Phase 2 v3 implemented (non-hypermutated, subtype strata, replication)</w:t>
            </w:r>
          </w:p>
        </w:tc>
      </w:tr>
      <w:tr>
        <w:trPr>
          <w:cantSplit w:val="true"/>
        </w:trPr>
        <w:tc>
          <w:tcPr>
            <w:tcW w:type="dxa" w:w="192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4 Oct 2026</w:t>
            </w:r>
          </w:p>
        </w:tc>
        <w:tc>
          <w:tcPr>
            <w:tcW w:type="dxa" w:w="771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Phase 3 tool v2 and Phase 4 analyses built</w:t>
            </w:r>
          </w:p>
        </w:tc>
      </w:tr>
      <w:tr>
        <w:trPr>
          <w:cantSplit w:val="true"/>
        </w:trPr>
        <w:tc>
          <w:tcPr>
            <w:tcW w:type="dxa" w:w="192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6 Oct 2026</w:t>
            </w:r>
          </w:p>
        </w:tc>
        <w:tc>
          <w:tcPr>
            <w:tcW w:type="dxa" w:w="771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Amplifier-burden confound discovered; 24 candidates re-tested systematically</w:t>
            </w:r>
          </w:p>
        </w:tc>
      </w:tr>
      <w:tr>
        <w:trPr>
          <w:cantSplit w:val="true"/>
        </w:trPr>
        <w:tc>
          <w:tcPr>
            <w:tcW w:type="dxa" w:w="192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21-22 Oct 2026</w:t>
            </w:r>
          </w:p>
        </w:tc>
        <w:tc>
          <w:tcPr>
            <w:tcW w:type="dxa" w:w="771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TCGA validation, conditional selection and shrinkage analyses written; fusions added; literature review expanded to 41 references</w:t>
            </w:r>
          </w:p>
        </w:tc>
      </w:tr>
      <w:tr>
        <w:trPr>
          <w:cantSplit w:val="true"/>
        </w:trPr>
        <w:tc>
          <w:tcPr>
            <w:tcW w:type="dxa" w:w="192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22-23 Oct 2026</w:t>
            </w:r>
          </w:p>
        </w:tc>
        <w:tc>
          <w:tcPr>
            <w:tcW w:type="dxa" w:w="771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Notebooks 01-04 re-run end to end with fusions; benchmark and gene-set scripts finish; commit 10a5c99 (fusions, burden sensitivity, TCGA validation, benchmark)</w:t>
            </w:r>
          </w:p>
        </w:tc>
      </w:tr>
      <w:tr>
        <w:trPr>
          <w:cantSplit w:val="true"/>
        </w:trPr>
        <w:tc>
          <w:tcPr>
            <w:tcW w:type="dxa" w:w="1928"/>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23 Oct 2026</w:t>
            </w:r>
          </w:p>
        </w:tc>
        <w:tc>
          <w:tcPr>
            <w:tcW w:type="dxa" w:w="7710"/>
            <w:tcMar>
              <w:top w:w="50" w:type="dxa"/>
              <w:left w:w="90" w:type="dxa"/>
              <w:bottom w:w="50" w:type="dxa"/>
              <w:right w:w="90" w:type="dxa"/>
            </w:tcMar>
            <w:tcBorders>
              <w:top w:val="nil" w:sz="0" w:color="FFFFFF"/>
              <w:left w:val="nil" w:sz="0" w:color="FFFFFF"/>
              <w:bottom w:val="single" w:sz="4" w:color="D5DAE1"/>
              <w:right w:val="nil" w:sz="0" w:color="FFFFFF"/>
            </w:tcBorders>
          </w:tcPr>
          <w:p>
            <w:pPr>
              <w:spacing w:after="0"/>
            </w:pPr>
            <w:r>
              <w:rPr>
                <w:sz w:val="18"/>
              </w:rPr>
              <w:t>Notebook 05 added to collect all validation results (commit 92e8234)</w:t>
            </w:r>
          </w:p>
        </w:tc>
      </w:tr>
      <w:tr>
        <w:trPr>
          <w:cantSplit w:val="true"/>
        </w:trPr>
        <w:tc>
          <w:tcPr>
            <w:tcW w:type="dxa" w:w="192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24 Oct 2026</w:t>
            </w:r>
          </w:p>
        </w:tc>
        <w:tc>
          <w:tcPr>
            <w:tcW w:type="dxa" w:w="771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Notebook 07 (renamed 06 on 25 Oct) re-run and rewritten; count fixes in README, notebook 01 and literature review; obsolete PLAN.md deleted; all committed</w:t>
            </w:r>
          </w:p>
        </w:tc>
      </w:tr>
      <w:tr>
        <w:trPr>
          <w:cantSplit w:val="true"/>
        </w:trPr>
        <w:tc>
          <w:tcPr>
            <w:tcW w:type="dxa" w:w="192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25 Oct 2026</w:t>
            </w:r>
          </w:p>
        </w:tc>
        <w:tc>
          <w:tcPr>
            <w:tcW w:type="dxa" w:w="771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R publication figures (6 main, 6 supplementary); novelty audit of 386 robust pairs and comparison with the SelectSim atlas; repository organised (data/ and scripts/ READMEs, notebook 07 renamed 06, MIT licence); allele screen and partner models re-run on the final data (KRAS G12C/STK11 2.00x → 1.74x after smoking adjustment; partner prediction unchanged); script 11 retired; this guide updated</w:t>
            </w:r>
          </w:p>
        </w:tc>
      </w:tr>
      <w:tr>
        <w:trPr>
          <w:cantSplit w:val="true"/>
        </w:trPr>
        <w:tc>
          <w:tcPr>
            <w:tcW w:type="dxa" w:w="1928"/>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26 Oct 2026</w:t>
            </w:r>
          </w:p>
        </w:tc>
        <w:tc>
          <w:tcPr>
            <w:tcW w:type="dxa" w:w="7710"/>
            <w:tcMar>
              <w:top w:w="50" w:type="dxa"/>
              <w:left w:w="90" w:type="dxa"/>
              <w:bottom w:w="50" w:type="dxa"/>
              <w:right w:w="90" w:type="dxa"/>
            </w:tcMar>
            <w:shd w:val="clear" w:color="auto" w:fill="F4F6F9"/>
            <w:tcBorders>
              <w:top w:val="nil" w:sz="0" w:color="FFFFFF"/>
              <w:left w:val="nil" w:sz="0" w:color="FFFFFF"/>
              <w:bottom w:val="single" w:sz="4" w:color="D5DAE1"/>
              <w:right w:val="nil" w:sz="0" w:color="FFFFFF"/>
            </w:tcBorders>
          </w:tcPr>
          <w:p>
            <w:pPr>
              <w:spacing w:after="0"/>
            </w:pPr>
            <w:r>
              <w:rPr>
                <w:sz w:val="18"/>
              </w:rPr>
              <w:t>SELECT re-implemented from its published methods and benchmarked (calibrated; best at ranking the strongest pairs); review statements about van de Haar 2019 and Scharpf 2022 checked against their full texts and corrected; mutation-load confounding check added (script 21); Mina 2020 citations made precise</w:t>
            </w:r>
          </w:p>
        </w:tc>
      </w:tr>
    </w:tbl>
    <w:p>
      <w:pPr>
        <w:spacing w:after="40"/>
      </w:pPr>
    </w:p>
    <w:p>
      <w:pPr>
        <w:pStyle w:val="Heading1"/>
      </w:pPr>
      <w:r>
        <w:t>Appendix C: Key references</w:t>
      </w:r>
    </w:p>
    <w:p>
      <w:r>
        <w:rPr>
          <w:sz w:val="20"/>
        </w:rPr>
        <w:t>Full list of 42 references with DOIs is in docs/literature_review.md. The ones used most in this guide:</w:t>
      </w:r>
    </w:p>
    <w:p>
      <w:pPr>
        <w:pStyle w:val="ListNumber"/>
        <w:spacing w:after="60"/>
        <w:numPr>
          <w:ilvl w:val="0"/>
          <w:numId w:val="15"/>
        </w:numPr>
      </w:pPr>
      <w:r>
        <w:t xml:space="preserve">Canisius S, Martens JWM, Wessels LFA. DISCOVER. </w:t>
      </w:r>
      <w:r>
        <w:rPr>
          <w:i/>
        </w:rPr>
        <w:t>Genome Biol</w:t>
      </w:r>
      <w:r>
        <w:t xml:space="preserve"> 2016;17:261. doi:10.1186/s13059-016-1114-x</w:t>
      </w:r>
    </w:p>
    <w:p>
      <w:pPr>
        <w:pStyle w:val="ListNumber"/>
        <w:spacing w:after="60"/>
        <w:numPr>
          <w:ilvl w:val="0"/>
          <w:numId w:val="15"/>
        </w:numPr>
      </w:pPr>
      <w:r>
        <w:t xml:space="preserve">Ferrer-Bonsoms JA et al. Rediscover. </w:t>
      </w:r>
      <w:r>
        <w:rPr>
          <w:i/>
        </w:rPr>
        <w:t>Bioinformatics</w:t>
      </w:r>
      <w:r>
        <w:t xml:space="preserve"> 2022;38:844-5. doi:10.1093/bioinformatics/btab709</w:t>
      </w:r>
    </w:p>
    <w:p>
      <w:pPr>
        <w:pStyle w:val="ListNumber"/>
        <w:spacing w:after="60"/>
        <w:numPr>
          <w:ilvl w:val="0"/>
          <w:numId w:val="15"/>
        </w:numPr>
      </w:pPr>
      <w:r>
        <w:t xml:space="preserve">Kim YA et al. WeSME. </w:t>
      </w:r>
      <w:r>
        <w:rPr>
          <w:i/>
        </w:rPr>
        <w:t>Bioinformatics</w:t>
      </w:r>
      <w:r>
        <w:t xml:space="preserve"> 2017;33:814-21. doi:10.1093/bioinformatics/btw242</w:t>
      </w:r>
    </w:p>
    <w:p>
      <w:pPr>
        <w:pStyle w:val="ListNumber"/>
        <w:spacing w:after="60"/>
        <w:numPr>
          <w:ilvl w:val="0"/>
          <w:numId w:val="15"/>
        </w:numPr>
      </w:pPr>
      <w:r>
        <w:t xml:space="preserve">Leiserson MDM et al. WExT. </w:t>
      </w:r>
      <w:r>
        <w:rPr>
          <w:i/>
        </w:rPr>
        <w:t>Bioinformatics</w:t>
      </w:r>
      <w:r>
        <w:t xml:space="preserve"> 2016;32:i736-45. doi:10.1093/bioinformatics/btw462</w:t>
      </w:r>
    </w:p>
    <w:p>
      <w:pPr>
        <w:pStyle w:val="ListNumber"/>
        <w:spacing w:after="60"/>
        <w:numPr>
          <w:ilvl w:val="0"/>
          <w:numId w:val="15"/>
        </w:numPr>
      </w:pPr>
      <w:r>
        <w:t xml:space="preserve">van de Haar J et al. Identifying epistasis in cancer genomes: a delicate affair. </w:t>
      </w:r>
      <w:r>
        <w:rPr>
          <w:i/>
        </w:rPr>
        <w:t>Cell</w:t>
      </w:r>
      <w:r>
        <w:t xml:space="preserve"> 2019;177:1375-83. doi:10.1016/j.cell.2019.05.005</w:t>
      </w:r>
    </w:p>
    <w:p>
      <w:pPr>
        <w:pStyle w:val="ListNumber"/>
        <w:spacing w:after="60"/>
        <w:numPr>
          <w:ilvl w:val="0"/>
          <w:numId w:val="15"/>
        </w:numPr>
      </w:pPr>
      <w:r>
        <w:t xml:space="preserve">Park S, Lehner B. Cancer type-dependent genetic interactions. </w:t>
      </w:r>
      <w:r>
        <w:rPr>
          <w:i/>
        </w:rPr>
        <w:t>Mol Syst Biol</w:t>
      </w:r>
      <w:r>
        <w:t xml:space="preserve"> 2015;11:824. doi:10.15252/msb.20156102</w:t>
      </w:r>
    </w:p>
    <w:p>
      <w:pPr>
        <w:pStyle w:val="ListNumber"/>
        <w:spacing w:after="60"/>
        <w:numPr>
          <w:ilvl w:val="0"/>
          <w:numId w:val="15"/>
        </w:numPr>
      </w:pPr>
      <w:r>
        <w:t xml:space="preserve">Mina M et al. Conditional selection of genomic alterations. </w:t>
      </w:r>
      <w:r>
        <w:rPr>
          <w:i/>
        </w:rPr>
        <w:t>Cancer Cell</w:t>
      </w:r>
      <w:r>
        <w:t xml:space="preserve"> 2017;32:155-68. doi:10.1016/j.ccell.2017.06.010</w:t>
      </w:r>
    </w:p>
    <w:p>
      <w:pPr>
        <w:pStyle w:val="ListNumber"/>
        <w:spacing w:after="60"/>
        <w:numPr>
          <w:ilvl w:val="0"/>
          <w:numId w:val="15"/>
        </w:numPr>
      </w:pPr>
      <w:r>
        <w:t xml:space="preserve">Mina M et al. Discovering functional evolutionary dependencies. </w:t>
      </w:r>
      <w:r>
        <w:rPr>
          <w:i/>
        </w:rPr>
        <w:t>Nat Genet</w:t>
      </w:r>
      <w:r>
        <w:t xml:space="preserve"> 2020;52:1198-207. doi:10.1038/s41588-020-0703-5</w:t>
      </w:r>
    </w:p>
    <w:p>
      <w:pPr>
        <w:pStyle w:val="ListNumber"/>
        <w:spacing w:after="60"/>
        <w:numPr>
          <w:ilvl w:val="0"/>
          <w:numId w:val="15"/>
        </w:numPr>
      </w:pPr>
      <w:r>
        <w:t xml:space="preserve">Iranzo J et al. Pervasive conditional selection of driver mutations. </w:t>
      </w:r>
      <w:r>
        <w:rPr>
          <w:i/>
        </w:rPr>
        <w:t>Cell Rep</w:t>
      </w:r>
      <w:r>
        <w:t xml:space="preserve"> 2022;40:111272. doi:10.1016/j.celrep.2022.111272</w:t>
      </w:r>
    </w:p>
    <w:p>
      <w:pPr>
        <w:pStyle w:val="ListNumber"/>
        <w:spacing w:after="60"/>
        <w:numPr>
          <w:ilvl w:val="0"/>
          <w:numId w:val="15"/>
        </w:numPr>
      </w:pPr>
      <w:r>
        <w:t xml:space="preserve">Sanchez-Vega F et al. Oncogenic signaling pathways in TCGA. </w:t>
      </w:r>
      <w:r>
        <w:rPr>
          <w:i/>
        </w:rPr>
        <w:t>Cell</w:t>
      </w:r>
      <w:r>
        <w:t xml:space="preserve"> 2018;173:321-37. doi:10.1016/j.cell.2018.03.035</w:t>
      </w:r>
    </w:p>
    <w:p>
      <w:pPr>
        <w:pStyle w:val="ListNumber"/>
        <w:spacing w:after="60"/>
        <w:numPr>
          <w:ilvl w:val="0"/>
          <w:numId w:val="15"/>
        </w:numPr>
      </w:pPr>
      <w:r>
        <w:t xml:space="preserve">Scharpf RB et al. Genomic landscapes and hallmarks of mutant RAS. </w:t>
      </w:r>
      <w:r>
        <w:rPr>
          <w:i/>
        </w:rPr>
        <w:t>Cancer Res</w:t>
      </w:r>
      <w:r>
        <w:t xml:space="preserve"> 2022;82:4058-78. doi:10.1158/0008-5472.CAN-22-1731</w:t>
      </w:r>
    </w:p>
    <w:p>
      <w:pPr>
        <w:pStyle w:val="ListNumber"/>
        <w:spacing w:after="60"/>
        <w:numPr>
          <w:ilvl w:val="0"/>
          <w:numId w:val="15"/>
        </w:numPr>
      </w:pPr>
      <w:r>
        <w:t xml:space="preserve">Cook JH et al. KRAS mutations are allele- and tissue-specific. </w:t>
      </w:r>
      <w:r>
        <w:rPr>
          <w:i/>
        </w:rPr>
        <w:t>Nat Commun</w:t>
      </w:r>
      <w:r>
        <w:t xml:space="preserve"> 2021;12:1808. doi:10.1038/s41467-021-22125-z</w:t>
      </w:r>
    </w:p>
    <w:p>
      <w:pPr>
        <w:pStyle w:val="ListNumber"/>
        <w:spacing w:after="60"/>
        <w:numPr>
          <w:ilvl w:val="0"/>
          <w:numId w:val="15"/>
        </w:numPr>
      </w:pPr>
      <w:r>
        <w:t xml:space="preserve">Skoulidis F, Heymach JV. Co-occurring genomic alterations in NSCLC. </w:t>
      </w:r>
      <w:r>
        <w:rPr>
          <w:i/>
        </w:rPr>
        <w:t>Nat Rev Cancer</w:t>
      </w:r>
      <w:r>
        <w:t xml:space="preserve"> 2019;19:495-509. doi:10.1038/s41568-019-0179-8</w:t>
      </w:r>
    </w:p>
    <w:p>
      <w:pPr>
        <w:pStyle w:val="ListNumber"/>
        <w:spacing w:after="60"/>
        <w:numPr>
          <w:ilvl w:val="0"/>
          <w:numId w:val="15"/>
        </w:numPr>
      </w:pPr>
      <w:r>
        <w:t xml:space="preserve">AACR Project GENIE Consortium. </w:t>
      </w:r>
      <w:r>
        <w:rPr>
          <w:i/>
        </w:rPr>
        <w:t>Cancer Discov</w:t>
      </w:r>
      <w:r>
        <w:t xml:space="preserve"> 2017;7:818-31. doi:10.1158/2159-8290.CD-17-0151</w:t>
      </w:r>
    </w:p>
    <w:p>
      <w:pPr>
        <w:pStyle w:val="ListNumber"/>
        <w:spacing w:after="60"/>
        <w:numPr>
          <w:ilvl w:val="0"/>
          <w:numId w:val="15"/>
        </w:numPr>
      </w:pPr>
      <w:r>
        <w:t xml:space="preserve">Hoadley KA et al. Cell-of-origin patterns dominate the molecular classification of 10,000 tumors. </w:t>
      </w:r>
      <w:r>
        <w:rPr>
          <w:i/>
        </w:rPr>
        <w:t>Cell</w:t>
      </w:r>
      <w:r>
        <w:t xml:space="preserve"> 2018;173:291-304. doi:10.1016/j.cell.2018.03.022</w:t>
      </w:r>
    </w:p>
    <w:p>
      <w:pPr>
        <w:pStyle w:val="ListNumber"/>
        <w:spacing w:after="60"/>
        <w:numPr>
          <w:ilvl w:val="0"/>
          <w:numId w:val="15"/>
        </w:numPr>
      </w:pPr>
      <w:r>
        <w:t xml:space="preserve">Griffith M et al. CIViC. </w:t>
      </w:r>
      <w:r>
        <w:rPr>
          <w:i/>
        </w:rPr>
        <w:t>Nat Genet</w:t>
      </w:r>
      <w:r>
        <w:t xml:space="preserve"> 2017;49:170-4. doi:10.1038/ng.3774</w:t>
      </w:r>
    </w:p>
    <w:p>
      <w:pPr>
        <w:pStyle w:val="ListNumber"/>
        <w:spacing w:after="60"/>
        <w:numPr>
          <w:ilvl w:val="0"/>
          <w:numId w:val="15"/>
        </w:numPr>
      </w:pPr>
      <w:r>
        <w:t xml:space="preserve">Chakravarty D et al. OncoKB. </w:t>
      </w:r>
      <w:r>
        <w:rPr>
          <w:i/>
        </w:rPr>
        <w:t>JCO Precis Oncol</w:t>
      </w:r>
      <w:r>
        <w:t xml:space="preserve"> 2017. doi:10.1200/PO.17.00011</w:t>
      </w:r>
    </w:p>
    <w:p>
      <w:pPr>
        <w:pStyle w:val="ListNumber"/>
        <w:spacing w:after="60"/>
        <w:numPr>
          <w:ilvl w:val="0"/>
          <w:numId w:val="15"/>
        </w:numPr>
      </w:pPr>
      <w:r>
        <w:t xml:space="preserve">Campbell K, Reyna MA. MOSAIC. </w:t>
      </w:r>
      <w:r>
        <w:rPr>
          <w:i/>
        </w:rPr>
        <w:t>bioRxiv</w:t>
      </w:r>
      <w:r>
        <w:t xml:space="preserve"> 2026. doi:10.64898/2026.04.29.721672</w:t>
      </w:r>
    </w:p>
    <w:p>
      <w:pPr>
        <w:pStyle w:val="ListNumber"/>
        <w:spacing w:after="60"/>
        <w:numPr>
          <w:ilvl w:val="0"/>
          <w:numId w:val="15"/>
        </w:numPr>
      </w:pPr>
      <w:r>
        <w:rPr/>
        <w:t>Iyer A, Petrovic M, Sesia D, Nanni L, Mina M, Ciriello G. Evolving patterns of co-mutations from tumor initiation to metastatic progression (SelectSim). Nat Genet 2026. doi:10.1038/s41588-026-02661-4</w:t>
      </w:r>
    </w:p>
    <w:sectPr w:rsidR="00FC693F" w:rsidRPr="0006063C" w:rsidSect="00034616">
      <w:headerReference w:type="default" r:id="rId9"/>
      <w:footerReference w:type="default" r:id="rId10"/>
      <w:pgSz w:w="11906" w:h="16838"/>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B66"/>
        <w:sz w:val="17"/>
      </w:rPr>
      <w:fldChar w:fldCharType="begin"/>
    </w:r>
    <w:r>
      <w:rPr>
        <w:color w:val="555B66"/>
        <w:sz w:val="17"/>
      </w:rPr>
      <w:instrText xml:space="preserve">PAGE</w:instrText>
    </w:r>
    <w:r>
      <w:rPr>
        <w:color w:val="555B66"/>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555B66"/>
        <w:sz w:val="17"/>
      </w:rPr>
      <w:t>FYP onboarding guide  |  Cancer co-mutation landscapes in AACR GENIE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eastAsia="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eastAsia="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eastAsia="Calibri"/>
      <w:b/>
      <w:bCs/>
      <w:color w:val="2A7F8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