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18A68D33" w14:textId="77777777" w:rsidR="001A35CB" w:rsidRPr="00C16A7A" w:rsidRDefault="001A35CB" w:rsidP="001A35CB">
      <w:pPr>
        <w:spacing w:before="100" w:beforeAutospacing="1" w:after="100" w:afterAutospacing="1"/>
        <w:jc w:val="center"/>
        <w:rPr>
          <w:i/>
          <w:sz w:val="22"/>
          <w:szCs w:val="22"/>
        </w:rPr>
      </w:pPr>
      <w:r w:rsidRPr="00C16A7A">
        <w:rPr>
          <w:i/>
          <w:sz w:val="22"/>
          <w:szCs w:val="22"/>
        </w:rPr>
        <w:t>Journal of Geophysical Research: Solid Earth</w:t>
      </w:r>
    </w:p>
    <w:p w14:paraId="2CB29489" w14:textId="77777777" w:rsidR="00FF3503" w:rsidRPr="00C16A7A" w:rsidRDefault="00FF3503" w:rsidP="00FF3503">
      <w:pPr>
        <w:spacing w:before="100" w:beforeAutospacing="1" w:after="100" w:afterAutospacing="1"/>
        <w:jc w:val="center"/>
        <w:rPr>
          <w:sz w:val="22"/>
          <w:szCs w:val="22"/>
        </w:rPr>
      </w:pPr>
      <w:r w:rsidRPr="00C16A7A">
        <w:rPr>
          <w:sz w:val="22"/>
          <w:szCs w:val="22"/>
        </w:rPr>
        <w:t>Supporting Information for</w:t>
      </w:r>
    </w:p>
    <w:p w14:paraId="42FFC78E" w14:textId="667E5A8E" w:rsidR="00FF3503" w:rsidRPr="00C16A7A" w:rsidRDefault="00DB1A35" w:rsidP="00FF3503">
      <w:pPr>
        <w:spacing w:before="100" w:beforeAutospacing="1" w:after="100" w:afterAutospacing="1"/>
        <w:jc w:val="center"/>
        <w:rPr>
          <w:sz w:val="22"/>
          <w:szCs w:val="22"/>
        </w:rPr>
      </w:pPr>
      <w:r w:rsidRPr="00DB1A35">
        <w:rPr>
          <w:b/>
          <w:sz w:val="22"/>
          <w:szCs w:val="22"/>
        </w:rPr>
        <w:t>Correlations Between Tectonic Degassing and Seismogenesis Inferred From a Y-Shaped Active Fault System in the Eastern Tibetan Plateau</w:t>
      </w:r>
    </w:p>
    <w:p w14:paraId="357CC314" w14:textId="77777777" w:rsidR="001A35CB" w:rsidRPr="00C16A7A" w:rsidRDefault="001A35CB" w:rsidP="001A35CB">
      <w:pPr>
        <w:spacing w:before="120" w:after="360" w:line="360" w:lineRule="auto"/>
        <w:rPr>
          <w:bCs/>
          <w:sz w:val="22"/>
          <w:szCs w:val="22"/>
        </w:rPr>
      </w:pPr>
      <w:r w:rsidRPr="00C16A7A">
        <w:rPr>
          <w:rFonts w:eastAsia="Times New Roman"/>
          <w:bCs/>
          <w:sz w:val="22"/>
          <w:szCs w:val="22"/>
        </w:rPr>
        <w:t>Wei Liu</w:t>
      </w:r>
      <w:r w:rsidRPr="00C16A7A">
        <w:rPr>
          <w:bCs/>
          <w:sz w:val="22"/>
          <w:szCs w:val="22"/>
          <w:vertAlign w:val="superscript"/>
        </w:rPr>
        <w:t>1</w:t>
      </w:r>
      <w:r w:rsidRPr="00C16A7A">
        <w:rPr>
          <w:bCs/>
          <w:sz w:val="22"/>
          <w:szCs w:val="22"/>
        </w:rPr>
        <w:t>, Maoliang Zhang</w:t>
      </w:r>
      <w:r w:rsidRPr="00C16A7A">
        <w:rPr>
          <w:bCs/>
          <w:sz w:val="22"/>
          <w:szCs w:val="22"/>
          <w:vertAlign w:val="superscript"/>
        </w:rPr>
        <w:t>1,</w:t>
      </w:r>
      <w:proofErr w:type="gramStart"/>
      <w:r w:rsidRPr="00C16A7A">
        <w:rPr>
          <w:bCs/>
          <w:sz w:val="22"/>
          <w:szCs w:val="22"/>
          <w:vertAlign w:val="superscript"/>
        </w:rPr>
        <w:t>2,</w:t>
      </w:r>
      <w:r w:rsidRPr="00C16A7A">
        <w:rPr>
          <w:bCs/>
          <w:sz w:val="22"/>
          <w:szCs w:val="22"/>
        </w:rPr>
        <w:t>*</w:t>
      </w:r>
      <w:proofErr w:type="gramEnd"/>
      <w:r w:rsidRPr="00C16A7A">
        <w:rPr>
          <w:bCs/>
          <w:sz w:val="22"/>
          <w:szCs w:val="22"/>
        </w:rPr>
        <w:t xml:space="preserve">, </w:t>
      </w:r>
      <w:proofErr w:type="spellStart"/>
      <w:r w:rsidRPr="00C16A7A">
        <w:rPr>
          <w:bCs/>
          <w:sz w:val="22"/>
          <w:szCs w:val="22"/>
        </w:rPr>
        <w:t>Biying</w:t>
      </w:r>
      <w:proofErr w:type="spellEnd"/>
      <w:r w:rsidRPr="00C16A7A">
        <w:rPr>
          <w:bCs/>
          <w:sz w:val="22"/>
          <w:szCs w:val="22"/>
        </w:rPr>
        <w:t xml:space="preserve"> Chen</w:t>
      </w:r>
      <w:r w:rsidRPr="00C16A7A">
        <w:rPr>
          <w:bCs/>
          <w:sz w:val="22"/>
          <w:szCs w:val="22"/>
          <w:vertAlign w:val="superscript"/>
        </w:rPr>
        <w:t>1</w:t>
      </w:r>
      <w:r w:rsidRPr="00C16A7A">
        <w:rPr>
          <w:bCs/>
          <w:sz w:val="22"/>
          <w:szCs w:val="22"/>
        </w:rPr>
        <w:t>, Yi Liu</w:t>
      </w:r>
      <w:r w:rsidRPr="00C16A7A">
        <w:rPr>
          <w:bCs/>
          <w:sz w:val="22"/>
          <w:szCs w:val="22"/>
          <w:vertAlign w:val="superscript"/>
        </w:rPr>
        <w:t>1</w:t>
      </w:r>
      <w:r w:rsidRPr="00C16A7A">
        <w:rPr>
          <w:bCs/>
          <w:sz w:val="22"/>
          <w:szCs w:val="22"/>
        </w:rPr>
        <w:t>, Lufeng Guan</w:t>
      </w:r>
      <w:r w:rsidRPr="00C16A7A">
        <w:rPr>
          <w:bCs/>
          <w:sz w:val="22"/>
          <w:szCs w:val="22"/>
          <w:vertAlign w:val="superscript"/>
        </w:rPr>
        <w:t>1</w:t>
      </w:r>
      <w:r w:rsidRPr="00C16A7A">
        <w:rPr>
          <w:bCs/>
          <w:sz w:val="22"/>
          <w:szCs w:val="22"/>
        </w:rPr>
        <w:t>, Chunhui Cao</w:t>
      </w:r>
      <w:r w:rsidRPr="00C16A7A">
        <w:rPr>
          <w:bCs/>
          <w:sz w:val="22"/>
          <w:szCs w:val="22"/>
          <w:vertAlign w:val="superscript"/>
        </w:rPr>
        <w:t>3</w:t>
      </w:r>
      <w:r w:rsidRPr="00C16A7A">
        <w:rPr>
          <w:bCs/>
          <w:sz w:val="22"/>
          <w:szCs w:val="22"/>
        </w:rPr>
        <w:t>, Wang Xu</w:t>
      </w:r>
      <w:r w:rsidRPr="00C16A7A">
        <w:rPr>
          <w:bCs/>
          <w:sz w:val="22"/>
          <w:szCs w:val="22"/>
          <w:vertAlign w:val="superscript"/>
        </w:rPr>
        <w:t>4</w:t>
      </w:r>
      <w:r w:rsidRPr="00C16A7A">
        <w:rPr>
          <w:bCs/>
          <w:sz w:val="22"/>
          <w:szCs w:val="22"/>
        </w:rPr>
        <w:t xml:space="preserve">, </w:t>
      </w:r>
      <w:proofErr w:type="spellStart"/>
      <w:r w:rsidRPr="00C16A7A">
        <w:rPr>
          <w:bCs/>
          <w:sz w:val="22"/>
          <w:szCs w:val="22"/>
        </w:rPr>
        <w:t>Guodong</w:t>
      </w:r>
      <w:proofErr w:type="spellEnd"/>
      <w:r w:rsidRPr="00C16A7A">
        <w:rPr>
          <w:bCs/>
          <w:sz w:val="22"/>
          <w:szCs w:val="22"/>
        </w:rPr>
        <w:t xml:space="preserve"> Zheng</w:t>
      </w:r>
      <w:r w:rsidRPr="00C16A7A">
        <w:rPr>
          <w:bCs/>
          <w:sz w:val="22"/>
          <w:szCs w:val="22"/>
          <w:vertAlign w:val="superscript"/>
        </w:rPr>
        <w:t>5,3</w:t>
      </w:r>
      <w:r w:rsidRPr="00C16A7A">
        <w:rPr>
          <w:bCs/>
          <w:sz w:val="22"/>
          <w:szCs w:val="22"/>
        </w:rPr>
        <w:t xml:space="preserve">, </w:t>
      </w:r>
      <w:proofErr w:type="spellStart"/>
      <w:r w:rsidRPr="00C16A7A">
        <w:rPr>
          <w:bCs/>
          <w:sz w:val="22"/>
          <w:szCs w:val="22"/>
        </w:rPr>
        <w:t>Xiaocheng</w:t>
      </w:r>
      <w:proofErr w:type="spellEnd"/>
      <w:r w:rsidRPr="00C16A7A">
        <w:rPr>
          <w:bCs/>
          <w:sz w:val="22"/>
          <w:szCs w:val="22"/>
        </w:rPr>
        <w:t xml:space="preserve"> Zhou</w:t>
      </w:r>
      <w:r w:rsidRPr="00C16A7A">
        <w:rPr>
          <w:bCs/>
          <w:sz w:val="22"/>
          <w:szCs w:val="22"/>
          <w:vertAlign w:val="superscript"/>
        </w:rPr>
        <w:t>6</w:t>
      </w:r>
      <w:r w:rsidRPr="00C16A7A">
        <w:rPr>
          <w:bCs/>
          <w:sz w:val="22"/>
          <w:szCs w:val="22"/>
        </w:rPr>
        <w:t>, Yun-Chao Lang</w:t>
      </w:r>
      <w:r w:rsidRPr="00C16A7A">
        <w:rPr>
          <w:bCs/>
          <w:sz w:val="22"/>
          <w:szCs w:val="22"/>
          <w:vertAlign w:val="superscript"/>
        </w:rPr>
        <w:t>1</w:t>
      </w:r>
      <w:r w:rsidRPr="00C16A7A">
        <w:rPr>
          <w:bCs/>
          <w:sz w:val="22"/>
          <w:szCs w:val="22"/>
        </w:rPr>
        <w:t>, Yuji Sano</w:t>
      </w:r>
      <w:r w:rsidRPr="00C16A7A">
        <w:rPr>
          <w:bCs/>
          <w:sz w:val="22"/>
          <w:szCs w:val="22"/>
          <w:vertAlign w:val="superscript"/>
        </w:rPr>
        <w:t>7,2</w:t>
      </w:r>
      <w:r w:rsidRPr="00C16A7A">
        <w:rPr>
          <w:bCs/>
          <w:sz w:val="22"/>
          <w:szCs w:val="22"/>
        </w:rPr>
        <w:t xml:space="preserve">, </w:t>
      </w:r>
      <w:r w:rsidRPr="00C16A7A">
        <w:rPr>
          <w:bCs/>
          <w:sz w:val="22"/>
          <w:szCs w:val="22"/>
          <w:lang w:eastAsia="zh-CN"/>
        </w:rPr>
        <w:t>and</w:t>
      </w:r>
      <w:r w:rsidRPr="00C16A7A">
        <w:rPr>
          <w:bCs/>
          <w:sz w:val="22"/>
          <w:szCs w:val="22"/>
        </w:rPr>
        <w:t xml:space="preserve"> Sheng Xu</w:t>
      </w:r>
      <w:r w:rsidRPr="00C16A7A">
        <w:rPr>
          <w:bCs/>
          <w:sz w:val="22"/>
          <w:szCs w:val="22"/>
          <w:vertAlign w:val="superscript"/>
        </w:rPr>
        <w:t>1,</w:t>
      </w:r>
      <w:r w:rsidRPr="00C16A7A">
        <w:rPr>
          <w:bCs/>
          <w:sz w:val="22"/>
          <w:szCs w:val="22"/>
        </w:rPr>
        <w:t>*</w:t>
      </w:r>
    </w:p>
    <w:p w14:paraId="384FF7DF" w14:textId="77777777" w:rsidR="00C16A7A" w:rsidRPr="00C16A7A" w:rsidRDefault="00C16A7A" w:rsidP="00210517">
      <w:pPr>
        <w:spacing w:before="100" w:beforeAutospacing="1" w:after="100" w:afterAutospacing="1" w:line="360" w:lineRule="auto"/>
        <w:rPr>
          <w:sz w:val="22"/>
          <w:szCs w:val="22"/>
        </w:rPr>
      </w:pPr>
      <w:r w:rsidRPr="00C16A7A">
        <w:rPr>
          <w:sz w:val="22"/>
          <w:szCs w:val="22"/>
          <w:vertAlign w:val="superscript"/>
        </w:rPr>
        <w:t>1</w:t>
      </w:r>
      <w:r w:rsidRPr="00C16A7A">
        <w:rPr>
          <w:sz w:val="22"/>
          <w:szCs w:val="22"/>
        </w:rPr>
        <w:t>Institute of Surface-Earth System Science, School of Earth System Science, Tianjin University, Tianjin 300072, China</w:t>
      </w:r>
    </w:p>
    <w:p w14:paraId="6EE5083D" w14:textId="77777777" w:rsidR="00C16A7A" w:rsidRPr="00C16A7A" w:rsidRDefault="00C16A7A" w:rsidP="00210517">
      <w:pPr>
        <w:pStyle w:val="Affiliation"/>
        <w:spacing w:line="360" w:lineRule="auto"/>
        <w:rPr>
          <w:sz w:val="22"/>
          <w:szCs w:val="22"/>
        </w:rPr>
      </w:pPr>
      <w:r w:rsidRPr="00C16A7A">
        <w:rPr>
          <w:sz w:val="22"/>
          <w:szCs w:val="22"/>
          <w:vertAlign w:val="superscript"/>
        </w:rPr>
        <w:t>2</w:t>
      </w:r>
      <w:r w:rsidRPr="00C16A7A">
        <w:rPr>
          <w:sz w:val="22"/>
          <w:szCs w:val="22"/>
        </w:rPr>
        <w:t>Atmosphere and Ocean Research Institute, The University of Tokyo, Kashiwa, Chiba 277-8564, Japan</w:t>
      </w:r>
    </w:p>
    <w:p w14:paraId="637A1161" w14:textId="77777777" w:rsidR="00C16A7A" w:rsidRPr="00C16A7A" w:rsidRDefault="00C16A7A" w:rsidP="00210517">
      <w:pPr>
        <w:pStyle w:val="Affiliation"/>
        <w:spacing w:line="360" w:lineRule="auto"/>
        <w:rPr>
          <w:sz w:val="22"/>
          <w:szCs w:val="22"/>
        </w:rPr>
      </w:pPr>
      <w:r w:rsidRPr="00C16A7A">
        <w:rPr>
          <w:sz w:val="22"/>
          <w:szCs w:val="22"/>
          <w:vertAlign w:val="superscript"/>
        </w:rPr>
        <w:t>3</w:t>
      </w:r>
      <w:r w:rsidRPr="00C16A7A">
        <w:rPr>
          <w:sz w:val="22"/>
          <w:szCs w:val="22"/>
        </w:rPr>
        <w:t>Northwest Institute of Eco-Environment and Resources, Chinese Academy of Sciences, Lanzhou 730000, China</w:t>
      </w:r>
    </w:p>
    <w:p w14:paraId="5CF9B4F1" w14:textId="77777777" w:rsidR="00C16A7A" w:rsidRPr="00C16A7A" w:rsidRDefault="00C16A7A" w:rsidP="00210517">
      <w:pPr>
        <w:pStyle w:val="Affiliation"/>
        <w:spacing w:line="360" w:lineRule="auto"/>
        <w:rPr>
          <w:sz w:val="22"/>
          <w:szCs w:val="22"/>
        </w:rPr>
      </w:pPr>
      <w:r w:rsidRPr="00C16A7A">
        <w:rPr>
          <w:sz w:val="22"/>
          <w:szCs w:val="22"/>
          <w:vertAlign w:val="superscript"/>
        </w:rPr>
        <w:t>4</w:t>
      </w:r>
      <w:r w:rsidRPr="00C16A7A">
        <w:rPr>
          <w:sz w:val="22"/>
          <w:szCs w:val="22"/>
        </w:rPr>
        <w:t>College of Energy Resources, Chengdu University of Technology, Chengdu 610059, China</w:t>
      </w:r>
    </w:p>
    <w:p w14:paraId="729F614E" w14:textId="77777777" w:rsidR="00C16A7A" w:rsidRPr="00C16A7A" w:rsidRDefault="00C16A7A" w:rsidP="00210517">
      <w:pPr>
        <w:pStyle w:val="Affiliation"/>
        <w:spacing w:line="360" w:lineRule="auto"/>
        <w:rPr>
          <w:sz w:val="22"/>
          <w:szCs w:val="22"/>
        </w:rPr>
      </w:pPr>
      <w:r w:rsidRPr="00C16A7A">
        <w:rPr>
          <w:sz w:val="22"/>
          <w:szCs w:val="22"/>
          <w:vertAlign w:val="superscript"/>
        </w:rPr>
        <w:t>5</w:t>
      </w:r>
      <w:r w:rsidRPr="00C16A7A">
        <w:rPr>
          <w:sz w:val="22"/>
          <w:szCs w:val="22"/>
        </w:rPr>
        <w:t xml:space="preserve">School of Environmental Studies, China University of Geosciences, Wuhan 430074, China </w:t>
      </w:r>
    </w:p>
    <w:p w14:paraId="6764F2C8" w14:textId="77777777" w:rsidR="00C16A7A" w:rsidRPr="00C16A7A" w:rsidRDefault="00C16A7A" w:rsidP="00210517">
      <w:pPr>
        <w:pStyle w:val="Affiliation"/>
        <w:spacing w:line="360" w:lineRule="auto"/>
        <w:rPr>
          <w:sz w:val="22"/>
          <w:szCs w:val="22"/>
        </w:rPr>
      </w:pPr>
      <w:r w:rsidRPr="00C16A7A">
        <w:rPr>
          <w:sz w:val="22"/>
          <w:szCs w:val="22"/>
          <w:vertAlign w:val="superscript"/>
        </w:rPr>
        <w:t>6</w:t>
      </w:r>
      <w:r w:rsidRPr="00C16A7A">
        <w:rPr>
          <w:sz w:val="22"/>
          <w:szCs w:val="22"/>
        </w:rPr>
        <w:t>Institute of Earthquake Forecasting, China Earthquake Administration, Beijing 100036, China</w:t>
      </w:r>
    </w:p>
    <w:p w14:paraId="26C2CFD4" w14:textId="77777777" w:rsidR="00C16A7A" w:rsidRPr="00C16A7A" w:rsidRDefault="00C16A7A" w:rsidP="00210517">
      <w:pPr>
        <w:pStyle w:val="Affiliation"/>
        <w:spacing w:line="360" w:lineRule="auto"/>
        <w:rPr>
          <w:sz w:val="22"/>
          <w:szCs w:val="22"/>
        </w:rPr>
      </w:pPr>
      <w:r w:rsidRPr="00C16A7A">
        <w:rPr>
          <w:sz w:val="22"/>
          <w:szCs w:val="22"/>
          <w:vertAlign w:val="superscript"/>
        </w:rPr>
        <w:t>7</w:t>
      </w:r>
      <w:r w:rsidRPr="00C16A7A">
        <w:rPr>
          <w:iCs/>
          <w:color w:val="000000" w:themeColor="text1"/>
          <w:sz w:val="22"/>
          <w:szCs w:val="22"/>
        </w:rPr>
        <w:t>Center for Advanced Marine Core Research, Kochi University, Kochi 783-8502, Japan</w:t>
      </w:r>
    </w:p>
    <w:p w14:paraId="71891EDF" w14:textId="7D4F91E4" w:rsidR="00094365" w:rsidRPr="00CE6EAA" w:rsidRDefault="00094365" w:rsidP="00825950">
      <w:pPr>
        <w:spacing w:before="100" w:beforeAutospacing="1" w:after="100" w:afterAutospacing="1"/>
        <w:jc w:val="center"/>
        <w:rPr>
          <w:rFonts w:ascii="Myriad Pro" w:hAnsi="Myriad Pro"/>
          <w:sz w:val="22"/>
          <w:szCs w:val="22"/>
        </w:rPr>
      </w:pP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Pr="008B0A12" w:rsidRDefault="00111843" w:rsidP="00111843">
      <w:pPr>
        <w:rPr>
          <w:b/>
        </w:rPr>
      </w:pPr>
      <w:r w:rsidRPr="008B0A12">
        <w:rPr>
          <w:b/>
        </w:rPr>
        <w:t>Contents of this file</w:t>
      </w:r>
      <w:r w:rsidR="00E43D2D" w:rsidRPr="008B0A12">
        <w:rPr>
          <w:b/>
        </w:rPr>
        <w:t xml:space="preserve"> </w:t>
      </w:r>
    </w:p>
    <w:p w14:paraId="1F13291B" w14:textId="77777777" w:rsidR="00E43D2D" w:rsidRPr="008B0A12" w:rsidRDefault="00E43D2D" w:rsidP="00111843"/>
    <w:p w14:paraId="10640459" w14:textId="1940555D" w:rsidR="00111843" w:rsidRPr="008B0A12" w:rsidRDefault="00111843" w:rsidP="008B0A12">
      <w:pPr>
        <w:spacing w:line="360" w:lineRule="auto"/>
        <w:ind w:left="720"/>
        <w:rPr>
          <w:sz w:val="22"/>
          <w:szCs w:val="22"/>
        </w:rPr>
      </w:pPr>
      <w:r w:rsidRPr="008B0A12">
        <w:rPr>
          <w:sz w:val="22"/>
          <w:szCs w:val="22"/>
        </w:rPr>
        <w:t>Figures S1 to S</w:t>
      </w:r>
      <w:r w:rsidR="003E2489" w:rsidRPr="008B0A12">
        <w:rPr>
          <w:sz w:val="22"/>
          <w:szCs w:val="22"/>
        </w:rPr>
        <w:t>2</w:t>
      </w:r>
    </w:p>
    <w:p w14:paraId="6807841A" w14:textId="66BF9509" w:rsidR="00111843" w:rsidRPr="008B0A12" w:rsidRDefault="00111843" w:rsidP="008B0A12">
      <w:pPr>
        <w:spacing w:line="360" w:lineRule="auto"/>
        <w:ind w:left="720"/>
        <w:rPr>
          <w:sz w:val="22"/>
          <w:szCs w:val="22"/>
        </w:rPr>
      </w:pPr>
      <w:r w:rsidRPr="008B0A12">
        <w:rPr>
          <w:sz w:val="22"/>
          <w:szCs w:val="22"/>
        </w:rPr>
        <w:t>Tables S1 to S</w:t>
      </w:r>
      <w:r w:rsidR="00B379C2">
        <w:rPr>
          <w:sz w:val="22"/>
          <w:szCs w:val="22"/>
        </w:rPr>
        <w:t>5</w:t>
      </w:r>
      <w:r w:rsidR="00AA76F3" w:rsidRPr="008B0A12">
        <w:rPr>
          <w:sz w:val="22"/>
          <w:szCs w:val="22"/>
        </w:rPr>
        <w:t xml:space="preserve"> </w:t>
      </w:r>
    </w:p>
    <w:p w14:paraId="3F8CCDD1" w14:textId="77777777" w:rsidR="004F5AD3" w:rsidRDefault="004F5AD3" w:rsidP="004F5AD3">
      <w:pPr>
        <w:spacing w:before="100" w:beforeAutospacing="1" w:after="100" w:afterAutospacing="1"/>
        <w:rPr>
          <w:b/>
          <w:bCs/>
          <w:szCs w:val="24"/>
        </w:rPr>
      </w:pPr>
    </w:p>
    <w:p w14:paraId="5560DAA8" w14:textId="77777777" w:rsidR="004F5AD3" w:rsidRDefault="004F5AD3" w:rsidP="004F5AD3">
      <w:pPr>
        <w:spacing w:before="100" w:beforeAutospacing="1" w:after="100" w:afterAutospacing="1"/>
        <w:rPr>
          <w:b/>
          <w:bCs/>
          <w:szCs w:val="24"/>
        </w:rPr>
      </w:pPr>
    </w:p>
    <w:p w14:paraId="03E42308" w14:textId="17C0AAB0" w:rsidR="004F5AD3" w:rsidRDefault="004F5AD3" w:rsidP="004F5AD3">
      <w:pPr>
        <w:spacing w:before="100" w:beforeAutospacing="1" w:after="100" w:afterAutospacing="1"/>
        <w:rPr>
          <w:b/>
          <w:szCs w:val="24"/>
        </w:rPr>
      </w:pPr>
      <w:r w:rsidRPr="008B0A12">
        <w:rPr>
          <w:b/>
          <w:bCs/>
          <w:szCs w:val="24"/>
        </w:rPr>
        <w:lastRenderedPageBreak/>
        <w:t>Introduction</w:t>
      </w:r>
      <w:r w:rsidRPr="008B0A12">
        <w:rPr>
          <w:b/>
          <w:szCs w:val="24"/>
        </w:rPr>
        <w:t xml:space="preserve"> </w:t>
      </w:r>
    </w:p>
    <w:p w14:paraId="41B85B62" w14:textId="48380F8E" w:rsidR="004F5AD3" w:rsidRPr="008B0A12" w:rsidRDefault="004F5AD3" w:rsidP="004F5AD3">
      <w:pPr>
        <w:spacing w:before="100" w:beforeAutospacing="1" w:after="100" w:afterAutospacing="1" w:line="360" w:lineRule="auto"/>
        <w:rPr>
          <w:rStyle w:val="affff5"/>
          <w:b/>
          <w:color w:val="auto"/>
          <w:szCs w:val="24"/>
          <w:u w:val="none"/>
        </w:rPr>
      </w:pPr>
      <w:r w:rsidRPr="008B0A12">
        <w:rPr>
          <w:rFonts w:hint="eastAsia"/>
          <w:szCs w:val="24"/>
        </w:rPr>
        <w:t>This</w:t>
      </w:r>
      <w:r w:rsidRPr="008B0A12">
        <w:rPr>
          <w:szCs w:val="24"/>
        </w:rPr>
        <w:t xml:space="preserve"> Supporting Information file </w:t>
      </w:r>
      <w:r>
        <w:rPr>
          <w:szCs w:val="24"/>
        </w:rPr>
        <w:t xml:space="preserve">contains </w:t>
      </w:r>
      <w:r w:rsidR="00B379C2">
        <w:rPr>
          <w:szCs w:val="24"/>
        </w:rPr>
        <w:t>two</w:t>
      </w:r>
      <w:r w:rsidRPr="008B0A12">
        <w:rPr>
          <w:szCs w:val="24"/>
        </w:rPr>
        <w:t xml:space="preserve"> figures (Figures S1</w:t>
      </w:r>
      <w:r>
        <w:rPr>
          <w:szCs w:val="24"/>
        </w:rPr>
        <w:t>-S</w:t>
      </w:r>
      <w:r w:rsidRPr="008B0A12">
        <w:rPr>
          <w:szCs w:val="24"/>
        </w:rPr>
        <w:t>2)</w:t>
      </w:r>
      <w:r>
        <w:rPr>
          <w:szCs w:val="24"/>
        </w:rPr>
        <w:t xml:space="preserve"> </w:t>
      </w:r>
      <w:r w:rsidRPr="00A21B06">
        <w:rPr>
          <w:szCs w:val="24"/>
        </w:rPr>
        <w:t>supporting the findings of this study</w:t>
      </w:r>
      <w:r>
        <w:rPr>
          <w:szCs w:val="24"/>
        </w:rPr>
        <w:t xml:space="preserve">; </w:t>
      </w:r>
      <w:r w:rsidR="00B379C2">
        <w:rPr>
          <w:szCs w:val="24"/>
        </w:rPr>
        <w:t>five</w:t>
      </w:r>
      <w:r w:rsidRPr="008B0A12">
        <w:rPr>
          <w:szCs w:val="24"/>
        </w:rPr>
        <w:t xml:space="preserve"> tables (Table</w:t>
      </w:r>
      <w:r w:rsidRPr="008B0A12">
        <w:rPr>
          <w:rFonts w:hint="eastAsia"/>
          <w:szCs w:val="24"/>
        </w:rPr>
        <w:t>s</w:t>
      </w:r>
      <w:r w:rsidRPr="008B0A12">
        <w:rPr>
          <w:szCs w:val="24"/>
        </w:rPr>
        <w:t xml:space="preserve"> S</w:t>
      </w:r>
      <w:r>
        <w:rPr>
          <w:szCs w:val="24"/>
        </w:rPr>
        <w:t>1-S</w:t>
      </w:r>
      <w:r w:rsidR="00B379C2">
        <w:rPr>
          <w:szCs w:val="24"/>
        </w:rPr>
        <w:t>5</w:t>
      </w:r>
      <w:r w:rsidRPr="008B0A12">
        <w:rPr>
          <w:szCs w:val="24"/>
        </w:rPr>
        <w:t>)</w:t>
      </w:r>
      <w:r>
        <w:rPr>
          <w:szCs w:val="24"/>
        </w:rPr>
        <w:t xml:space="preserve"> providing </w:t>
      </w:r>
      <w:r w:rsidRPr="00FC4662">
        <w:rPr>
          <w:szCs w:val="24"/>
        </w:rPr>
        <w:t>sample information</w:t>
      </w:r>
      <w:r>
        <w:rPr>
          <w:szCs w:val="24"/>
        </w:rPr>
        <w:t>,</w:t>
      </w:r>
      <w:r w:rsidRPr="00FC4662">
        <w:rPr>
          <w:szCs w:val="24"/>
        </w:rPr>
        <w:t xml:space="preserve"> </w:t>
      </w:r>
      <w:r>
        <w:rPr>
          <w:szCs w:val="24"/>
        </w:rPr>
        <w:t xml:space="preserve">relevant geochemical </w:t>
      </w:r>
      <w:r w:rsidRPr="00FC4662">
        <w:rPr>
          <w:szCs w:val="24"/>
        </w:rPr>
        <w:t>compositions</w:t>
      </w:r>
      <w:r>
        <w:rPr>
          <w:szCs w:val="24"/>
        </w:rPr>
        <w:t>, mantle fluid flux data, He isotope compos</w:t>
      </w:r>
      <w:r w:rsidRPr="005870FC">
        <w:rPr>
          <w:szCs w:val="24"/>
        </w:rPr>
        <w:t xml:space="preserve">ition in </w:t>
      </w:r>
      <w:r w:rsidR="005870FC" w:rsidRPr="005870FC">
        <w:rPr>
          <w:szCs w:val="24"/>
        </w:rPr>
        <w:t>literatures</w:t>
      </w:r>
      <w:r w:rsidR="005870FC" w:rsidRPr="005870FC">
        <w:rPr>
          <w:szCs w:val="24"/>
          <w:lang w:eastAsia="zh-CN"/>
        </w:rPr>
        <w:t xml:space="preserve">, </w:t>
      </w:r>
      <w:r w:rsidR="005870FC" w:rsidRPr="005870FC">
        <w:rPr>
          <w:szCs w:val="24"/>
        </w:rPr>
        <w:t>slip</w:t>
      </w:r>
      <w:r w:rsidR="005870FC">
        <w:rPr>
          <w:szCs w:val="24"/>
        </w:rPr>
        <w:t xml:space="preserve"> rate along the fault </w:t>
      </w:r>
      <w:r w:rsidRPr="008B0A12">
        <w:rPr>
          <w:szCs w:val="24"/>
        </w:rPr>
        <w:t>and references.</w:t>
      </w:r>
    </w:p>
    <w:p w14:paraId="1440DDA0" w14:textId="23D07620" w:rsidR="00585222" w:rsidRPr="00585222" w:rsidRDefault="00585222" w:rsidP="00931444">
      <w:pPr>
        <w:spacing w:before="100" w:beforeAutospacing="1" w:after="100" w:afterAutospacing="1" w:line="360" w:lineRule="auto"/>
        <w:jc w:val="center"/>
        <w:rPr>
          <w:b/>
          <w:bCs/>
          <w:szCs w:val="24"/>
          <w:lang w:eastAsia="zh-CN"/>
        </w:rPr>
      </w:pPr>
      <w:r w:rsidRPr="00585222">
        <w:rPr>
          <w:b/>
          <w:bCs/>
          <w:szCs w:val="24"/>
          <w:lang w:eastAsia="zh-CN"/>
        </w:rPr>
        <w:t>Figures</w:t>
      </w:r>
    </w:p>
    <w:p w14:paraId="0C57F364" w14:textId="3DDB13F3" w:rsidR="00585222" w:rsidRDefault="008401DE" w:rsidP="00207032">
      <w:pPr>
        <w:jc w:val="center"/>
      </w:pPr>
      <w:r>
        <w:rPr>
          <w:noProof/>
        </w:rPr>
        <w:drawing>
          <wp:inline distT="0" distB="0" distL="0" distR="0" wp14:anchorId="6C871D9C" wp14:editId="353D0B9E">
            <wp:extent cx="3873500" cy="24949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092" cy="2496579"/>
                    </a:xfrm>
                    <a:prstGeom prst="rect">
                      <a:avLst/>
                    </a:prstGeom>
                    <a:noFill/>
                    <a:ln>
                      <a:noFill/>
                    </a:ln>
                  </pic:spPr>
                </pic:pic>
              </a:graphicData>
            </a:graphic>
          </wp:inline>
        </w:drawing>
      </w:r>
    </w:p>
    <w:p w14:paraId="252100EC" w14:textId="44E90E42" w:rsidR="00585222" w:rsidRPr="001C4607" w:rsidRDefault="00585222" w:rsidP="004E2C99">
      <w:pPr>
        <w:spacing w:before="120" w:line="360" w:lineRule="auto"/>
        <w:rPr>
          <w:color w:val="000000" w:themeColor="text1"/>
          <w:sz w:val="22"/>
          <w:szCs w:val="22"/>
        </w:rPr>
      </w:pPr>
      <w:r w:rsidRPr="001C4607">
        <w:rPr>
          <w:rFonts w:hint="eastAsia"/>
          <w:b/>
          <w:bCs/>
          <w:sz w:val="22"/>
          <w:szCs w:val="22"/>
        </w:rPr>
        <w:t>F</w:t>
      </w:r>
      <w:r w:rsidRPr="001C4607">
        <w:rPr>
          <w:b/>
          <w:bCs/>
          <w:sz w:val="22"/>
          <w:szCs w:val="22"/>
        </w:rPr>
        <w:t>ig</w:t>
      </w:r>
      <w:r w:rsidRPr="001C4607">
        <w:rPr>
          <w:rFonts w:hint="eastAsia"/>
          <w:b/>
          <w:bCs/>
          <w:sz w:val="22"/>
          <w:szCs w:val="22"/>
        </w:rPr>
        <w:t>ure</w:t>
      </w:r>
      <w:r w:rsidRPr="001C4607">
        <w:rPr>
          <w:b/>
          <w:bCs/>
          <w:sz w:val="22"/>
          <w:szCs w:val="22"/>
        </w:rPr>
        <w:t xml:space="preserve"> S1.</w:t>
      </w:r>
      <w:r w:rsidRPr="001C4607">
        <w:rPr>
          <w:sz w:val="22"/>
          <w:szCs w:val="22"/>
        </w:rPr>
        <w:t xml:space="preserve"> Triangular CO</w:t>
      </w:r>
      <w:r w:rsidRPr="001C4607">
        <w:rPr>
          <w:sz w:val="22"/>
          <w:szCs w:val="22"/>
          <w:vertAlign w:val="subscript"/>
        </w:rPr>
        <w:t>2</w:t>
      </w:r>
      <w:r w:rsidRPr="001C4607">
        <w:rPr>
          <w:sz w:val="22"/>
          <w:szCs w:val="22"/>
        </w:rPr>
        <w:t>-CH</w:t>
      </w:r>
      <w:r w:rsidRPr="001C4607">
        <w:rPr>
          <w:sz w:val="22"/>
          <w:szCs w:val="22"/>
          <w:vertAlign w:val="subscript"/>
        </w:rPr>
        <w:t>4</w:t>
      </w:r>
      <w:r w:rsidRPr="001C4607">
        <w:rPr>
          <w:sz w:val="22"/>
          <w:szCs w:val="22"/>
        </w:rPr>
        <w:t>-N</w:t>
      </w:r>
      <w:r w:rsidRPr="001C4607">
        <w:rPr>
          <w:sz w:val="22"/>
          <w:szCs w:val="22"/>
          <w:vertAlign w:val="subscript"/>
        </w:rPr>
        <w:t xml:space="preserve">2 </w:t>
      </w:r>
      <w:r w:rsidRPr="001C4607">
        <w:rPr>
          <w:sz w:val="22"/>
          <w:szCs w:val="22"/>
        </w:rPr>
        <w:t>(a) and CO</w:t>
      </w:r>
      <w:r w:rsidRPr="001C4607">
        <w:rPr>
          <w:sz w:val="22"/>
          <w:szCs w:val="22"/>
          <w:vertAlign w:val="subscript"/>
        </w:rPr>
        <w:t>2</w:t>
      </w:r>
      <w:r w:rsidRPr="001C4607">
        <w:rPr>
          <w:sz w:val="22"/>
          <w:szCs w:val="22"/>
        </w:rPr>
        <w:t>-O</w:t>
      </w:r>
      <w:r w:rsidRPr="001C4607">
        <w:rPr>
          <w:sz w:val="22"/>
          <w:szCs w:val="22"/>
          <w:vertAlign w:val="subscript"/>
        </w:rPr>
        <w:t>2</w:t>
      </w:r>
      <w:r w:rsidRPr="001C4607">
        <w:rPr>
          <w:sz w:val="22"/>
          <w:szCs w:val="22"/>
        </w:rPr>
        <w:t>-N</w:t>
      </w:r>
      <w:r w:rsidRPr="001C4607">
        <w:rPr>
          <w:sz w:val="22"/>
          <w:szCs w:val="22"/>
          <w:vertAlign w:val="subscript"/>
        </w:rPr>
        <w:t xml:space="preserve">2 </w:t>
      </w:r>
      <w:r w:rsidRPr="001C4607">
        <w:rPr>
          <w:sz w:val="22"/>
          <w:szCs w:val="22"/>
        </w:rPr>
        <w:t>(b)</w:t>
      </w:r>
      <w:r w:rsidRPr="001C4607">
        <w:rPr>
          <w:sz w:val="22"/>
          <w:szCs w:val="22"/>
          <w:vertAlign w:val="subscript"/>
        </w:rPr>
        <w:t xml:space="preserve"> </w:t>
      </w:r>
      <w:r w:rsidRPr="001C4607">
        <w:rPr>
          <w:sz w:val="22"/>
          <w:szCs w:val="22"/>
        </w:rPr>
        <w:t>plot of gas samples along the Y-shaped fault system. The blue line represents a mixing between air and pure CO</w:t>
      </w:r>
      <w:r w:rsidRPr="001C4607">
        <w:rPr>
          <w:sz w:val="22"/>
          <w:szCs w:val="22"/>
          <w:vertAlign w:val="subscript"/>
        </w:rPr>
        <w:t>2</w:t>
      </w:r>
      <w:r w:rsidRPr="001C4607">
        <w:rPr>
          <w:sz w:val="22"/>
          <w:szCs w:val="22"/>
        </w:rPr>
        <w:t xml:space="preserve"> end-member. Filled and open symbols represent data in this study and literature data, respectively. The reported data are </w:t>
      </w:r>
      <w:r w:rsidRPr="001C4607">
        <w:rPr>
          <w:rFonts w:hint="eastAsia"/>
          <w:sz w:val="22"/>
          <w:szCs w:val="22"/>
        </w:rPr>
        <w:t>listed</w:t>
      </w:r>
      <w:r w:rsidRPr="001C4607">
        <w:rPr>
          <w:sz w:val="22"/>
          <w:szCs w:val="22"/>
        </w:rPr>
        <w:t xml:space="preserve"> in Table S1. GYXFS: Yushu-Ganzi-</w:t>
      </w:r>
      <w:proofErr w:type="spellStart"/>
      <w:r w:rsidRPr="001C4607">
        <w:rPr>
          <w:sz w:val="22"/>
          <w:szCs w:val="22"/>
        </w:rPr>
        <w:t>Xianhuihe</w:t>
      </w:r>
      <w:proofErr w:type="spellEnd"/>
      <w:r w:rsidRPr="001C4607">
        <w:rPr>
          <w:sz w:val="22"/>
          <w:szCs w:val="22"/>
        </w:rPr>
        <w:t xml:space="preserve"> fault system; YGXFS (bend): bending segment of Yushu-Ganzi-Xianshuihe fault; ANFS: Anninghe fault system; LMFS: </w:t>
      </w:r>
      <w:proofErr w:type="spellStart"/>
      <w:r w:rsidRPr="001C4607">
        <w:rPr>
          <w:sz w:val="22"/>
          <w:szCs w:val="22"/>
        </w:rPr>
        <w:t>Longmenshan</w:t>
      </w:r>
      <w:proofErr w:type="spellEnd"/>
      <w:r w:rsidRPr="001C4607">
        <w:rPr>
          <w:sz w:val="22"/>
          <w:szCs w:val="22"/>
        </w:rPr>
        <w:t xml:space="preserve"> fault system. </w:t>
      </w:r>
      <w:r w:rsidR="001C4607" w:rsidRPr="001C4607">
        <w:rPr>
          <w:sz w:val="22"/>
          <w:szCs w:val="22"/>
        </w:rPr>
        <w:t>Literature data are from</w:t>
      </w:r>
      <w:r w:rsidR="001C4607">
        <w:rPr>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AuthorYear="1"&gt;&lt;Author&gt;Xu&lt;/Author&gt;&lt;Year&gt;2022&lt;/Year&gt;&lt;RecNum&gt;9795&lt;/RecNum&gt;&lt;DisplayText&gt;Xu et al. (2022)&lt;/DisplayText&gt;&lt;record&gt;&lt;rec-number&gt;9795&lt;/rec-number&gt;&lt;foreign-keys&gt;&lt;key app="EN" db-id="stt0ee5zcrvsd3edxxjpv50vra90sastdeas" timestamp="1631378180"&gt;9795&lt;/key&gt;&lt;/foreign-keys&gt;&lt;ref-type name="Journal Article"&gt;17&lt;/ref-type&gt;&lt;contributors&gt;&lt;authors&gt;&lt;author&gt;Xu, Sheng&lt;/author&gt;&lt;author&gt;Guan, Lufeng&lt;/author&gt;&lt;author&gt;Zhang, Maoliang&lt;/author&gt;&lt;author&gt;Zhong, Jun&lt;/author&gt;&lt;author&gt;Liu, Wei&lt;/author&gt;&lt;author&gt;Xie, Xian’gang&lt;/author&gt;&lt;author&gt;Liu, Congqiang&lt;/author&gt;&lt;author&gt;Takahata, Naoto&lt;/author&gt;&lt;author&gt;Sano, Yuji&lt;/author&gt;&lt;/authors&gt;&lt;/contributors&gt;&lt;titles&gt;&lt;title&gt;&lt;style face="normal" font="default" size="100%"&gt;Degassing of deep-sourced CO&lt;/style&gt;&lt;style face="subscript" font="default" size="100%"&gt;2&lt;/style&gt;&lt;style face="normal" font="default" size="100%"&gt; from Xianshuihe-Anninghe fault zones in the eastern Tibetan Plateau&lt;/style&gt;&lt;/title&gt;&lt;secondary-title&gt;Science China Earth Sciences&lt;/secondary-title&gt;&lt;/titles&gt;&lt;periodical&gt;&lt;full-title&gt;Science China Earth Sciences&lt;/full-title&gt;&lt;/periodical&gt;&lt;pages&gt;139–155&lt;/pages&gt;&lt;volume&gt;65&lt;/volume&gt;&lt;number&gt;1&lt;/number&gt;&lt;dates&gt;&lt;year&gt;2022&lt;/year&gt;&lt;pub-dates&gt;&lt;date&gt;2021/09/06&lt;/date&gt;&lt;/pub-dates&gt;&lt;/dates&gt;&lt;isbn&gt;1869-1897&lt;/isbn&gt;&lt;urls&gt;&lt;related-urls&gt;&lt;url&gt;https://doi.org/10.1007/s11430-021-9810-x&lt;/url&gt;&lt;/related-urls&gt;&lt;/urls&gt;&lt;electronic-resource-num&gt;https://doi.org/10.1007/s11430-021-9810-x&lt;/electronic-resource-num&gt;&lt;/record&gt;&lt;/Cite&gt;&lt;/EndNote&gt;</w:instrText>
      </w:r>
      <w:r w:rsidR="001C4607" w:rsidRPr="009D6413">
        <w:rPr>
          <w:noProof/>
          <w:color w:val="0000FF"/>
          <w:sz w:val="22"/>
          <w:szCs w:val="22"/>
        </w:rPr>
        <w:fldChar w:fldCharType="separate"/>
      </w:r>
      <w:r w:rsidR="001C4607" w:rsidRPr="009D6413">
        <w:rPr>
          <w:noProof/>
          <w:color w:val="0000FF"/>
          <w:sz w:val="22"/>
          <w:szCs w:val="22"/>
        </w:rPr>
        <w:t>Xu et al. (2022)</w:t>
      </w:r>
      <w:r w:rsidR="001C4607" w:rsidRPr="009D6413">
        <w:rPr>
          <w:noProof/>
          <w:color w:val="0000FF"/>
          <w:sz w:val="22"/>
          <w:szCs w:val="22"/>
        </w:rPr>
        <w:fldChar w:fldCharType="end"/>
      </w:r>
      <w:r w:rsidR="001C4607" w:rsidRPr="009D6413">
        <w:rPr>
          <w:color w:val="0070C0"/>
          <w:sz w:val="22"/>
          <w:szCs w:val="22"/>
        </w:rPr>
        <w:t xml:space="preserve"> </w:t>
      </w:r>
      <w:r w:rsidR="001C4607" w:rsidRPr="009D6413">
        <w:rPr>
          <w:sz w:val="22"/>
          <w:szCs w:val="22"/>
        </w:rPr>
        <w:t>and</w:t>
      </w:r>
      <w:r w:rsidR="001C4607" w:rsidRPr="009D6413">
        <w:rPr>
          <w:noProof/>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AuthorYear="1"&gt;&lt;Author&gt;Zhou&lt;/Author&gt;&lt;Year&gt;2017&lt;/Year&gt;&lt;RecNum&gt;10333&lt;/RecNum&gt;&lt;DisplayText&gt;Zhou et al. (2017)&lt;/DisplayText&gt;&lt;record&gt;&lt;rec-number&gt;10333&lt;/rec-number&gt;&lt;foreign-keys&gt;&lt;key app="EN" db-id="stt0ee5zcrvsd3edxxjpv50vra90sastdeas" timestamp="1653170670"&gt;10333&lt;/key&gt;&lt;/foreign-keys&gt;&lt;ref-type name="Journal Article"&gt;17&lt;/ref-type&gt;&lt;contributors&gt;&lt;authors&gt;&lt;author&gt;XiaoCheng Zhou&lt;/author&gt;&lt;author&gt;FengXia Sun&lt;/author&gt;&lt;author&gt;Zhi Chen&lt;/author&gt;&lt;author&gt;ChaoJia Lu&lt;/author&gt;&lt;author&gt;Jing Li&lt;/author&gt;&lt;author&gt;KeTian Wu&lt;/author&gt;&lt;author&gt;JianGuo Du&lt;/author&gt;&lt;/authors&gt;&lt;/contributors&gt;&lt;titles&gt;&lt;title&gt;&lt;style face="normal" font="default" size="100%"&gt;Degassing of CO&lt;/style&gt;&lt;style face="subscript" font="default" size="100%"&gt;2&lt;/style&gt;&lt;style face="normal" font="default" size="100%"&gt;, CH&lt;/style&gt;&lt;style face="subscript" font="default" size="100%"&gt;4&lt;/style&gt;&lt;style face="normal" font="default" size="100%"&gt;, Rn and Hg in the rupture zones produced by Wenchuan Ms 8.0 earthquake&lt;/style&gt;&lt;/title&gt;&lt;secondary-title&gt;Acta Petrologica Sinica&lt;/secondary-title&gt;&lt;/titles&gt;&lt;periodical&gt;&lt;full-title&gt;Acta Petrologica Sinica&lt;/full-title&gt;&lt;/periodical&gt;&lt;pages&gt;291–303&lt;/pages&gt;&lt;volume&gt;33&lt;/volume&gt;&lt;number&gt;1&lt;/number&gt;&lt;dates&gt;&lt;year&gt;2017&lt;/year&gt;&lt;/dates&gt;&lt;isbn&gt;1000-0569&lt;/isbn&gt;&lt;urls&gt;&lt;/urls&gt;&lt;/record&gt;&lt;/Cite&gt;&lt;/EndNote&gt;</w:instrText>
      </w:r>
      <w:r w:rsidR="001C4607" w:rsidRPr="009D6413">
        <w:rPr>
          <w:noProof/>
          <w:color w:val="0000FF"/>
          <w:sz w:val="22"/>
          <w:szCs w:val="22"/>
        </w:rPr>
        <w:fldChar w:fldCharType="separate"/>
      </w:r>
      <w:r w:rsidR="001C4607" w:rsidRPr="009D6413">
        <w:rPr>
          <w:noProof/>
          <w:color w:val="0000FF"/>
          <w:sz w:val="22"/>
          <w:szCs w:val="22"/>
        </w:rPr>
        <w:t>Zhou et al. (2017)</w:t>
      </w:r>
      <w:r w:rsidR="001C4607" w:rsidRPr="009D6413">
        <w:rPr>
          <w:noProof/>
          <w:color w:val="0000FF"/>
          <w:sz w:val="22"/>
          <w:szCs w:val="22"/>
        </w:rPr>
        <w:fldChar w:fldCharType="end"/>
      </w:r>
      <w:r w:rsidR="001C4607" w:rsidRPr="001C4607">
        <w:rPr>
          <w:noProof/>
          <w:sz w:val="22"/>
          <w:szCs w:val="22"/>
        </w:rPr>
        <w:t>.</w:t>
      </w:r>
    </w:p>
    <w:p w14:paraId="23C041DC" w14:textId="518C159D" w:rsidR="00585222" w:rsidRPr="004E2C99" w:rsidRDefault="00585222" w:rsidP="004E2C99">
      <w:pPr>
        <w:rPr>
          <w:color w:val="000000" w:themeColor="text1"/>
        </w:rPr>
      </w:pPr>
      <w:r w:rsidRPr="004E2C99">
        <w:rPr>
          <w:color w:val="000000" w:themeColor="text1"/>
        </w:rPr>
        <w:br w:type="page"/>
      </w:r>
      <w:r w:rsidR="00EE7D7E">
        <w:rPr>
          <w:noProof/>
        </w:rPr>
        <w:lastRenderedPageBreak/>
        <w:drawing>
          <wp:inline distT="0" distB="0" distL="0" distR="0" wp14:anchorId="2D4156C5" wp14:editId="1FFEEB78">
            <wp:extent cx="5486400" cy="265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r>
        <w:rPr>
          <w:noProof/>
        </w:rPr>
        <w:t xml:space="preserve"> </w:t>
      </w:r>
    </w:p>
    <w:p w14:paraId="21AB4900" w14:textId="77777777" w:rsidR="00585222" w:rsidRPr="001C4607" w:rsidRDefault="00585222" w:rsidP="004E2C99">
      <w:pPr>
        <w:spacing w:before="120" w:line="360" w:lineRule="auto"/>
        <w:rPr>
          <w:sz w:val="22"/>
          <w:szCs w:val="22"/>
        </w:rPr>
      </w:pPr>
      <w:r w:rsidRPr="001C4607">
        <w:rPr>
          <w:rFonts w:hint="eastAsia"/>
          <w:b/>
          <w:bCs/>
          <w:sz w:val="22"/>
          <w:szCs w:val="22"/>
        </w:rPr>
        <w:t>F</w:t>
      </w:r>
      <w:r w:rsidRPr="001C4607">
        <w:rPr>
          <w:b/>
          <w:bCs/>
          <w:sz w:val="22"/>
          <w:szCs w:val="22"/>
        </w:rPr>
        <w:t>igure S2.</w:t>
      </w:r>
      <w:r w:rsidRPr="001C4607">
        <w:rPr>
          <w:sz w:val="22"/>
          <w:szCs w:val="22"/>
        </w:rPr>
        <w:t xml:space="preserve"> Variation with latitude of the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He (a),</w:t>
      </w:r>
      <w:r w:rsidRPr="001C4607">
        <w:rPr>
          <w:sz w:val="22"/>
          <w:szCs w:val="22"/>
          <w:vertAlign w:val="superscript"/>
        </w:rPr>
        <w:t xml:space="preserve"> 3</w:t>
      </w:r>
      <w:r w:rsidRPr="001C4607">
        <w:rPr>
          <w:sz w:val="22"/>
          <w:szCs w:val="22"/>
        </w:rPr>
        <w:t>He/</w:t>
      </w:r>
      <w:r w:rsidRPr="001C4607">
        <w:rPr>
          <w:sz w:val="22"/>
          <w:szCs w:val="22"/>
          <w:vertAlign w:val="superscript"/>
        </w:rPr>
        <w:t>4</w:t>
      </w:r>
      <w:r w:rsidRPr="001C4607">
        <w:rPr>
          <w:sz w:val="22"/>
          <w:szCs w:val="22"/>
        </w:rPr>
        <w:t xml:space="preserve">He (b) and </w:t>
      </w:r>
      <w:r w:rsidRPr="001C4607">
        <w:rPr>
          <w:rFonts w:ascii="Calibri" w:hAnsi="Calibri" w:cs="Calibri"/>
          <w:sz w:val="22"/>
          <w:szCs w:val="22"/>
        </w:rPr>
        <w:t>δ</w:t>
      </w:r>
      <w:r w:rsidRPr="001C4607">
        <w:rPr>
          <w:sz w:val="22"/>
          <w:szCs w:val="22"/>
          <w:vertAlign w:val="superscript"/>
        </w:rPr>
        <w:t>13</w:t>
      </w:r>
      <w:r w:rsidRPr="001C4607">
        <w:rPr>
          <w:sz w:val="22"/>
          <w:szCs w:val="22"/>
        </w:rPr>
        <w:t>C</w:t>
      </w:r>
      <w:r w:rsidRPr="001C4607">
        <w:rPr>
          <w:sz w:val="22"/>
          <w:szCs w:val="22"/>
          <w:vertAlign w:val="subscript"/>
        </w:rPr>
        <w:t xml:space="preserve">CO2 </w:t>
      </w:r>
      <w:r w:rsidRPr="001C4607">
        <w:rPr>
          <w:sz w:val="22"/>
          <w:szCs w:val="22"/>
        </w:rPr>
        <w:t xml:space="preserve">(c) ratios of hydrothermal gas from Y-shaped fault system in the ETP. The yellow and blue shading represent the range of crustal </w:t>
      </w:r>
      <w:r w:rsidRPr="001C4607">
        <w:rPr>
          <w:sz w:val="22"/>
          <w:szCs w:val="22"/>
          <w:vertAlign w:val="superscript"/>
        </w:rPr>
        <w:t>3</w:t>
      </w:r>
      <w:r w:rsidRPr="001C4607">
        <w:rPr>
          <w:sz w:val="22"/>
          <w:szCs w:val="22"/>
        </w:rPr>
        <w:t>He/</w:t>
      </w:r>
      <w:r w:rsidRPr="001C4607">
        <w:rPr>
          <w:sz w:val="22"/>
          <w:szCs w:val="22"/>
          <w:vertAlign w:val="superscript"/>
        </w:rPr>
        <w:t>4</w:t>
      </w:r>
      <w:r w:rsidRPr="001C4607">
        <w:rPr>
          <w:sz w:val="22"/>
          <w:szCs w:val="22"/>
        </w:rPr>
        <w:t xml:space="preserve">He ratios </w:t>
      </w:r>
      <w:r w:rsidRPr="001C4607">
        <w:rPr>
          <w:sz w:val="22"/>
          <w:szCs w:val="22"/>
        </w:rPr>
        <w:fldChar w:fldCharType="begin" w:fldLock="1"/>
      </w:r>
      <w:r w:rsidRPr="001C4607">
        <w:rPr>
          <w:sz w:val="22"/>
          <w:szCs w:val="22"/>
        </w:rPr>
        <w:instrText>ADDIN CSL_CITATION {"citationItems":[{"id":"ITEM-1","itemData":{"DOI":"10.2138/rmg.2002.47.13","ISSN":"1529-6466","author":[{"dropping-particle":"","family":"Ballentine","given":"Chris J","non-dropping-particle":"","parse-names":false,"suffix":""},{"dropping-particle":"","family":"Burgess","given":"Ray","non-dropping-particle":"","parse-names":false,"suffix":""},{"dropping-particle":"","family":"Marty","given":"Bernard","non-dropping-particle":"","parse-names":false,"suffix":""}],"container-title":"Reviews in Mineralogy and Geochemistry","id":"ITEM-1","issue":"1","issued":{"date-parts":[["2002","1","1"]]},"page":"539-614","title":"Tracing Fluid Origin, Transport and Interaction in the Crust","type":"article-journal","volume":"47"},"uris":["http://www.mendeley.com/documents/?uuid=727dc070-0321-46d1-85f0-e031749d8ecc"]}],"mendeley":{"formattedCitation":"(Ballentine et al., 2002)","plainTextFormattedCitation":"(Ballentine et al., 2002)","previouslyFormattedCitation":"(Ballentine et al., 2002)"},"properties":{"noteIndex":0},"schema":"https://github.com/citation-style-language/schema/raw/master/csl-citation.json"}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Ballentine et al., 2002</w:t>
      </w:r>
      <w:r w:rsidRPr="001C4607">
        <w:rPr>
          <w:noProof/>
          <w:sz w:val="22"/>
          <w:szCs w:val="22"/>
        </w:rPr>
        <w:t>)</w:t>
      </w:r>
      <w:r w:rsidRPr="001C4607">
        <w:rPr>
          <w:sz w:val="22"/>
          <w:szCs w:val="22"/>
        </w:rPr>
        <w:fldChar w:fldCharType="end"/>
      </w:r>
      <w:r w:rsidRPr="001C4607">
        <w:rPr>
          <w:sz w:val="22"/>
          <w:szCs w:val="22"/>
        </w:rPr>
        <w:t xml:space="preserve"> and carbon isotopic compositions for carbonates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Sano and Marty, 1995</w:t>
      </w:r>
      <w:r w:rsidRPr="001C4607">
        <w:rPr>
          <w:noProof/>
          <w:sz w:val="22"/>
          <w:szCs w:val="22"/>
        </w:rPr>
        <w:t>)</w:t>
      </w:r>
      <w:r w:rsidRPr="001C4607">
        <w:rPr>
          <w:sz w:val="22"/>
          <w:szCs w:val="22"/>
        </w:rPr>
        <w:fldChar w:fldCharType="end"/>
      </w:r>
      <w:r w:rsidRPr="001C4607">
        <w:rPr>
          <w:sz w:val="22"/>
          <w:szCs w:val="22"/>
        </w:rPr>
        <w:t>, respectively. The pink and purple shading represent the range of carbon isotopic compositions and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 xml:space="preserve">He for MORB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arcs","type":"article-journal","volume":"119"},"uris":["http://www.mendeley.com/documents/?uuid=39d91fb4-ae36-4d57-af73-9fd19292460e"]},{"id":"ITEM-2","itemData":{"DOI":"https://doi.org/10.1016/0012-821X(87)90047-1","ISSN":"0012-821X","abstract":"In order to picture C geodynamics past and present, theC3He ratios of the relevant reservoirs are considered. Evaluation of publishedC3He ratio in conjunction with new results for MORB glasses worldwide, suggests that this ratio is unfractionated during magma outgassing, a best estimate being 2 × 109.C3He ratios from other volcanic emissions (hot spots and arcs) do not appear significantly different when the subducted component is omitted. This result permits scaling of the CO2 degassing flux to that of3He and yields a value of 2 × 1012 mol/yr which corresponds to a model degassing duration of 3.9 Gyr when recycling to the mantle is disregarded. A bulk Earth chondritic ratio of about 2 × 109 is calculated, very close to the MORB value. On the other hand the reconstructed exospheric (“Rubey inventory”) value of4 ± 1 × 107 is very different from both basaltic and chondritic values. Among the possible interpretations of these results the following two are retained: (1) CO2 was not released in the early age of the Earth because of the reducing conditions prevailing at that time in the mantle. Formation of the core changed this picture and permitted subsequent degassing of CO2. (2) Carbonates need a continental crust of significant size to become stabilized in the exosphere. Therefore accumulation in the exosphere was delayed until crustal formation. Alternatively, a similar degassing behaviour for both He and CO2 requires a massive recycling of carbonates throughout time. This possibility is in contradiction with the present-day maximum recycling rate and the severe imbalance with the observed outgassing flux on one hand and with the small fraction of carbon now present in the exosphere on the other. We conclude that carbon has never been severely degassed. The mantle acts as a buffer for C and most carbon is still retained there, possibly as graphite (or diamond?) or dissolved in minerals.","author":[{"dropping-particle":"","family":"Marty","given":"B","non-dropping-particle":"","parse-names":false,"suffix":""},{"dropping-particle":"","family":"Jambon","given":"A","non-dropping-particle":"","parse-names":false,"suffix":""}],"container-title":"Earth and Planetary Science Letters","id":"ITEM-2","issue":"1","issued":{"date-parts":[["1987"]]},"page":"16-26","title":"C3He in volatile fluxes from the solid Earth: implications for carbon geodynamics","type":"article-journal","volume":"83"},"uris":["http://www.mendeley.com/documents/?uuid=6ff5be62-3044-4902-b1fd-fc9081b7d8ae"]}],"mendeley":{"formattedCitation":"(Marty and Jambon, 1987; Sano and Marty, 1995)","plainTextFormattedCitation":"(Marty and Jambon, 1987; Sano and Marty, 1995)","previouslyFormattedCitation":"(Marty and Jambon, 1987; 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Marty and Jambon, 1987; Sano and Marty, 1995</w:t>
      </w:r>
      <w:r w:rsidRPr="001C4607">
        <w:rPr>
          <w:noProof/>
          <w:sz w:val="22"/>
          <w:szCs w:val="22"/>
        </w:rPr>
        <w:t>)</w:t>
      </w:r>
      <w:r w:rsidRPr="001C4607">
        <w:rPr>
          <w:sz w:val="22"/>
          <w:szCs w:val="22"/>
        </w:rPr>
        <w:fldChar w:fldCharType="end"/>
      </w:r>
      <w:r w:rsidRPr="001C4607">
        <w:rPr>
          <w:sz w:val="22"/>
          <w:szCs w:val="22"/>
        </w:rPr>
        <w:t>. Data source and symbols are as in Figure S1.</w:t>
      </w:r>
    </w:p>
    <w:p w14:paraId="19886F0B" w14:textId="77777777" w:rsidR="002C030F" w:rsidRPr="00E40896" w:rsidRDefault="002C030F">
      <w:pPr>
        <w:rPr>
          <w:rFonts w:ascii="Myriad Pro" w:hAnsi="Myriad Pro"/>
        </w:rPr>
      </w:pPr>
    </w:p>
    <w:p w14:paraId="657A9A73" w14:textId="77777777" w:rsidR="00931444" w:rsidRPr="004F5AD3" w:rsidRDefault="00931444" w:rsidP="004F5AD3">
      <w:pPr>
        <w:spacing w:before="100" w:beforeAutospacing="1" w:after="100" w:afterAutospacing="1" w:line="360" w:lineRule="auto"/>
        <w:jc w:val="center"/>
        <w:rPr>
          <w:b/>
          <w:bCs/>
          <w:szCs w:val="24"/>
          <w:lang w:eastAsia="zh-CN"/>
        </w:rPr>
      </w:pPr>
      <w:r w:rsidRPr="004F5AD3">
        <w:rPr>
          <w:b/>
          <w:bCs/>
          <w:szCs w:val="24"/>
          <w:lang w:eastAsia="zh-CN"/>
        </w:rPr>
        <w:t>Tables</w:t>
      </w:r>
    </w:p>
    <w:p w14:paraId="2218C341" w14:textId="012F025F" w:rsidR="00015F74" w:rsidRPr="00A409C4" w:rsidRDefault="004F5AD3" w:rsidP="009A4C6B">
      <w:pPr>
        <w:spacing w:line="360" w:lineRule="auto"/>
        <w:rPr>
          <w:rFonts w:ascii="Myriad Pro" w:hAnsi="Myriad Pro"/>
          <w:b/>
          <w:szCs w:val="24"/>
        </w:rPr>
      </w:pPr>
      <w:r w:rsidRPr="00A409C4">
        <w:rPr>
          <w:rFonts w:eastAsia="等线"/>
          <w:b/>
          <w:bCs/>
          <w:color w:val="000000"/>
          <w:szCs w:val="24"/>
        </w:rPr>
        <w:t>Table S1</w:t>
      </w:r>
      <w:r w:rsidRPr="00A409C4">
        <w:rPr>
          <w:rFonts w:eastAsia="等线"/>
          <w:color w:val="000000"/>
          <w:szCs w:val="24"/>
        </w:rPr>
        <w:t xml:space="preserve"> Chemical composition of hydrothermal gas along the Y-shaped fault system </w:t>
      </w:r>
      <w:r w:rsidRPr="00A409C4">
        <w:rPr>
          <w:rFonts w:eastAsia="等线" w:hint="eastAsia"/>
          <w:color w:val="000000"/>
          <w:szCs w:val="24"/>
        </w:rPr>
        <w:t>in</w:t>
      </w:r>
      <w:r w:rsidRPr="00A409C4">
        <w:rPr>
          <w:rFonts w:eastAsia="等线"/>
          <w:color w:val="000000"/>
          <w:szCs w:val="24"/>
        </w:rPr>
        <w:t xml:space="preserve"> the ETP.</w:t>
      </w:r>
      <w:r w:rsidR="009A4C6B" w:rsidRPr="00A409C4">
        <w:rPr>
          <w:szCs w:val="24"/>
        </w:rPr>
        <w:t xml:space="preserve"> </w:t>
      </w:r>
      <w:r w:rsidR="009A4C6B" w:rsidRPr="00A409C4">
        <w:rPr>
          <w:rFonts w:eastAsia="等线"/>
          <w:color w:val="000000"/>
          <w:szCs w:val="24"/>
        </w:rPr>
        <w:t>Shown in Supporting Tables (Files uploaded separately).</w:t>
      </w:r>
    </w:p>
    <w:p w14:paraId="2B074851" w14:textId="67DB0049" w:rsidR="002C030F" w:rsidRPr="00A409C4" w:rsidRDefault="004F5AD3" w:rsidP="009A4C6B">
      <w:pPr>
        <w:spacing w:line="360" w:lineRule="auto"/>
        <w:rPr>
          <w:szCs w:val="24"/>
        </w:rPr>
      </w:pPr>
      <w:r w:rsidRPr="00A409C4">
        <w:rPr>
          <w:b/>
          <w:bCs/>
          <w:szCs w:val="24"/>
        </w:rPr>
        <w:t>Table S2</w:t>
      </w:r>
      <w:r w:rsidRPr="00A409C4">
        <w:rPr>
          <w:szCs w:val="24"/>
        </w:rPr>
        <w:t xml:space="preserve"> Isotopic composition of hydrothermal gas along the Y-shaped fault system in the ETP.</w:t>
      </w:r>
      <w:r w:rsidR="009A4C6B" w:rsidRPr="00A409C4">
        <w:rPr>
          <w:szCs w:val="24"/>
        </w:rPr>
        <w:t xml:space="preserve"> Shown in Supporting Tables (Files uploaded separately).</w:t>
      </w:r>
    </w:p>
    <w:p w14:paraId="1DFA37CC" w14:textId="366B26A9" w:rsidR="0083439D" w:rsidRPr="00A409C4" w:rsidRDefault="0083439D" w:rsidP="0083439D">
      <w:pPr>
        <w:spacing w:line="360" w:lineRule="auto"/>
        <w:rPr>
          <w:szCs w:val="24"/>
        </w:rPr>
      </w:pPr>
      <w:r w:rsidRPr="00A409C4">
        <w:rPr>
          <w:b/>
          <w:bCs/>
          <w:szCs w:val="24"/>
        </w:rPr>
        <w:t>Table S</w:t>
      </w:r>
      <w:r>
        <w:rPr>
          <w:b/>
          <w:bCs/>
          <w:szCs w:val="24"/>
        </w:rPr>
        <w:t>3</w:t>
      </w:r>
      <w:r w:rsidRPr="00A409C4">
        <w:rPr>
          <w:szCs w:val="24"/>
        </w:rPr>
        <w:t xml:space="preserve"> The compiled He-isotope data for geothermal fluids and distance along different strike-slip faults fault in the world. Shown in Supporting Tables (Files uploaded separately).</w:t>
      </w:r>
    </w:p>
    <w:p w14:paraId="516E0BA3" w14:textId="50DF8955" w:rsidR="0020183F" w:rsidRPr="00A409C4" w:rsidRDefault="004F5AD3" w:rsidP="009A4C6B">
      <w:pPr>
        <w:spacing w:line="360" w:lineRule="auto"/>
        <w:rPr>
          <w:color w:val="000000"/>
          <w:szCs w:val="24"/>
        </w:rPr>
      </w:pPr>
      <w:r w:rsidRPr="00A409C4">
        <w:rPr>
          <w:b/>
          <w:bCs/>
          <w:color w:val="000000"/>
          <w:szCs w:val="24"/>
        </w:rPr>
        <w:t>Table S</w:t>
      </w:r>
      <w:r w:rsidR="0083439D">
        <w:rPr>
          <w:b/>
          <w:bCs/>
          <w:color w:val="000000"/>
          <w:szCs w:val="24"/>
        </w:rPr>
        <w:t>4</w:t>
      </w:r>
      <w:r w:rsidRPr="00A409C4">
        <w:rPr>
          <w:color w:val="000000"/>
          <w:szCs w:val="24"/>
        </w:rPr>
        <w:t xml:space="preserve"> Calculation of the mantle fluid flux and using reference parameters in hydrothermal gases along the YGXFS and ANFS.</w:t>
      </w:r>
      <w:r w:rsidR="009A4C6B" w:rsidRPr="00A409C4">
        <w:rPr>
          <w:szCs w:val="24"/>
        </w:rPr>
        <w:t xml:space="preserve"> </w:t>
      </w:r>
      <w:r w:rsidR="009A4C6B" w:rsidRPr="00A409C4">
        <w:rPr>
          <w:color w:val="000000"/>
          <w:szCs w:val="24"/>
        </w:rPr>
        <w:t>Shown in Supporting Tables (Files uploaded separately).</w:t>
      </w:r>
    </w:p>
    <w:p w14:paraId="0103683A" w14:textId="77777777" w:rsidR="00A409C4" w:rsidRDefault="00A409C4" w:rsidP="002A04D0">
      <w:pPr>
        <w:spacing w:line="360" w:lineRule="auto"/>
        <w:rPr>
          <w:b/>
          <w:bCs/>
          <w:szCs w:val="24"/>
        </w:rPr>
      </w:pPr>
    </w:p>
    <w:p w14:paraId="0B8A8891" w14:textId="77777777" w:rsidR="00A409C4" w:rsidRDefault="00A409C4" w:rsidP="002A04D0">
      <w:pPr>
        <w:spacing w:line="360" w:lineRule="auto"/>
        <w:rPr>
          <w:b/>
          <w:bCs/>
          <w:szCs w:val="24"/>
        </w:rPr>
      </w:pPr>
    </w:p>
    <w:p w14:paraId="42AEA6E8" w14:textId="22B81857" w:rsidR="002A04D0" w:rsidRDefault="002A04D0" w:rsidP="002A04D0">
      <w:pPr>
        <w:spacing w:line="360" w:lineRule="auto"/>
        <w:rPr>
          <w:szCs w:val="24"/>
        </w:rPr>
      </w:pPr>
      <w:r w:rsidRPr="009A4C6B">
        <w:rPr>
          <w:rFonts w:hint="eastAsia"/>
          <w:b/>
          <w:bCs/>
          <w:szCs w:val="24"/>
        </w:rPr>
        <w:lastRenderedPageBreak/>
        <w:t>T</w:t>
      </w:r>
      <w:r w:rsidRPr="009A4C6B">
        <w:rPr>
          <w:b/>
          <w:bCs/>
          <w:szCs w:val="24"/>
        </w:rPr>
        <w:t>able S5</w:t>
      </w:r>
      <w:r w:rsidRPr="009A4C6B">
        <w:rPr>
          <w:szCs w:val="24"/>
        </w:rPr>
        <w:t xml:space="preserve"> He isotope of fluids and slip rate along the YGF, XSF and ANF.</w:t>
      </w:r>
    </w:p>
    <w:tbl>
      <w:tblPr>
        <w:tblW w:w="8788" w:type="dxa"/>
        <w:jc w:val="center"/>
        <w:tblLayout w:type="fixed"/>
        <w:tblLook w:val="04A0" w:firstRow="1" w:lastRow="0" w:firstColumn="1" w:lastColumn="0" w:noHBand="0" w:noVBand="1"/>
      </w:tblPr>
      <w:tblGrid>
        <w:gridCol w:w="2835"/>
        <w:gridCol w:w="1559"/>
        <w:gridCol w:w="1290"/>
        <w:gridCol w:w="836"/>
        <w:gridCol w:w="1559"/>
        <w:gridCol w:w="709"/>
      </w:tblGrid>
      <w:tr w:rsidR="004A0B30" w:rsidRPr="00DC2AF2" w14:paraId="45D0A99F" w14:textId="77777777" w:rsidTr="004A0B30">
        <w:trPr>
          <w:trHeight w:val="336"/>
          <w:jc w:val="center"/>
        </w:trPr>
        <w:tc>
          <w:tcPr>
            <w:tcW w:w="2835" w:type="dxa"/>
            <w:tcBorders>
              <w:top w:val="single" w:sz="4" w:space="0" w:color="auto"/>
              <w:left w:val="nil"/>
              <w:bottom w:val="single" w:sz="4" w:space="0" w:color="auto"/>
              <w:right w:val="nil"/>
            </w:tcBorders>
            <w:shd w:val="clear" w:color="auto" w:fill="auto"/>
            <w:noWrap/>
            <w:vAlign w:val="center"/>
            <w:hideMark/>
          </w:tcPr>
          <w:p w14:paraId="391AABBD" w14:textId="77777777" w:rsidR="004A0B30" w:rsidRPr="00DC2AF2" w:rsidRDefault="004A0B30" w:rsidP="00565310">
            <w:pPr>
              <w:jc w:val="center"/>
              <w:rPr>
                <w:rFonts w:eastAsia="等线"/>
                <w:color w:val="000000"/>
                <w:sz w:val="20"/>
              </w:rPr>
            </w:pPr>
            <w:r w:rsidRPr="00DC2AF2">
              <w:rPr>
                <w:rFonts w:eastAsia="等线"/>
                <w:color w:val="000000"/>
                <w:sz w:val="20"/>
              </w:rPr>
              <w:t>Fault</w:t>
            </w:r>
          </w:p>
        </w:tc>
        <w:tc>
          <w:tcPr>
            <w:tcW w:w="1559" w:type="dxa"/>
            <w:tcBorders>
              <w:top w:val="single" w:sz="4" w:space="0" w:color="auto"/>
              <w:left w:val="nil"/>
              <w:bottom w:val="single" w:sz="4" w:space="0" w:color="auto"/>
              <w:right w:val="nil"/>
            </w:tcBorders>
          </w:tcPr>
          <w:p w14:paraId="4F3B3B64" w14:textId="77777777" w:rsidR="004A0B30" w:rsidRPr="00DC2AF2" w:rsidRDefault="004A0B30" w:rsidP="00565310">
            <w:pPr>
              <w:jc w:val="center"/>
              <w:rPr>
                <w:rFonts w:eastAsia="等线"/>
                <w:color w:val="000000"/>
                <w:sz w:val="20"/>
              </w:rPr>
            </w:pPr>
            <w:r w:rsidRPr="00DC2AF2">
              <w:rPr>
                <w:rFonts w:eastAsia="等线"/>
                <w:color w:val="000000"/>
                <w:sz w:val="20"/>
              </w:rPr>
              <w:t>Number of measurements</w:t>
            </w:r>
          </w:p>
        </w:tc>
        <w:tc>
          <w:tcPr>
            <w:tcW w:w="1290" w:type="dxa"/>
            <w:tcBorders>
              <w:top w:val="single" w:sz="4" w:space="0" w:color="auto"/>
              <w:left w:val="nil"/>
              <w:bottom w:val="single" w:sz="4" w:space="0" w:color="auto"/>
              <w:right w:val="nil"/>
            </w:tcBorders>
            <w:shd w:val="clear" w:color="auto" w:fill="auto"/>
            <w:noWrap/>
            <w:vAlign w:val="center"/>
            <w:hideMark/>
          </w:tcPr>
          <w:p w14:paraId="2E623AFA" w14:textId="77777777" w:rsidR="004A0B30" w:rsidRPr="00DC2AF2" w:rsidRDefault="004A0B30" w:rsidP="00565310">
            <w:pPr>
              <w:jc w:val="center"/>
              <w:rPr>
                <w:rFonts w:eastAsia="等线"/>
                <w:color w:val="000000"/>
                <w:sz w:val="20"/>
              </w:rPr>
            </w:pPr>
            <w:r w:rsidRPr="00DC2AF2">
              <w:rPr>
                <w:rFonts w:eastAsia="等线"/>
                <w:color w:val="000000"/>
                <w:sz w:val="20"/>
              </w:rPr>
              <w:t xml:space="preserve">Mean </w:t>
            </w:r>
            <w:proofErr w:type="spellStart"/>
            <w:r w:rsidRPr="00DC2AF2">
              <w:rPr>
                <w:rFonts w:eastAsia="等线"/>
                <w:color w:val="000000"/>
                <w:sz w:val="20"/>
              </w:rPr>
              <w:t>Rc</w:t>
            </w:r>
            <w:proofErr w:type="spellEnd"/>
            <w:r w:rsidRPr="00DC2AF2">
              <w:rPr>
                <w:rFonts w:eastAsia="等线"/>
                <w:color w:val="000000"/>
                <w:sz w:val="20"/>
              </w:rPr>
              <w:t>/Ra</w:t>
            </w:r>
          </w:p>
        </w:tc>
        <w:tc>
          <w:tcPr>
            <w:tcW w:w="836" w:type="dxa"/>
            <w:tcBorders>
              <w:top w:val="single" w:sz="4" w:space="0" w:color="auto"/>
              <w:left w:val="nil"/>
              <w:bottom w:val="single" w:sz="4" w:space="0" w:color="auto"/>
              <w:right w:val="nil"/>
            </w:tcBorders>
            <w:shd w:val="clear" w:color="auto" w:fill="auto"/>
            <w:noWrap/>
            <w:vAlign w:val="center"/>
            <w:hideMark/>
          </w:tcPr>
          <w:p w14:paraId="097D65E3"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c>
          <w:tcPr>
            <w:tcW w:w="1559" w:type="dxa"/>
            <w:tcBorders>
              <w:top w:val="single" w:sz="4" w:space="0" w:color="auto"/>
              <w:left w:val="nil"/>
              <w:bottom w:val="single" w:sz="4" w:space="0" w:color="auto"/>
              <w:right w:val="nil"/>
            </w:tcBorders>
            <w:shd w:val="clear" w:color="auto" w:fill="auto"/>
            <w:noWrap/>
            <w:vAlign w:val="center"/>
            <w:hideMark/>
          </w:tcPr>
          <w:p w14:paraId="2ABA5982" w14:textId="77777777" w:rsidR="004A0B30" w:rsidRPr="00DC2AF2" w:rsidRDefault="004A0B30" w:rsidP="00565310">
            <w:pPr>
              <w:jc w:val="center"/>
              <w:rPr>
                <w:rFonts w:eastAsia="等线"/>
                <w:color w:val="000000"/>
                <w:sz w:val="20"/>
              </w:rPr>
            </w:pPr>
            <w:r w:rsidRPr="00DC2AF2">
              <w:rPr>
                <w:rFonts w:eastAsia="等线"/>
                <w:color w:val="000000"/>
                <w:sz w:val="20"/>
              </w:rPr>
              <w:t>Mean slip-rate (mm/</w:t>
            </w:r>
            <w:proofErr w:type="spellStart"/>
            <w:r w:rsidRPr="00DC2AF2">
              <w:rPr>
                <w:rFonts w:eastAsia="等线"/>
                <w:color w:val="000000"/>
                <w:sz w:val="20"/>
              </w:rPr>
              <w:t>yr</w:t>
            </w:r>
            <w:proofErr w:type="spellEnd"/>
            <w:r w:rsidRPr="00DC2AF2">
              <w:rPr>
                <w:rFonts w:eastAsia="等线"/>
                <w:color w:val="000000"/>
                <w:sz w:val="20"/>
              </w:rPr>
              <w:t>)</w:t>
            </w:r>
          </w:p>
        </w:tc>
        <w:tc>
          <w:tcPr>
            <w:tcW w:w="709" w:type="dxa"/>
            <w:tcBorders>
              <w:top w:val="single" w:sz="4" w:space="0" w:color="auto"/>
              <w:left w:val="nil"/>
              <w:bottom w:val="single" w:sz="4" w:space="0" w:color="auto"/>
              <w:right w:val="nil"/>
            </w:tcBorders>
            <w:shd w:val="clear" w:color="auto" w:fill="auto"/>
            <w:noWrap/>
            <w:vAlign w:val="center"/>
            <w:hideMark/>
          </w:tcPr>
          <w:p w14:paraId="4A0891DD"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r>
      <w:tr w:rsidR="004A0B30" w:rsidRPr="00DC2AF2" w14:paraId="27E77C12"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1080689" w14:textId="77777777" w:rsidR="004A0B30" w:rsidRPr="00DC2AF2" w:rsidRDefault="004A0B30" w:rsidP="00565310">
            <w:pPr>
              <w:jc w:val="center"/>
              <w:rPr>
                <w:rFonts w:eastAsia="等线"/>
                <w:color w:val="000000"/>
                <w:sz w:val="20"/>
              </w:rPr>
            </w:pPr>
            <w:r w:rsidRPr="00DC2AF2">
              <w:rPr>
                <w:rFonts w:eastAsia="等线"/>
                <w:color w:val="000000"/>
                <w:sz w:val="20"/>
              </w:rPr>
              <w:t xml:space="preserve">Yushu-Ganzi faut </w:t>
            </w:r>
          </w:p>
          <w:p w14:paraId="5BEFA470" w14:textId="77777777" w:rsidR="004A0B30" w:rsidRPr="00DC2AF2" w:rsidRDefault="004A0B30" w:rsidP="00565310">
            <w:pPr>
              <w:jc w:val="center"/>
              <w:rPr>
                <w:rFonts w:eastAsia="等线"/>
                <w:color w:val="000000"/>
                <w:sz w:val="20"/>
              </w:rPr>
            </w:pPr>
            <w:r w:rsidRPr="00DC2AF2">
              <w:rPr>
                <w:rFonts w:eastAsia="等线"/>
                <w:color w:val="000000"/>
                <w:sz w:val="20"/>
              </w:rPr>
              <w:t>(YGF)</w:t>
            </w:r>
          </w:p>
        </w:tc>
        <w:tc>
          <w:tcPr>
            <w:tcW w:w="1559" w:type="dxa"/>
            <w:tcBorders>
              <w:top w:val="nil"/>
              <w:left w:val="nil"/>
              <w:bottom w:val="nil"/>
              <w:right w:val="nil"/>
            </w:tcBorders>
            <w:vAlign w:val="center"/>
          </w:tcPr>
          <w:p w14:paraId="13844178"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4</w:t>
            </w:r>
          </w:p>
        </w:tc>
        <w:tc>
          <w:tcPr>
            <w:tcW w:w="1290" w:type="dxa"/>
            <w:tcBorders>
              <w:top w:val="nil"/>
              <w:left w:val="nil"/>
              <w:bottom w:val="nil"/>
              <w:right w:val="nil"/>
            </w:tcBorders>
            <w:shd w:val="clear" w:color="auto" w:fill="auto"/>
            <w:noWrap/>
            <w:vAlign w:val="center"/>
            <w:hideMark/>
          </w:tcPr>
          <w:p w14:paraId="53D057D5" w14:textId="77777777" w:rsidR="004A0B30" w:rsidRPr="00DC2AF2" w:rsidRDefault="004A0B30" w:rsidP="00453DF2">
            <w:pPr>
              <w:jc w:val="center"/>
              <w:rPr>
                <w:rFonts w:eastAsia="等线"/>
                <w:color w:val="000000"/>
                <w:sz w:val="20"/>
              </w:rPr>
            </w:pPr>
            <w:r w:rsidRPr="00DC2AF2">
              <w:rPr>
                <w:rFonts w:eastAsia="等线"/>
                <w:color w:val="000000"/>
                <w:sz w:val="20"/>
              </w:rPr>
              <w:t>0.139</w:t>
            </w:r>
            <w:r w:rsidRPr="00DC2AF2">
              <w:rPr>
                <w:rFonts w:eastAsia="等线"/>
                <w:color w:val="000000"/>
                <w:sz w:val="20"/>
                <w:vertAlign w:val="superscript"/>
              </w:rPr>
              <w:t>a</w:t>
            </w:r>
          </w:p>
        </w:tc>
        <w:tc>
          <w:tcPr>
            <w:tcW w:w="836" w:type="dxa"/>
            <w:tcBorders>
              <w:top w:val="nil"/>
              <w:left w:val="nil"/>
              <w:bottom w:val="nil"/>
              <w:right w:val="nil"/>
            </w:tcBorders>
            <w:shd w:val="clear" w:color="auto" w:fill="auto"/>
            <w:noWrap/>
            <w:vAlign w:val="center"/>
            <w:hideMark/>
          </w:tcPr>
          <w:p w14:paraId="7AC66BE7" w14:textId="77777777" w:rsidR="004A0B30" w:rsidRPr="00DC2AF2" w:rsidRDefault="004A0B30" w:rsidP="00565310">
            <w:pPr>
              <w:jc w:val="center"/>
              <w:rPr>
                <w:rFonts w:eastAsia="等线"/>
                <w:color w:val="000000"/>
                <w:sz w:val="20"/>
              </w:rPr>
            </w:pPr>
            <w:r w:rsidRPr="00DC2AF2">
              <w:rPr>
                <w:rFonts w:eastAsia="等线"/>
                <w:color w:val="000000"/>
                <w:sz w:val="20"/>
              </w:rPr>
              <w:t>0.113</w:t>
            </w:r>
          </w:p>
        </w:tc>
        <w:tc>
          <w:tcPr>
            <w:tcW w:w="1559" w:type="dxa"/>
            <w:tcBorders>
              <w:top w:val="nil"/>
              <w:left w:val="nil"/>
              <w:bottom w:val="nil"/>
              <w:right w:val="nil"/>
            </w:tcBorders>
            <w:shd w:val="clear" w:color="auto" w:fill="auto"/>
            <w:noWrap/>
            <w:vAlign w:val="center"/>
            <w:hideMark/>
          </w:tcPr>
          <w:p w14:paraId="292681D8" w14:textId="19DC8F07" w:rsidR="004A0B30" w:rsidRPr="00DC2AF2" w:rsidRDefault="004A0B30" w:rsidP="00565310">
            <w:pPr>
              <w:jc w:val="center"/>
              <w:rPr>
                <w:rFonts w:eastAsia="等线"/>
                <w:color w:val="000000"/>
                <w:sz w:val="20"/>
              </w:rPr>
            </w:pPr>
            <w:r w:rsidRPr="00DC2AF2">
              <w:rPr>
                <w:rFonts w:eastAsia="等线"/>
                <w:color w:val="000000"/>
                <w:sz w:val="20"/>
              </w:rPr>
              <w:t>7</w:t>
            </w:r>
            <w:r w:rsidR="00453DF2">
              <w:rPr>
                <w:rFonts w:eastAsia="等线"/>
                <w:color w:val="000000"/>
                <w:sz w:val="20"/>
              </w:rPr>
              <w:t>.0</w:t>
            </w:r>
            <w:r w:rsidRPr="00565310">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54FF7F0"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r w:rsidR="004A0B30" w:rsidRPr="00DC2AF2" w14:paraId="5E3CEC70"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68F75C2" w14:textId="77777777" w:rsidR="004A0B30" w:rsidRPr="00DC2AF2" w:rsidRDefault="004A0B30" w:rsidP="00565310">
            <w:pPr>
              <w:jc w:val="center"/>
              <w:rPr>
                <w:rFonts w:eastAsia="等线"/>
                <w:color w:val="000000"/>
                <w:sz w:val="20"/>
              </w:rPr>
            </w:pPr>
            <w:r w:rsidRPr="00DC2AF2">
              <w:rPr>
                <w:rFonts w:eastAsia="等线"/>
                <w:color w:val="000000"/>
                <w:sz w:val="20"/>
              </w:rPr>
              <w:t xml:space="preserve">Xianshuihe fault, </w:t>
            </w:r>
            <w:proofErr w:type="spellStart"/>
            <w:r w:rsidRPr="00DC2AF2">
              <w:rPr>
                <w:rFonts w:eastAsia="等线"/>
                <w:color w:val="000000"/>
                <w:sz w:val="20"/>
              </w:rPr>
              <w:t>Nonthwestern</w:t>
            </w:r>
            <w:proofErr w:type="spellEnd"/>
            <w:r w:rsidRPr="00DC2AF2">
              <w:rPr>
                <w:rFonts w:eastAsia="等线"/>
                <w:color w:val="000000"/>
                <w:sz w:val="20"/>
              </w:rPr>
              <w:t xml:space="preserve"> </w:t>
            </w:r>
          </w:p>
          <w:p w14:paraId="78A58EA8" w14:textId="77777777" w:rsidR="004A0B30" w:rsidRPr="00DC2AF2" w:rsidRDefault="004A0B30" w:rsidP="00565310">
            <w:pPr>
              <w:jc w:val="center"/>
              <w:rPr>
                <w:rFonts w:eastAsia="等线"/>
                <w:color w:val="000000"/>
                <w:sz w:val="20"/>
              </w:rPr>
            </w:pPr>
            <w:r w:rsidRPr="00DC2AF2">
              <w:rPr>
                <w:rFonts w:eastAsia="等线"/>
                <w:color w:val="000000"/>
                <w:sz w:val="20"/>
              </w:rPr>
              <w:t>(XSF-NW)</w:t>
            </w:r>
          </w:p>
        </w:tc>
        <w:tc>
          <w:tcPr>
            <w:tcW w:w="1559" w:type="dxa"/>
            <w:tcBorders>
              <w:top w:val="nil"/>
              <w:left w:val="nil"/>
              <w:bottom w:val="nil"/>
              <w:right w:val="nil"/>
            </w:tcBorders>
            <w:vAlign w:val="center"/>
          </w:tcPr>
          <w:p w14:paraId="025EB48D"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1</w:t>
            </w:r>
          </w:p>
        </w:tc>
        <w:tc>
          <w:tcPr>
            <w:tcW w:w="1290" w:type="dxa"/>
            <w:tcBorders>
              <w:top w:val="nil"/>
              <w:left w:val="nil"/>
              <w:bottom w:val="nil"/>
              <w:right w:val="nil"/>
            </w:tcBorders>
            <w:shd w:val="clear" w:color="auto" w:fill="auto"/>
            <w:noWrap/>
            <w:vAlign w:val="center"/>
            <w:hideMark/>
          </w:tcPr>
          <w:p w14:paraId="06413FE5"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0.28</w:t>
            </w:r>
            <w:r>
              <w:rPr>
                <w:rFonts w:eastAsia="等线"/>
                <w:color w:val="000000"/>
                <w:sz w:val="20"/>
              </w:rPr>
              <w:t>2</w:t>
            </w:r>
            <w:r w:rsidRPr="00DC2AF2">
              <w:rPr>
                <w:rFonts w:eastAsia="等线"/>
                <w:color w:val="000000"/>
                <w:sz w:val="20"/>
                <w:vertAlign w:val="superscript"/>
              </w:rPr>
              <w:t>a,b</w:t>
            </w:r>
            <w:proofErr w:type="gramEnd"/>
            <w:r w:rsidRPr="00DC2AF2">
              <w:rPr>
                <w:rFonts w:eastAsia="等线"/>
                <w:color w:val="000000"/>
                <w:sz w:val="20"/>
                <w:vertAlign w:val="superscript"/>
              </w:rPr>
              <w:t>,c</w:t>
            </w:r>
          </w:p>
        </w:tc>
        <w:tc>
          <w:tcPr>
            <w:tcW w:w="836" w:type="dxa"/>
            <w:tcBorders>
              <w:top w:val="nil"/>
              <w:left w:val="nil"/>
              <w:bottom w:val="nil"/>
              <w:right w:val="nil"/>
            </w:tcBorders>
            <w:shd w:val="clear" w:color="auto" w:fill="auto"/>
            <w:noWrap/>
            <w:vAlign w:val="center"/>
            <w:hideMark/>
          </w:tcPr>
          <w:p w14:paraId="103CF04A" w14:textId="77777777" w:rsidR="004A0B30" w:rsidRPr="00DC2AF2" w:rsidRDefault="004A0B30" w:rsidP="00565310">
            <w:pPr>
              <w:jc w:val="center"/>
              <w:rPr>
                <w:rFonts w:eastAsia="等线"/>
                <w:color w:val="000000"/>
                <w:sz w:val="20"/>
              </w:rPr>
            </w:pPr>
            <w:r w:rsidRPr="00DC2AF2">
              <w:rPr>
                <w:rFonts w:eastAsia="等线"/>
                <w:color w:val="000000"/>
                <w:sz w:val="20"/>
              </w:rPr>
              <w:t>0.1</w:t>
            </w:r>
            <w:r>
              <w:rPr>
                <w:rFonts w:eastAsia="等线"/>
                <w:color w:val="000000"/>
                <w:sz w:val="20"/>
              </w:rPr>
              <w:t>50</w:t>
            </w:r>
          </w:p>
        </w:tc>
        <w:tc>
          <w:tcPr>
            <w:tcW w:w="1559" w:type="dxa"/>
            <w:tcBorders>
              <w:top w:val="nil"/>
              <w:left w:val="nil"/>
              <w:bottom w:val="nil"/>
              <w:right w:val="nil"/>
            </w:tcBorders>
            <w:shd w:val="clear" w:color="auto" w:fill="auto"/>
            <w:noWrap/>
            <w:vAlign w:val="center"/>
            <w:hideMark/>
          </w:tcPr>
          <w:p w14:paraId="0CDB04EB" w14:textId="77777777" w:rsidR="004A0B30" w:rsidRPr="00DC2AF2" w:rsidRDefault="004A0B30" w:rsidP="00565310">
            <w:pPr>
              <w:jc w:val="center"/>
              <w:rPr>
                <w:rFonts w:eastAsia="等线"/>
                <w:color w:val="000000"/>
                <w:sz w:val="20"/>
              </w:rPr>
            </w:pPr>
            <w:r>
              <w:rPr>
                <w:rFonts w:eastAsia="等线"/>
                <w:color w:val="000000"/>
                <w:sz w:val="20"/>
              </w:rPr>
              <w:t>8.4</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9585EE2" w14:textId="77777777" w:rsidR="004A0B30" w:rsidRPr="00DC2AF2" w:rsidRDefault="004A0B30" w:rsidP="00565310">
            <w:pPr>
              <w:jc w:val="center"/>
              <w:rPr>
                <w:rFonts w:eastAsia="等线"/>
                <w:color w:val="000000"/>
                <w:sz w:val="20"/>
              </w:rPr>
            </w:pPr>
            <w:r>
              <w:rPr>
                <w:rFonts w:eastAsia="等线"/>
                <w:color w:val="000000"/>
                <w:sz w:val="20"/>
              </w:rPr>
              <w:t>0.7</w:t>
            </w:r>
          </w:p>
        </w:tc>
      </w:tr>
      <w:tr w:rsidR="004A0B30" w:rsidRPr="00DC2AF2" w14:paraId="351E3955"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2476F3C" w14:textId="77777777" w:rsidR="004A0B30" w:rsidRPr="00DC2AF2" w:rsidRDefault="004A0B30" w:rsidP="00565310">
            <w:pPr>
              <w:jc w:val="center"/>
              <w:rPr>
                <w:rFonts w:eastAsia="等线"/>
                <w:color w:val="000000"/>
                <w:sz w:val="20"/>
              </w:rPr>
            </w:pPr>
            <w:r w:rsidRPr="00DC2AF2">
              <w:rPr>
                <w:rFonts w:eastAsia="等线"/>
                <w:color w:val="000000"/>
                <w:sz w:val="20"/>
              </w:rPr>
              <w:t xml:space="preserve">Xianshuihe fault, Southeastern </w:t>
            </w:r>
          </w:p>
          <w:p w14:paraId="698335DF" w14:textId="77777777" w:rsidR="004A0B30" w:rsidRPr="00DC2AF2" w:rsidRDefault="004A0B30" w:rsidP="00565310">
            <w:pPr>
              <w:jc w:val="center"/>
              <w:rPr>
                <w:rFonts w:eastAsia="等线"/>
                <w:color w:val="000000"/>
                <w:sz w:val="20"/>
              </w:rPr>
            </w:pPr>
            <w:r w:rsidRPr="00DC2AF2">
              <w:rPr>
                <w:rFonts w:eastAsia="等线"/>
                <w:color w:val="000000"/>
                <w:sz w:val="20"/>
              </w:rPr>
              <w:t>(XSF-SE)</w:t>
            </w:r>
          </w:p>
        </w:tc>
        <w:tc>
          <w:tcPr>
            <w:tcW w:w="1559" w:type="dxa"/>
            <w:tcBorders>
              <w:top w:val="nil"/>
              <w:left w:val="nil"/>
              <w:bottom w:val="nil"/>
              <w:right w:val="nil"/>
            </w:tcBorders>
            <w:vAlign w:val="center"/>
          </w:tcPr>
          <w:p w14:paraId="69B6AD7C" w14:textId="77777777" w:rsidR="004A0B30" w:rsidRPr="00DC2AF2" w:rsidRDefault="004A0B30" w:rsidP="00565310">
            <w:pPr>
              <w:jc w:val="center"/>
              <w:rPr>
                <w:rFonts w:eastAsia="等线"/>
                <w:color w:val="000000"/>
                <w:sz w:val="20"/>
              </w:rPr>
            </w:pPr>
            <w:r>
              <w:rPr>
                <w:rFonts w:eastAsia="等线" w:hint="eastAsia"/>
                <w:color w:val="000000"/>
                <w:sz w:val="20"/>
              </w:rPr>
              <w:t>6</w:t>
            </w:r>
          </w:p>
        </w:tc>
        <w:tc>
          <w:tcPr>
            <w:tcW w:w="1290" w:type="dxa"/>
            <w:tcBorders>
              <w:top w:val="nil"/>
              <w:left w:val="nil"/>
              <w:bottom w:val="nil"/>
              <w:right w:val="nil"/>
            </w:tcBorders>
            <w:shd w:val="clear" w:color="auto" w:fill="auto"/>
            <w:noWrap/>
            <w:vAlign w:val="center"/>
            <w:hideMark/>
          </w:tcPr>
          <w:p w14:paraId="202A6975" w14:textId="77777777" w:rsidR="004A0B30" w:rsidRPr="00DC2AF2" w:rsidRDefault="004A0B30" w:rsidP="00453DF2">
            <w:pPr>
              <w:jc w:val="center"/>
              <w:rPr>
                <w:rFonts w:eastAsia="等线"/>
                <w:color w:val="000000"/>
                <w:sz w:val="20"/>
              </w:rPr>
            </w:pPr>
            <w:proofErr w:type="gramStart"/>
            <w:r>
              <w:rPr>
                <w:rFonts w:eastAsia="等线"/>
                <w:color w:val="000000"/>
                <w:sz w:val="20"/>
              </w:rPr>
              <w:t>1.236</w:t>
            </w:r>
            <w:r w:rsidRPr="00DC2AF2">
              <w:rPr>
                <w:rFonts w:eastAsia="等线"/>
                <w:color w:val="000000"/>
                <w:sz w:val="20"/>
                <w:vertAlign w:val="superscript"/>
              </w:rPr>
              <w:t>a,b</w:t>
            </w:r>
            <w:proofErr w:type="gramEnd"/>
          </w:p>
        </w:tc>
        <w:tc>
          <w:tcPr>
            <w:tcW w:w="836" w:type="dxa"/>
            <w:tcBorders>
              <w:top w:val="nil"/>
              <w:left w:val="nil"/>
              <w:bottom w:val="nil"/>
              <w:right w:val="nil"/>
            </w:tcBorders>
            <w:shd w:val="clear" w:color="auto" w:fill="auto"/>
            <w:noWrap/>
            <w:vAlign w:val="center"/>
            <w:hideMark/>
          </w:tcPr>
          <w:p w14:paraId="161C6734" w14:textId="77777777" w:rsidR="004A0B30" w:rsidRPr="00DC2AF2" w:rsidRDefault="004A0B30" w:rsidP="00565310">
            <w:pPr>
              <w:jc w:val="center"/>
              <w:rPr>
                <w:rFonts w:eastAsia="等线"/>
                <w:color w:val="000000"/>
                <w:sz w:val="20"/>
              </w:rPr>
            </w:pPr>
            <w:r w:rsidRPr="00DC2AF2">
              <w:rPr>
                <w:rFonts w:eastAsia="等线"/>
                <w:color w:val="000000"/>
                <w:sz w:val="20"/>
              </w:rPr>
              <w:t>0.</w:t>
            </w:r>
            <w:r>
              <w:rPr>
                <w:rFonts w:eastAsia="等线"/>
                <w:color w:val="000000"/>
                <w:sz w:val="20"/>
              </w:rPr>
              <w:t>381</w:t>
            </w:r>
          </w:p>
        </w:tc>
        <w:tc>
          <w:tcPr>
            <w:tcW w:w="1559" w:type="dxa"/>
            <w:tcBorders>
              <w:top w:val="nil"/>
              <w:left w:val="nil"/>
              <w:bottom w:val="nil"/>
              <w:right w:val="nil"/>
            </w:tcBorders>
            <w:shd w:val="clear" w:color="auto" w:fill="auto"/>
            <w:noWrap/>
            <w:vAlign w:val="center"/>
            <w:hideMark/>
          </w:tcPr>
          <w:p w14:paraId="5AAFE41F" w14:textId="4DF27C7F" w:rsidR="004A0B30" w:rsidRPr="00DC2AF2" w:rsidRDefault="004A0B30" w:rsidP="00565310">
            <w:pPr>
              <w:jc w:val="center"/>
              <w:rPr>
                <w:rFonts w:eastAsia="等线"/>
                <w:color w:val="000000"/>
                <w:sz w:val="20"/>
              </w:rPr>
            </w:pPr>
            <w:r w:rsidRPr="00DC2AF2">
              <w:rPr>
                <w:rFonts w:eastAsia="等线"/>
                <w:color w:val="000000"/>
                <w:sz w:val="20"/>
              </w:rPr>
              <w:t>10</w:t>
            </w:r>
            <w:r w:rsidR="00453DF2">
              <w:rPr>
                <w:rFonts w:eastAsia="等线"/>
                <w:color w:val="000000"/>
                <w:sz w:val="20"/>
              </w:rPr>
              <w:t>.0</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28CF55E0" w14:textId="77777777" w:rsidR="004A0B30" w:rsidRPr="00DC2AF2" w:rsidRDefault="004A0B30" w:rsidP="00565310">
            <w:pPr>
              <w:jc w:val="center"/>
              <w:rPr>
                <w:rFonts w:eastAsia="等线"/>
                <w:color w:val="000000"/>
                <w:sz w:val="20"/>
              </w:rPr>
            </w:pPr>
            <w:r w:rsidRPr="00DC2AF2">
              <w:rPr>
                <w:rFonts w:eastAsia="等线"/>
                <w:color w:val="000000"/>
                <w:sz w:val="20"/>
              </w:rPr>
              <w:t>2</w:t>
            </w:r>
          </w:p>
        </w:tc>
      </w:tr>
      <w:tr w:rsidR="004A0B30" w:rsidRPr="00DC2AF2" w14:paraId="6FA0B9BD"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38A4C3E" w14:textId="77777777" w:rsidR="004A0B30" w:rsidRPr="00DC2AF2" w:rsidRDefault="004A0B30" w:rsidP="00565310">
            <w:pPr>
              <w:jc w:val="center"/>
              <w:rPr>
                <w:rFonts w:eastAsia="等线"/>
                <w:color w:val="000000"/>
                <w:sz w:val="20"/>
              </w:rPr>
            </w:pPr>
            <w:r w:rsidRPr="00DC2AF2">
              <w:rPr>
                <w:rFonts w:eastAsia="等线"/>
                <w:color w:val="000000"/>
                <w:sz w:val="20"/>
              </w:rPr>
              <w:t xml:space="preserve">Xianshuihe fault, </w:t>
            </w:r>
            <w:proofErr w:type="spellStart"/>
            <w:r w:rsidRPr="00DC2AF2">
              <w:rPr>
                <w:rFonts w:eastAsia="等线"/>
                <w:color w:val="000000"/>
                <w:sz w:val="20"/>
              </w:rPr>
              <w:t>Kangding-Moxi</w:t>
            </w:r>
            <w:proofErr w:type="spellEnd"/>
          </w:p>
          <w:p w14:paraId="4B9BC29C" w14:textId="77777777" w:rsidR="004A0B30" w:rsidRPr="00DC2AF2" w:rsidRDefault="004A0B30" w:rsidP="00565310">
            <w:pPr>
              <w:jc w:val="center"/>
              <w:rPr>
                <w:rFonts w:eastAsia="等线"/>
                <w:color w:val="000000"/>
                <w:sz w:val="20"/>
              </w:rPr>
            </w:pPr>
            <w:r w:rsidRPr="00DC2AF2">
              <w:rPr>
                <w:rFonts w:eastAsia="等线"/>
                <w:color w:val="000000"/>
                <w:sz w:val="20"/>
              </w:rPr>
              <w:t xml:space="preserve"> (XSF-KM)</w:t>
            </w:r>
          </w:p>
        </w:tc>
        <w:tc>
          <w:tcPr>
            <w:tcW w:w="1559" w:type="dxa"/>
            <w:tcBorders>
              <w:top w:val="nil"/>
              <w:left w:val="nil"/>
              <w:bottom w:val="nil"/>
              <w:right w:val="nil"/>
            </w:tcBorders>
            <w:vAlign w:val="center"/>
          </w:tcPr>
          <w:p w14:paraId="3185BD94" w14:textId="77777777" w:rsidR="004A0B30" w:rsidRPr="00DC2AF2" w:rsidRDefault="004A0B30" w:rsidP="00565310">
            <w:pPr>
              <w:jc w:val="center"/>
              <w:rPr>
                <w:rFonts w:eastAsia="等线"/>
                <w:color w:val="000000"/>
                <w:sz w:val="20"/>
              </w:rPr>
            </w:pPr>
            <w:r>
              <w:rPr>
                <w:rFonts w:eastAsia="等线" w:hint="eastAsia"/>
                <w:color w:val="000000"/>
                <w:sz w:val="20"/>
              </w:rPr>
              <w:t>3</w:t>
            </w:r>
            <w:r>
              <w:rPr>
                <w:rFonts w:eastAsia="等线"/>
                <w:color w:val="000000"/>
                <w:sz w:val="20"/>
              </w:rPr>
              <w:t>2</w:t>
            </w:r>
          </w:p>
        </w:tc>
        <w:tc>
          <w:tcPr>
            <w:tcW w:w="1290" w:type="dxa"/>
            <w:tcBorders>
              <w:top w:val="nil"/>
              <w:left w:val="nil"/>
              <w:bottom w:val="nil"/>
              <w:right w:val="nil"/>
            </w:tcBorders>
            <w:shd w:val="clear" w:color="auto" w:fill="auto"/>
            <w:noWrap/>
            <w:vAlign w:val="center"/>
            <w:hideMark/>
          </w:tcPr>
          <w:p w14:paraId="72C6A79C"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1.4</w:t>
            </w:r>
            <w:r>
              <w:rPr>
                <w:rFonts w:eastAsia="等线"/>
                <w:color w:val="000000"/>
                <w:sz w:val="20"/>
              </w:rPr>
              <w:t>00</w:t>
            </w:r>
            <w:r w:rsidRPr="00DC2AF2">
              <w:rPr>
                <w:rFonts w:eastAsia="等线"/>
                <w:color w:val="000000"/>
                <w:sz w:val="20"/>
                <w:vertAlign w:val="superscript"/>
              </w:rPr>
              <w:t>a,c</w:t>
            </w:r>
            <w:proofErr w:type="gramEnd"/>
          </w:p>
        </w:tc>
        <w:tc>
          <w:tcPr>
            <w:tcW w:w="836" w:type="dxa"/>
            <w:tcBorders>
              <w:top w:val="nil"/>
              <w:left w:val="nil"/>
              <w:bottom w:val="nil"/>
              <w:right w:val="nil"/>
            </w:tcBorders>
            <w:shd w:val="clear" w:color="auto" w:fill="auto"/>
            <w:noWrap/>
            <w:vAlign w:val="center"/>
            <w:hideMark/>
          </w:tcPr>
          <w:p w14:paraId="4A190B80" w14:textId="77777777" w:rsidR="004A0B30" w:rsidRPr="00DC2AF2" w:rsidRDefault="004A0B30" w:rsidP="00565310">
            <w:pPr>
              <w:jc w:val="center"/>
              <w:rPr>
                <w:rFonts w:eastAsia="等线"/>
                <w:color w:val="000000"/>
                <w:sz w:val="20"/>
              </w:rPr>
            </w:pPr>
            <w:r w:rsidRPr="00DC2AF2">
              <w:rPr>
                <w:rFonts w:eastAsia="等线"/>
                <w:color w:val="000000"/>
                <w:sz w:val="20"/>
              </w:rPr>
              <w:t>0.566</w:t>
            </w:r>
          </w:p>
        </w:tc>
        <w:tc>
          <w:tcPr>
            <w:tcW w:w="1559" w:type="dxa"/>
            <w:tcBorders>
              <w:top w:val="nil"/>
              <w:left w:val="nil"/>
              <w:bottom w:val="nil"/>
              <w:right w:val="nil"/>
            </w:tcBorders>
            <w:shd w:val="clear" w:color="auto" w:fill="auto"/>
            <w:noWrap/>
            <w:vAlign w:val="center"/>
            <w:hideMark/>
          </w:tcPr>
          <w:p w14:paraId="3DDB02D8" w14:textId="77777777" w:rsidR="004A0B30" w:rsidRPr="00DC2AF2" w:rsidRDefault="004A0B30" w:rsidP="00565310">
            <w:pPr>
              <w:jc w:val="center"/>
              <w:rPr>
                <w:rFonts w:eastAsia="等线"/>
                <w:color w:val="000000"/>
                <w:sz w:val="20"/>
              </w:rPr>
            </w:pPr>
            <w:r w:rsidRPr="00DC2AF2">
              <w:rPr>
                <w:rFonts w:eastAsia="等线"/>
                <w:color w:val="000000"/>
                <w:sz w:val="20"/>
              </w:rPr>
              <w:t>11.5</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1608EE0A" w14:textId="77777777" w:rsidR="004A0B30" w:rsidRPr="00DC2AF2" w:rsidRDefault="004A0B30" w:rsidP="00565310">
            <w:pPr>
              <w:jc w:val="center"/>
              <w:rPr>
                <w:rFonts w:eastAsia="等线"/>
                <w:color w:val="000000"/>
                <w:sz w:val="20"/>
              </w:rPr>
            </w:pPr>
            <w:r w:rsidRPr="00DC2AF2">
              <w:rPr>
                <w:rFonts w:eastAsia="等线"/>
                <w:color w:val="000000"/>
                <w:sz w:val="20"/>
              </w:rPr>
              <w:t>1.9</w:t>
            </w:r>
          </w:p>
        </w:tc>
      </w:tr>
      <w:tr w:rsidR="004A0B30" w:rsidRPr="00DC2AF2" w14:paraId="3E8405C7" w14:textId="77777777" w:rsidTr="004A0B30">
        <w:trPr>
          <w:trHeight w:val="336"/>
          <w:jc w:val="center"/>
        </w:trPr>
        <w:tc>
          <w:tcPr>
            <w:tcW w:w="2835" w:type="dxa"/>
            <w:tcBorders>
              <w:top w:val="nil"/>
              <w:left w:val="nil"/>
              <w:bottom w:val="single" w:sz="4" w:space="0" w:color="auto"/>
              <w:right w:val="nil"/>
            </w:tcBorders>
            <w:shd w:val="clear" w:color="auto" w:fill="auto"/>
            <w:noWrap/>
            <w:vAlign w:val="center"/>
            <w:hideMark/>
          </w:tcPr>
          <w:p w14:paraId="04028C23" w14:textId="77777777" w:rsidR="004A0B30" w:rsidRPr="00DC2AF2" w:rsidRDefault="004A0B30" w:rsidP="00565310">
            <w:pPr>
              <w:jc w:val="center"/>
              <w:rPr>
                <w:rFonts w:eastAsia="等线"/>
                <w:color w:val="000000"/>
                <w:sz w:val="20"/>
              </w:rPr>
            </w:pPr>
            <w:r w:rsidRPr="00DC2AF2">
              <w:rPr>
                <w:rFonts w:eastAsia="等线"/>
                <w:color w:val="000000"/>
                <w:sz w:val="20"/>
              </w:rPr>
              <w:t>Anninghe fault (ANF)</w:t>
            </w:r>
          </w:p>
        </w:tc>
        <w:tc>
          <w:tcPr>
            <w:tcW w:w="1559" w:type="dxa"/>
            <w:tcBorders>
              <w:top w:val="nil"/>
              <w:left w:val="nil"/>
              <w:bottom w:val="single" w:sz="4" w:space="0" w:color="auto"/>
              <w:right w:val="nil"/>
            </w:tcBorders>
            <w:vAlign w:val="center"/>
          </w:tcPr>
          <w:p w14:paraId="70C6D395" w14:textId="77777777" w:rsidR="004A0B30" w:rsidRPr="00DC2AF2" w:rsidRDefault="004A0B30" w:rsidP="00565310">
            <w:pPr>
              <w:jc w:val="center"/>
              <w:rPr>
                <w:rFonts w:eastAsia="等线"/>
                <w:color w:val="000000"/>
                <w:sz w:val="20"/>
              </w:rPr>
            </w:pPr>
            <w:r>
              <w:rPr>
                <w:rFonts w:eastAsia="等线" w:hint="eastAsia"/>
                <w:color w:val="000000"/>
                <w:sz w:val="20"/>
              </w:rPr>
              <w:t>1</w:t>
            </w:r>
            <w:r>
              <w:rPr>
                <w:rFonts w:eastAsia="等线"/>
                <w:color w:val="000000"/>
                <w:sz w:val="20"/>
              </w:rPr>
              <w:t>4</w:t>
            </w:r>
          </w:p>
        </w:tc>
        <w:tc>
          <w:tcPr>
            <w:tcW w:w="1290" w:type="dxa"/>
            <w:tcBorders>
              <w:top w:val="nil"/>
              <w:left w:val="nil"/>
              <w:bottom w:val="single" w:sz="4" w:space="0" w:color="auto"/>
              <w:right w:val="nil"/>
            </w:tcBorders>
            <w:shd w:val="clear" w:color="auto" w:fill="auto"/>
            <w:noWrap/>
            <w:vAlign w:val="center"/>
            <w:hideMark/>
          </w:tcPr>
          <w:p w14:paraId="16AFF62A"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0.078</w:t>
            </w:r>
            <w:r w:rsidRPr="00DC2AF2">
              <w:rPr>
                <w:rFonts w:eastAsia="等线"/>
                <w:color w:val="000000"/>
                <w:sz w:val="20"/>
                <w:vertAlign w:val="superscript"/>
              </w:rPr>
              <w:t>a,b</w:t>
            </w:r>
            <w:proofErr w:type="gramEnd"/>
          </w:p>
        </w:tc>
        <w:tc>
          <w:tcPr>
            <w:tcW w:w="836" w:type="dxa"/>
            <w:tcBorders>
              <w:top w:val="nil"/>
              <w:left w:val="nil"/>
              <w:bottom w:val="single" w:sz="4" w:space="0" w:color="auto"/>
              <w:right w:val="nil"/>
            </w:tcBorders>
            <w:shd w:val="clear" w:color="auto" w:fill="auto"/>
            <w:noWrap/>
            <w:vAlign w:val="center"/>
            <w:hideMark/>
          </w:tcPr>
          <w:p w14:paraId="7783669F" w14:textId="77777777" w:rsidR="004A0B30" w:rsidRPr="00DC2AF2" w:rsidRDefault="004A0B30" w:rsidP="00565310">
            <w:pPr>
              <w:jc w:val="center"/>
              <w:rPr>
                <w:rFonts w:eastAsia="等线"/>
                <w:color w:val="000000"/>
                <w:sz w:val="20"/>
              </w:rPr>
            </w:pPr>
            <w:r w:rsidRPr="00DC2AF2">
              <w:rPr>
                <w:rFonts w:eastAsia="等线"/>
                <w:color w:val="000000"/>
                <w:sz w:val="20"/>
              </w:rPr>
              <w:t>0.031</w:t>
            </w:r>
          </w:p>
        </w:tc>
        <w:tc>
          <w:tcPr>
            <w:tcW w:w="1559" w:type="dxa"/>
            <w:tcBorders>
              <w:top w:val="nil"/>
              <w:left w:val="nil"/>
              <w:bottom w:val="single" w:sz="4" w:space="0" w:color="auto"/>
              <w:right w:val="nil"/>
            </w:tcBorders>
            <w:shd w:val="clear" w:color="auto" w:fill="auto"/>
            <w:noWrap/>
            <w:vAlign w:val="center"/>
            <w:hideMark/>
          </w:tcPr>
          <w:p w14:paraId="0704D8E7" w14:textId="77777777" w:rsidR="004A0B30" w:rsidRPr="00DC2AF2" w:rsidRDefault="004A0B30" w:rsidP="00565310">
            <w:pPr>
              <w:jc w:val="center"/>
              <w:rPr>
                <w:rFonts w:eastAsia="等线"/>
                <w:color w:val="000000"/>
                <w:sz w:val="20"/>
              </w:rPr>
            </w:pPr>
            <w:r w:rsidRPr="00DC2AF2">
              <w:rPr>
                <w:rFonts w:eastAsia="等线"/>
                <w:color w:val="000000"/>
                <w:sz w:val="20"/>
              </w:rPr>
              <w:t>6.5</w:t>
            </w:r>
            <w:r>
              <w:rPr>
                <w:rFonts w:eastAsia="等线"/>
                <w:color w:val="000000"/>
                <w:sz w:val="20"/>
                <w:vertAlign w:val="superscript"/>
              </w:rPr>
              <w:t>e</w:t>
            </w:r>
          </w:p>
        </w:tc>
        <w:tc>
          <w:tcPr>
            <w:tcW w:w="709" w:type="dxa"/>
            <w:tcBorders>
              <w:top w:val="nil"/>
              <w:left w:val="nil"/>
              <w:bottom w:val="single" w:sz="4" w:space="0" w:color="auto"/>
              <w:right w:val="nil"/>
            </w:tcBorders>
            <w:shd w:val="clear" w:color="auto" w:fill="auto"/>
            <w:noWrap/>
            <w:vAlign w:val="center"/>
            <w:hideMark/>
          </w:tcPr>
          <w:p w14:paraId="6001C233"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bl>
    <w:p w14:paraId="54B5879E" w14:textId="743979A2" w:rsidR="00B5681C" w:rsidRPr="00A409C4" w:rsidRDefault="004A0B30" w:rsidP="00453DF2">
      <w:pPr>
        <w:spacing w:line="360" w:lineRule="auto"/>
        <w:rPr>
          <w:sz w:val="22"/>
          <w:szCs w:val="22"/>
        </w:rPr>
      </w:pPr>
      <w:r w:rsidRPr="00A409C4">
        <w:rPr>
          <w:sz w:val="22"/>
          <w:szCs w:val="22"/>
        </w:rPr>
        <w:t>The air-corrected He isotope ratio (</w:t>
      </w:r>
      <w:proofErr w:type="spellStart"/>
      <w:r w:rsidRPr="00A409C4">
        <w:rPr>
          <w:sz w:val="22"/>
          <w:szCs w:val="22"/>
        </w:rPr>
        <w:t>Rc</w:t>
      </w:r>
      <w:proofErr w:type="spellEnd"/>
      <w:r w:rsidRPr="00A409C4">
        <w:rPr>
          <w:sz w:val="22"/>
          <w:szCs w:val="22"/>
        </w:rPr>
        <w:t xml:space="preserve">/Ra) are from: this study and </w:t>
      </w:r>
      <w:r w:rsidRPr="00A409C4">
        <w:rPr>
          <w:rFonts w:hint="eastAsia"/>
          <w:sz w:val="22"/>
          <w:szCs w:val="22"/>
          <w:vertAlign w:val="superscript"/>
        </w:rPr>
        <w:t>a</w:t>
      </w:r>
      <w:r w:rsidRPr="00A409C4">
        <w:rPr>
          <w:sz w:val="22"/>
          <w:szCs w:val="22"/>
          <w:vertAlign w:val="superscript"/>
        </w:rPr>
        <w:t xml:space="preserve"> </w:t>
      </w:r>
      <w:r w:rsidRPr="00A409C4">
        <w:rPr>
          <w:color w:val="0000FF"/>
          <w:sz w:val="22"/>
          <w:szCs w:val="22"/>
        </w:rPr>
        <w:t>Zhang et al. (2021)</w:t>
      </w:r>
      <w:r w:rsidRPr="00A409C4">
        <w:rPr>
          <w:rFonts w:hint="eastAsia"/>
          <w:sz w:val="22"/>
          <w:szCs w:val="22"/>
        </w:rPr>
        <w:t>;</w:t>
      </w:r>
      <w:r w:rsidRPr="00A409C4">
        <w:rPr>
          <w:sz w:val="22"/>
          <w:szCs w:val="22"/>
        </w:rPr>
        <w:t xml:space="preserve"> </w:t>
      </w:r>
      <w:proofErr w:type="spellStart"/>
      <w:r w:rsidRPr="00A409C4">
        <w:rPr>
          <w:rFonts w:hint="eastAsia"/>
          <w:sz w:val="22"/>
          <w:szCs w:val="22"/>
          <w:vertAlign w:val="superscript"/>
        </w:rPr>
        <w:t>b</w:t>
      </w:r>
      <w:r w:rsidRPr="00A409C4">
        <w:rPr>
          <w:color w:val="0000FF"/>
          <w:sz w:val="22"/>
          <w:szCs w:val="22"/>
        </w:rPr>
        <w:t>Tian</w:t>
      </w:r>
      <w:proofErr w:type="spellEnd"/>
      <w:r w:rsidRPr="00A409C4">
        <w:rPr>
          <w:color w:val="0000FF"/>
          <w:sz w:val="22"/>
          <w:szCs w:val="22"/>
        </w:rPr>
        <w:t xml:space="preserve"> et al. (2021)</w:t>
      </w:r>
      <w:r w:rsidRPr="00A409C4">
        <w:rPr>
          <w:sz w:val="22"/>
          <w:szCs w:val="22"/>
        </w:rPr>
        <w:t>;</w:t>
      </w:r>
      <w:r w:rsidR="002D79C7" w:rsidRPr="00A409C4">
        <w:rPr>
          <w:rFonts w:hint="eastAsia"/>
          <w:sz w:val="22"/>
          <w:szCs w:val="22"/>
          <w:lang w:eastAsia="zh-CN"/>
        </w:rPr>
        <w:t xml:space="preserve"> </w:t>
      </w:r>
      <w:proofErr w:type="spellStart"/>
      <w:r w:rsidRPr="00A409C4">
        <w:rPr>
          <w:rFonts w:hint="eastAsia"/>
          <w:sz w:val="22"/>
          <w:szCs w:val="22"/>
          <w:vertAlign w:val="superscript"/>
        </w:rPr>
        <w:t>c</w:t>
      </w:r>
      <w:r w:rsidRPr="00A409C4">
        <w:rPr>
          <w:color w:val="0000FF"/>
          <w:sz w:val="22"/>
          <w:szCs w:val="22"/>
        </w:rPr>
        <w:t>Zhou</w:t>
      </w:r>
      <w:proofErr w:type="spellEnd"/>
      <w:r w:rsidRPr="00A409C4">
        <w:rPr>
          <w:color w:val="0000FF"/>
          <w:sz w:val="22"/>
          <w:szCs w:val="22"/>
        </w:rPr>
        <w:t xml:space="preserve"> et al. (2015)</w:t>
      </w:r>
      <w:r w:rsidRPr="00A409C4">
        <w:rPr>
          <w:sz w:val="22"/>
          <w:szCs w:val="22"/>
        </w:rPr>
        <w:t xml:space="preserve">. Slip rates along the YGF, XSF and ANF are from </w:t>
      </w:r>
      <w:proofErr w:type="spellStart"/>
      <w:r w:rsidRPr="00A409C4">
        <w:rPr>
          <w:sz w:val="22"/>
          <w:szCs w:val="22"/>
          <w:vertAlign w:val="superscript"/>
        </w:rPr>
        <w:t>d</w:t>
      </w:r>
      <w:r w:rsidRPr="00A409C4">
        <w:rPr>
          <w:color w:val="0000FF"/>
          <w:sz w:val="22"/>
          <w:szCs w:val="22"/>
        </w:rPr>
        <w:t>Bai</w:t>
      </w:r>
      <w:proofErr w:type="spellEnd"/>
      <w:r w:rsidRPr="00A409C4">
        <w:rPr>
          <w:color w:val="0000FF"/>
          <w:sz w:val="22"/>
          <w:szCs w:val="22"/>
        </w:rPr>
        <w:t xml:space="preserve"> et al. (2021)</w:t>
      </w:r>
      <w:r w:rsidRPr="00A409C4">
        <w:rPr>
          <w:color w:val="0070C0"/>
          <w:sz w:val="22"/>
          <w:szCs w:val="22"/>
        </w:rPr>
        <w:t xml:space="preserve"> </w:t>
      </w:r>
      <w:r w:rsidRPr="00A409C4">
        <w:rPr>
          <w:sz w:val="22"/>
          <w:szCs w:val="22"/>
        </w:rPr>
        <w:t>and reference therein;</w:t>
      </w:r>
      <w:r w:rsidRPr="00A409C4">
        <w:rPr>
          <w:color w:val="0070C0"/>
          <w:sz w:val="22"/>
          <w:szCs w:val="22"/>
        </w:rPr>
        <w:t xml:space="preserve"> </w:t>
      </w:r>
      <w:proofErr w:type="spellStart"/>
      <w:r w:rsidRPr="00A409C4">
        <w:rPr>
          <w:sz w:val="22"/>
          <w:szCs w:val="22"/>
          <w:vertAlign w:val="superscript"/>
        </w:rPr>
        <w:t>e</w:t>
      </w:r>
      <w:r w:rsidRPr="00A409C4">
        <w:rPr>
          <w:color w:val="0000FF"/>
          <w:sz w:val="22"/>
          <w:szCs w:val="22"/>
        </w:rPr>
        <w:t>Zhu</w:t>
      </w:r>
      <w:proofErr w:type="spellEnd"/>
      <w:r w:rsidRPr="00A409C4">
        <w:rPr>
          <w:color w:val="0000FF"/>
          <w:sz w:val="22"/>
          <w:szCs w:val="22"/>
        </w:rPr>
        <w:t xml:space="preserve"> et al. (2016)</w:t>
      </w:r>
      <w:r w:rsidRPr="00A409C4">
        <w:rPr>
          <w:color w:val="0070C0"/>
          <w:sz w:val="22"/>
          <w:szCs w:val="22"/>
        </w:rPr>
        <w:t xml:space="preserve"> </w:t>
      </w:r>
      <w:r w:rsidRPr="00A409C4">
        <w:rPr>
          <w:sz w:val="22"/>
          <w:szCs w:val="22"/>
        </w:rPr>
        <w:t>and reference therein.</w:t>
      </w:r>
    </w:p>
    <w:p w14:paraId="7BF6C717" w14:textId="4540CA25" w:rsidR="00544B24" w:rsidRDefault="00544B24" w:rsidP="00453DF2">
      <w:pPr>
        <w:spacing w:line="360" w:lineRule="auto"/>
        <w:rPr>
          <w:sz w:val="20"/>
        </w:rPr>
      </w:pPr>
    </w:p>
    <w:p w14:paraId="6197D2F8" w14:textId="694C3B28" w:rsidR="00544B24" w:rsidRDefault="00544B24" w:rsidP="00544B24">
      <w:pPr>
        <w:spacing w:before="100" w:beforeAutospacing="1" w:after="100" w:afterAutospacing="1" w:line="360" w:lineRule="auto"/>
        <w:rPr>
          <w:b/>
          <w:bCs/>
          <w:szCs w:val="24"/>
          <w:lang w:eastAsia="zh-CN"/>
        </w:rPr>
      </w:pPr>
      <w:r w:rsidRPr="00544B24">
        <w:rPr>
          <w:rFonts w:hint="eastAsia"/>
          <w:b/>
          <w:bCs/>
          <w:szCs w:val="24"/>
          <w:lang w:eastAsia="zh-CN"/>
        </w:rPr>
        <w:t>Reference</w:t>
      </w:r>
    </w:p>
    <w:p w14:paraId="2C865648" w14:textId="46556CC9" w:rsidR="009518DD" w:rsidRPr="00E266A5" w:rsidRDefault="009518DD" w:rsidP="002D79C7">
      <w:pPr>
        <w:spacing w:line="360" w:lineRule="auto"/>
        <w:ind w:left="440" w:hangingChars="200" w:hanging="440"/>
        <w:rPr>
          <w:sz w:val="22"/>
          <w:szCs w:val="22"/>
        </w:rPr>
      </w:pPr>
      <w:r w:rsidRPr="00E266A5">
        <w:rPr>
          <w:sz w:val="22"/>
          <w:szCs w:val="22"/>
        </w:rPr>
        <w:t xml:space="preserve">Bai, M., Chevalier, M.-L., </w:t>
      </w:r>
      <w:proofErr w:type="spellStart"/>
      <w:r w:rsidRPr="00E266A5">
        <w:rPr>
          <w:sz w:val="22"/>
          <w:szCs w:val="22"/>
        </w:rPr>
        <w:t>Leloup</w:t>
      </w:r>
      <w:proofErr w:type="spellEnd"/>
      <w:r w:rsidRPr="00E266A5">
        <w:rPr>
          <w:sz w:val="22"/>
          <w:szCs w:val="22"/>
        </w:rPr>
        <w:t xml:space="preserve">, P. H., Li, H., Pan, J., </w:t>
      </w:r>
      <w:r w:rsidR="00980CF6">
        <w:rPr>
          <w:sz w:val="22"/>
          <w:szCs w:val="22"/>
        </w:rPr>
        <w:t xml:space="preserve">&amp; </w:t>
      </w:r>
      <w:proofErr w:type="spellStart"/>
      <w:r w:rsidRPr="00E266A5">
        <w:rPr>
          <w:sz w:val="22"/>
          <w:szCs w:val="22"/>
        </w:rPr>
        <w:t>Replumaz</w:t>
      </w:r>
      <w:proofErr w:type="spellEnd"/>
      <w:r w:rsidRPr="00E266A5">
        <w:rPr>
          <w:sz w:val="22"/>
          <w:szCs w:val="22"/>
        </w:rPr>
        <w:t xml:space="preserve">, A., et al. </w:t>
      </w:r>
      <w:r w:rsidR="00980CF6">
        <w:rPr>
          <w:sz w:val="22"/>
          <w:szCs w:val="22"/>
        </w:rPr>
        <w:t>(</w:t>
      </w:r>
      <w:r w:rsidRPr="00E266A5">
        <w:rPr>
          <w:sz w:val="22"/>
          <w:szCs w:val="22"/>
        </w:rPr>
        <w:t>2021</w:t>
      </w:r>
      <w:r w:rsidR="00980CF6">
        <w:rPr>
          <w:sz w:val="22"/>
          <w:szCs w:val="22"/>
        </w:rPr>
        <w:t>)</w:t>
      </w:r>
      <w:r w:rsidRPr="00E266A5">
        <w:rPr>
          <w:sz w:val="22"/>
          <w:szCs w:val="22"/>
        </w:rPr>
        <w:t>. Spatial slip rate distribution along the SE Xianshuihe fault, eastern Tibet, and earthquake hazard assessment. Tectonics, 40, e2021TC006985.</w:t>
      </w:r>
    </w:p>
    <w:p w14:paraId="2C44749D" w14:textId="36AFE162"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Ballentine, C.J., Burgess, R., </w:t>
      </w:r>
      <w:r w:rsidR="00980CF6">
        <w:rPr>
          <w:sz w:val="22"/>
          <w:szCs w:val="22"/>
          <w:lang w:eastAsia="zh-CN"/>
        </w:rPr>
        <w:t xml:space="preserve">&amp; </w:t>
      </w:r>
      <w:r w:rsidRPr="00E266A5">
        <w:rPr>
          <w:sz w:val="22"/>
          <w:szCs w:val="22"/>
          <w:lang w:eastAsia="zh-CN"/>
        </w:rPr>
        <w:t xml:space="preserve">Marty, B. </w:t>
      </w:r>
      <w:r w:rsidR="00980CF6">
        <w:rPr>
          <w:sz w:val="22"/>
          <w:szCs w:val="22"/>
          <w:lang w:eastAsia="zh-CN"/>
        </w:rPr>
        <w:t>(</w:t>
      </w:r>
      <w:r w:rsidRPr="00E266A5">
        <w:rPr>
          <w:sz w:val="22"/>
          <w:szCs w:val="22"/>
          <w:lang w:eastAsia="zh-CN"/>
        </w:rPr>
        <w:t>2002</w:t>
      </w:r>
      <w:r w:rsidR="00980CF6">
        <w:rPr>
          <w:sz w:val="22"/>
          <w:szCs w:val="22"/>
          <w:lang w:eastAsia="zh-CN"/>
        </w:rPr>
        <w:t>)</w:t>
      </w:r>
      <w:r w:rsidRPr="00E266A5">
        <w:rPr>
          <w:sz w:val="22"/>
          <w:szCs w:val="22"/>
          <w:lang w:eastAsia="zh-CN"/>
        </w:rPr>
        <w:t>. Tracing fluid origin, transport and interaction in the crust. Rev. Mineral. Geochemistry 47, 539–614.</w:t>
      </w:r>
    </w:p>
    <w:p w14:paraId="59334D9E" w14:textId="69731A19" w:rsidR="002D79C7" w:rsidRPr="00E266A5" w:rsidRDefault="002D79C7" w:rsidP="002D79C7">
      <w:pPr>
        <w:spacing w:line="360" w:lineRule="auto"/>
        <w:ind w:left="440" w:hangingChars="200" w:hanging="440"/>
        <w:rPr>
          <w:sz w:val="22"/>
          <w:szCs w:val="22"/>
          <w:lang w:eastAsia="zh-CN"/>
        </w:rPr>
      </w:pPr>
      <w:r w:rsidRPr="00E266A5">
        <w:rPr>
          <w:sz w:val="22"/>
          <w:szCs w:val="22"/>
          <w:lang w:eastAsia="zh-CN"/>
        </w:rPr>
        <w:t xml:space="preserve">Marty, B. </w:t>
      </w:r>
      <w:r w:rsidR="00980CF6">
        <w:rPr>
          <w:sz w:val="22"/>
          <w:szCs w:val="22"/>
          <w:lang w:eastAsia="zh-CN"/>
        </w:rPr>
        <w:t xml:space="preserve">&amp; </w:t>
      </w:r>
      <w:r w:rsidRPr="00E266A5">
        <w:rPr>
          <w:sz w:val="22"/>
          <w:szCs w:val="22"/>
          <w:lang w:eastAsia="zh-CN"/>
        </w:rPr>
        <w:t xml:space="preserve">Jambon, A. </w:t>
      </w:r>
      <w:r w:rsidR="00980CF6">
        <w:rPr>
          <w:sz w:val="22"/>
          <w:szCs w:val="22"/>
          <w:lang w:eastAsia="zh-CN"/>
        </w:rPr>
        <w:t>(</w:t>
      </w:r>
      <w:r w:rsidRPr="00E266A5">
        <w:rPr>
          <w:sz w:val="22"/>
          <w:szCs w:val="22"/>
          <w:lang w:eastAsia="zh-CN"/>
        </w:rPr>
        <w:t>1987</w:t>
      </w:r>
      <w:r w:rsidR="00980CF6">
        <w:rPr>
          <w:sz w:val="22"/>
          <w:szCs w:val="22"/>
          <w:lang w:eastAsia="zh-CN"/>
        </w:rPr>
        <w:t>)</w:t>
      </w:r>
      <w:r w:rsidRPr="00E266A5">
        <w:rPr>
          <w:sz w:val="22"/>
          <w:szCs w:val="22"/>
          <w:lang w:eastAsia="zh-CN"/>
        </w:rPr>
        <w:t>. C3He in volatile fluxes from the solid Earth: implications for carbon geodynamics. Earth Planet. Sci. Lett. 83, 16–26.</w:t>
      </w:r>
    </w:p>
    <w:p w14:paraId="60ABFE61" w14:textId="12D74BB8"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Sano, Y. </w:t>
      </w:r>
      <w:r w:rsidR="00980CF6">
        <w:rPr>
          <w:sz w:val="22"/>
          <w:szCs w:val="22"/>
          <w:lang w:eastAsia="zh-CN"/>
        </w:rPr>
        <w:t>&amp;</w:t>
      </w:r>
      <w:r w:rsidRPr="00E266A5">
        <w:rPr>
          <w:sz w:val="22"/>
          <w:szCs w:val="22"/>
          <w:lang w:eastAsia="zh-CN"/>
        </w:rPr>
        <w:t xml:space="preserve"> Marty, B. </w:t>
      </w:r>
      <w:r w:rsidR="00E266A5">
        <w:rPr>
          <w:sz w:val="22"/>
          <w:szCs w:val="22"/>
          <w:lang w:eastAsia="zh-CN"/>
        </w:rPr>
        <w:t>(</w:t>
      </w:r>
      <w:r w:rsidRPr="00E266A5">
        <w:rPr>
          <w:sz w:val="22"/>
          <w:szCs w:val="22"/>
          <w:lang w:eastAsia="zh-CN"/>
        </w:rPr>
        <w:t>1995</w:t>
      </w:r>
      <w:r w:rsidR="00E266A5">
        <w:rPr>
          <w:sz w:val="22"/>
          <w:szCs w:val="22"/>
          <w:lang w:eastAsia="zh-CN"/>
        </w:rPr>
        <w:t>)</w:t>
      </w:r>
      <w:r w:rsidRPr="00E266A5">
        <w:rPr>
          <w:sz w:val="22"/>
          <w:szCs w:val="22"/>
          <w:lang w:eastAsia="zh-CN"/>
        </w:rPr>
        <w:t>. Origin of carbon in fumarolic gas from island arcs. Chem. Geol. 119, 265–274.</w:t>
      </w:r>
    </w:p>
    <w:p w14:paraId="35F12D21" w14:textId="270E5AE0" w:rsidR="00E266A5" w:rsidRPr="00E266A5" w:rsidRDefault="00E266A5" w:rsidP="00E266A5">
      <w:pPr>
        <w:spacing w:line="360" w:lineRule="auto"/>
        <w:ind w:left="440" w:hangingChars="200" w:hanging="440"/>
        <w:rPr>
          <w:sz w:val="22"/>
          <w:szCs w:val="22"/>
          <w:lang w:eastAsia="zh-CN"/>
        </w:rPr>
      </w:pPr>
      <w:r w:rsidRPr="00E266A5">
        <w:rPr>
          <w:sz w:val="22"/>
          <w:szCs w:val="22"/>
          <w:lang w:eastAsia="zh-CN"/>
        </w:rPr>
        <w:t xml:space="preserve">Tian, J., Pang, Z.H., Liao, D.W., </w:t>
      </w:r>
      <w:r w:rsidR="00980CF6">
        <w:rPr>
          <w:sz w:val="22"/>
          <w:szCs w:val="22"/>
          <w:lang w:eastAsia="zh-CN"/>
        </w:rPr>
        <w:t xml:space="preserve">&amp; </w:t>
      </w:r>
      <w:r w:rsidRPr="00E266A5">
        <w:rPr>
          <w:sz w:val="22"/>
          <w:szCs w:val="22"/>
          <w:lang w:eastAsia="zh-CN"/>
        </w:rPr>
        <w:t xml:space="preserve">Zhou, X.C. </w:t>
      </w:r>
      <w:r>
        <w:rPr>
          <w:sz w:val="22"/>
          <w:szCs w:val="22"/>
          <w:lang w:eastAsia="zh-CN"/>
        </w:rPr>
        <w:t>(</w:t>
      </w:r>
      <w:r w:rsidRPr="00E266A5">
        <w:rPr>
          <w:sz w:val="22"/>
          <w:szCs w:val="22"/>
          <w:lang w:eastAsia="zh-CN"/>
        </w:rPr>
        <w:t>2021</w:t>
      </w:r>
      <w:r>
        <w:rPr>
          <w:sz w:val="22"/>
          <w:szCs w:val="22"/>
          <w:lang w:eastAsia="zh-CN"/>
        </w:rPr>
        <w:t>)</w:t>
      </w:r>
      <w:r w:rsidRPr="00E266A5">
        <w:rPr>
          <w:sz w:val="22"/>
          <w:szCs w:val="22"/>
          <w:lang w:eastAsia="zh-CN"/>
        </w:rPr>
        <w:t>. Fluid geochemistry and its implications on the role of deep faults in the genesis of high temperature systems in the eastern edge of the Qinghai Tibet Plateau. Appl. Geochemistry. 131, 105036.</w:t>
      </w:r>
    </w:p>
    <w:p w14:paraId="0F8BB401" w14:textId="2F978ED4"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Xu, S., Guan, L., Zhang, M., Zhong, J., Liu, W., Xie, X., Liu, C., Takahata, N., </w:t>
      </w:r>
      <w:r w:rsidR="00980CF6">
        <w:rPr>
          <w:noProof/>
          <w:sz w:val="22"/>
          <w:szCs w:val="22"/>
        </w:rPr>
        <w:t xml:space="preserve">&amp; </w:t>
      </w:r>
      <w:r w:rsidRPr="00E266A5">
        <w:rPr>
          <w:noProof/>
          <w:sz w:val="22"/>
          <w:szCs w:val="22"/>
        </w:rPr>
        <w:t>Sano, Y.</w:t>
      </w:r>
      <w:r w:rsidR="00980CF6">
        <w:rPr>
          <w:noProof/>
          <w:sz w:val="22"/>
          <w:szCs w:val="22"/>
        </w:rPr>
        <w:t xml:space="preserve"> </w:t>
      </w:r>
      <w:r>
        <w:rPr>
          <w:noProof/>
          <w:sz w:val="22"/>
          <w:szCs w:val="22"/>
        </w:rPr>
        <w:t>(</w:t>
      </w:r>
      <w:r w:rsidRPr="00E266A5">
        <w:rPr>
          <w:noProof/>
          <w:sz w:val="22"/>
          <w:szCs w:val="22"/>
        </w:rPr>
        <w:t>2022</w:t>
      </w:r>
      <w:r>
        <w:rPr>
          <w:noProof/>
          <w:sz w:val="22"/>
          <w:szCs w:val="22"/>
        </w:rPr>
        <w:t>)</w:t>
      </w:r>
      <w:r w:rsidRPr="00E266A5">
        <w:rPr>
          <w:noProof/>
          <w:sz w:val="22"/>
          <w:szCs w:val="22"/>
        </w:rPr>
        <w:t>. Degassing of deep-sourced CO</w:t>
      </w:r>
      <w:r w:rsidRPr="00E266A5">
        <w:rPr>
          <w:noProof/>
          <w:sz w:val="22"/>
          <w:szCs w:val="22"/>
          <w:vertAlign w:val="subscript"/>
        </w:rPr>
        <w:t>2</w:t>
      </w:r>
      <w:r w:rsidRPr="00E266A5">
        <w:rPr>
          <w:noProof/>
          <w:sz w:val="22"/>
          <w:szCs w:val="22"/>
        </w:rPr>
        <w:t xml:space="preserve"> from Xianshuihe-Anninghe fault zones in the eastern Tibetan Plateau. Sci. China Earth Sci. 65, 139–155.</w:t>
      </w:r>
    </w:p>
    <w:p w14:paraId="34DDC4DC" w14:textId="15A58C3D"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Zhang, M., Guo, Z., Xu, S., Barry, P.H., Sano, Y., Zhang, L., Halldórsson, S.A., Chen, A. T., Cheng, Z., Liu, C.Q., Li, S.L., Lang, Y.C., Zheng, G., Li, Z., Li, L., </w:t>
      </w:r>
      <w:r w:rsidR="00980CF6">
        <w:rPr>
          <w:sz w:val="22"/>
          <w:szCs w:val="22"/>
          <w:lang w:eastAsia="zh-CN"/>
        </w:rPr>
        <w:t xml:space="preserve">&amp; </w:t>
      </w:r>
      <w:r w:rsidRPr="00E266A5">
        <w:rPr>
          <w:sz w:val="22"/>
          <w:szCs w:val="22"/>
          <w:lang w:eastAsia="zh-CN"/>
        </w:rPr>
        <w:t xml:space="preserve">Li Y. </w:t>
      </w:r>
      <w:r w:rsidR="00980CF6">
        <w:rPr>
          <w:sz w:val="22"/>
          <w:szCs w:val="22"/>
          <w:lang w:eastAsia="zh-CN"/>
        </w:rPr>
        <w:t>(</w:t>
      </w:r>
      <w:r w:rsidRPr="00E266A5">
        <w:rPr>
          <w:sz w:val="22"/>
          <w:szCs w:val="22"/>
          <w:lang w:eastAsia="zh-CN"/>
        </w:rPr>
        <w:t>2021</w:t>
      </w:r>
      <w:r w:rsidR="00980CF6">
        <w:rPr>
          <w:sz w:val="22"/>
          <w:szCs w:val="22"/>
          <w:lang w:eastAsia="zh-CN"/>
        </w:rPr>
        <w:t>)</w:t>
      </w:r>
      <w:r w:rsidRPr="00E266A5">
        <w:rPr>
          <w:sz w:val="22"/>
          <w:szCs w:val="22"/>
          <w:lang w:eastAsia="zh-CN"/>
        </w:rPr>
        <w:t xml:space="preserve">. Linking deeply-sourced volatile emissions to plateau growth dynamics in southeastern Tibetan Plateau. Nat. </w:t>
      </w:r>
      <w:proofErr w:type="spellStart"/>
      <w:r w:rsidRPr="00E266A5">
        <w:rPr>
          <w:sz w:val="22"/>
          <w:szCs w:val="22"/>
          <w:lang w:eastAsia="zh-CN"/>
        </w:rPr>
        <w:t>Commun</w:t>
      </w:r>
      <w:proofErr w:type="spellEnd"/>
      <w:r w:rsidRPr="00E266A5">
        <w:rPr>
          <w:sz w:val="22"/>
          <w:szCs w:val="22"/>
          <w:lang w:eastAsia="zh-CN"/>
        </w:rPr>
        <w:t>. 12, 1–10.</w:t>
      </w:r>
    </w:p>
    <w:p w14:paraId="59EDAB3F" w14:textId="7D687AF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lastRenderedPageBreak/>
        <w:t xml:space="preserve">Zhou, X., Wang, W., Chen, Z., Yi, L., Liu, L., Xie, C., Cui, Y., Du, J., Cheng, J., </w:t>
      </w:r>
      <w:r w:rsidR="00980CF6">
        <w:rPr>
          <w:sz w:val="22"/>
          <w:szCs w:val="22"/>
          <w:lang w:eastAsia="zh-CN"/>
        </w:rPr>
        <w:t xml:space="preserve">&amp; </w:t>
      </w:r>
      <w:r w:rsidRPr="00E266A5">
        <w:rPr>
          <w:sz w:val="22"/>
          <w:szCs w:val="22"/>
          <w:lang w:eastAsia="zh-CN"/>
        </w:rPr>
        <w:t xml:space="preserve">Yang, L. </w:t>
      </w:r>
      <w:r w:rsidR="00980CF6">
        <w:rPr>
          <w:sz w:val="22"/>
          <w:szCs w:val="22"/>
          <w:lang w:eastAsia="zh-CN"/>
        </w:rPr>
        <w:t>(</w:t>
      </w:r>
      <w:r w:rsidRPr="00E266A5">
        <w:rPr>
          <w:sz w:val="22"/>
          <w:szCs w:val="22"/>
          <w:lang w:eastAsia="zh-CN"/>
        </w:rPr>
        <w:t>2015</w:t>
      </w:r>
      <w:r w:rsidR="00980CF6">
        <w:rPr>
          <w:sz w:val="22"/>
          <w:szCs w:val="22"/>
          <w:lang w:eastAsia="zh-CN"/>
        </w:rPr>
        <w:t>)</w:t>
      </w:r>
      <w:r w:rsidRPr="00E266A5">
        <w:rPr>
          <w:sz w:val="22"/>
          <w:szCs w:val="22"/>
          <w:lang w:eastAsia="zh-CN"/>
        </w:rPr>
        <w:t xml:space="preserve">. Hot Spring Gas Geochemistry in Western Sichuan Province, China After the Wenchuan </w:t>
      </w:r>
      <w:proofErr w:type="spellStart"/>
      <w:r w:rsidRPr="00E266A5">
        <w:rPr>
          <w:sz w:val="22"/>
          <w:szCs w:val="22"/>
          <w:lang w:eastAsia="zh-CN"/>
        </w:rPr>
        <w:t>Ms</w:t>
      </w:r>
      <w:proofErr w:type="spellEnd"/>
      <w:r w:rsidRPr="00E266A5">
        <w:rPr>
          <w:sz w:val="22"/>
          <w:szCs w:val="22"/>
          <w:lang w:eastAsia="zh-CN"/>
        </w:rPr>
        <w:t xml:space="preserve"> 8.0 Earthquake. Terr. Atmos. Ocean. Sci. 26, 361–373.</w:t>
      </w:r>
    </w:p>
    <w:p w14:paraId="7F359392" w14:textId="5057415A"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Zhou, X., Sun, F.X., Chen, Z., Lü, C.J., Li, J., Wu, K.T., </w:t>
      </w:r>
      <w:r w:rsidR="00980CF6">
        <w:rPr>
          <w:noProof/>
          <w:sz w:val="22"/>
          <w:szCs w:val="22"/>
        </w:rPr>
        <w:t xml:space="preserve">&amp; </w:t>
      </w:r>
      <w:r w:rsidRPr="00E266A5">
        <w:rPr>
          <w:noProof/>
          <w:sz w:val="22"/>
          <w:szCs w:val="22"/>
        </w:rPr>
        <w:t>Du, J.</w:t>
      </w:r>
      <w:r w:rsidR="00980CF6">
        <w:rPr>
          <w:noProof/>
          <w:sz w:val="22"/>
          <w:szCs w:val="22"/>
        </w:rPr>
        <w:t xml:space="preserve"> </w:t>
      </w:r>
      <w:r w:rsidRPr="00E266A5">
        <w:rPr>
          <w:noProof/>
          <w:sz w:val="22"/>
          <w:szCs w:val="22"/>
        </w:rPr>
        <w:t>(2017). Degassing of CO</w:t>
      </w:r>
      <w:r w:rsidRPr="00E266A5">
        <w:rPr>
          <w:noProof/>
          <w:sz w:val="22"/>
          <w:szCs w:val="22"/>
          <w:vertAlign w:val="subscript"/>
        </w:rPr>
        <w:t>2</w:t>
      </w:r>
      <w:r w:rsidRPr="00E266A5">
        <w:rPr>
          <w:noProof/>
          <w:sz w:val="22"/>
          <w:szCs w:val="22"/>
        </w:rPr>
        <w:t>, CH</w:t>
      </w:r>
      <w:r w:rsidRPr="00E266A5">
        <w:rPr>
          <w:noProof/>
          <w:sz w:val="22"/>
          <w:szCs w:val="22"/>
          <w:vertAlign w:val="subscript"/>
        </w:rPr>
        <w:t>4</w:t>
      </w:r>
      <w:r w:rsidRPr="00E266A5">
        <w:rPr>
          <w:noProof/>
          <w:sz w:val="22"/>
          <w:szCs w:val="22"/>
        </w:rPr>
        <w:t>,Rn and Hg in the rupture zones produced by Wenchuan Ms 8.0 earthquake. Acta Petrol. Sin. 33, 291–303.</w:t>
      </w:r>
    </w:p>
    <w:p w14:paraId="13AF0A7A" w14:textId="1D316CB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Zhu, A.Y., Zhang, D.N., </w:t>
      </w:r>
      <w:r w:rsidR="00980CF6">
        <w:rPr>
          <w:sz w:val="22"/>
          <w:szCs w:val="22"/>
          <w:lang w:eastAsia="zh-CN"/>
        </w:rPr>
        <w:t xml:space="preserve">&amp; </w:t>
      </w:r>
      <w:r w:rsidRPr="00E266A5">
        <w:rPr>
          <w:sz w:val="22"/>
          <w:szCs w:val="22"/>
          <w:lang w:eastAsia="zh-CN"/>
        </w:rPr>
        <w:t xml:space="preserve">Jiang C.S. </w:t>
      </w:r>
      <w:r w:rsidR="00980CF6">
        <w:rPr>
          <w:sz w:val="22"/>
          <w:szCs w:val="22"/>
          <w:lang w:eastAsia="zh-CN"/>
        </w:rPr>
        <w:t>(</w:t>
      </w:r>
      <w:r w:rsidRPr="00E266A5">
        <w:rPr>
          <w:sz w:val="22"/>
          <w:szCs w:val="22"/>
          <w:lang w:eastAsia="zh-CN"/>
        </w:rPr>
        <w:t>2016</w:t>
      </w:r>
      <w:r w:rsidR="00980CF6">
        <w:rPr>
          <w:sz w:val="22"/>
          <w:szCs w:val="22"/>
          <w:lang w:eastAsia="zh-CN"/>
        </w:rPr>
        <w:t>)</w:t>
      </w:r>
      <w:r w:rsidRPr="00E266A5">
        <w:rPr>
          <w:sz w:val="22"/>
          <w:szCs w:val="22"/>
          <w:lang w:eastAsia="zh-CN"/>
        </w:rPr>
        <w:t>. Numerical simulation of the segmentation of the stress state of the Anninghe-</w:t>
      </w:r>
      <w:proofErr w:type="spellStart"/>
      <w:r w:rsidRPr="00E266A5">
        <w:rPr>
          <w:sz w:val="22"/>
          <w:szCs w:val="22"/>
          <w:lang w:eastAsia="zh-CN"/>
        </w:rPr>
        <w:t>Zemuhe</w:t>
      </w:r>
      <w:proofErr w:type="spellEnd"/>
      <w:r w:rsidRPr="00E266A5">
        <w:rPr>
          <w:sz w:val="22"/>
          <w:szCs w:val="22"/>
          <w:lang w:eastAsia="zh-CN"/>
        </w:rPr>
        <w:t>-</w:t>
      </w:r>
      <w:proofErr w:type="spellStart"/>
      <w:r w:rsidRPr="00E266A5">
        <w:rPr>
          <w:sz w:val="22"/>
          <w:szCs w:val="22"/>
          <w:lang w:eastAsia="zh-CN"/>
        </w:rPr>
        <w:t>Xiaojiang</w:t>
      </w:r>
      <w:proofErr w:type="spellEnd"/>
      <w:r w:rsidRPr="00E266A5">
        <w:rPr>
          <w:sz w:val="22"/>
          <w:szCs w:val="22"/>
          <w:lang w:eastAsia="zh-CN"/>
        </w:rPr>
        <w:t xml:space="preserve"> faults. </w:t>
      </w:r>
      <w:r w:rsidR="00367D48" w:rsidRPr="00E266A5">
        <w:rPr>
          <w:noProof/>
          <w:sz w:val="22"/>
          <w:szCs w:val="22"/>
        </w:rPr>
        <w:t>Sci. China Earth Sci.</w:t>
      </w:r>
      <w:r w:rsidRPr="00E266A5">
        <w:rPr>
          <w:sz w:val="22"/>
          <w:szCs w:val="22"/>
          <w:lang w:eastAsia="zh-CN"/>
        </w:rPr>
        <w:t xml:space="preserve"> 59, 384–396.</w:t>
      </w:r>
    </w:p>
    <w:sectPr w:rsidR="004105C0" w:rsidRPr="00E266A5" w:rsidSect="00F125EE">
      <w:headerReference w:type="default" r:id="rId10"/>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1B93" w14:textId="77777777" w:rsidR="00276E70" w:rsidRDefault="00276E70">
      <w:r>
        <w:separator/>
      </w:r>
    </w:p>
  </w:endnote>
  <w:endnote w:type="continuationSeparator" w:id="0">
    <w:p w14:paraId="4B856DC0" w14:textId="77777777" w:rsidR="00276E70" w:rsidRDefault="0027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F125EE" w:rsidRDefault="00114193">
    <w:pPr>
      <w:pStyle w:val="aff1"/>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55124" w14:textId="77777777" w:rsidR="00276E70" w:rsidRDefault="00276E70">
      <w:r>
        <w:separator/>
      </w:r>
    </w:p>
  </w:footnote>
  <w:footnote w:type="continuationSeparator" w:id="0">
    <w:p w14:paraId="39A18631" w14:textId="77777777" w:rsidR="00276E70" w:rsidRDefault="00276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10901">
    <w:abstractNumId w:val="9"/>
  </w:num>
  <w:num w:numId="2" w16cid:durableId="1039475706">
    <w:abstractNumId w:val="7"/>
  </w:num>
  <w:num w:numId="3" w16cid:durableId="361635312">
    <w:abstractNumId w:val="6"/>
  </w:num>
  <w:num w:numId="4" w16cid:durableId="1618217986">
    <w:abstractNumId w:val="5"/>
  </w:num>
  <w:num w:numId="5" w16cid:durableId="600189539">
    <w:abstractNumId w:val="4"/>
  </w:num>
  <w:num w:numId="6" w16cid:durableId="501117504">
    <w:abstractNumId w:val="8"/>
  </w:num>
  <w:num w:numId="7" w16cid:durableId="1404330094">
    <w:abstractNumId w:val="3"/>
  </w:num>
  <w:num w:numId="8" w16cid:durableId="1633438242">
    <w:abstractNumId w:val="2"/>
  </w:num>
  <w:num w:numId="9" w16cid:durableId="529148402">
    <w:abstractNumId w:val="1"/>
  </w:num>
  <w:num w:numId="10" w16cid:durableId="300884910">
    <w:abstractNumId w:val="0"/>
  </w:num>
  <w:num w:numId="11" w16cid:durableId="1293292406">
    <w:abstractNumId w:val="11"/>
  </w:num>
  <w:num w:numId="12" w16cid:durableId="1501655580">
    <w:abstractNumId w:val="13"/>
  </w:num>
  <w:num w:numId="13" w16cid:durableId="1657680618">
    <w:abstractNumId w:val="10"/>
  </w:num>
  <w:num w:numId="14" w16cid:durableId="1549220553">
    <w:abstractNumId w:val="15"/>
  </w:num>
  <w:num w:numId="15" w16cid:durableId="536285599">
    <w:abstractNumId w:val="14"/>
  </w:num>
  <w:num w:numId="16" w16cid:durableId="149896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MTG0NLEwM7IA0ko6SsGpxcWZ+XkgBYa1AHerZSYsAAAA"/>
  </w:docVars>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83CB4"/>
    <w:rsid w:val="001966FD"/>
    <w:rsid w:val="00197826"/>
    <w:rsid w:val="001A1BDE"/>
    <w:rsid w:val="001A35CB"/>
    <w:rsid w:val="001C4607"/>
    <w:rsid w:val="001C7B4E"/>
    <w:rsid w:val="001E51A6"/>
    <w:rsid w:val="001F0876"/>
    <w:rsid w:val="001F167C"/>
    <w:rsid w:val="001F5E91"/>
    <w:rsid w:val="0020183F"/>
    <w:rsid w:val="00207032"/>
    <w:rsid w:val="002077B9"/>
    <w:rsid w:val="00210517"/>
    <w:rsid w:val="00221C70"/>
    <w:rsid w:val="002251AF"/>
    <w:rsid w:val="00227D86"/>
    <w:rsid w:val="00243B68"/>
    <w:rsid w:val="00244D87"/>
    <w:rsid w:val="00262D72"/>
    <w:rsid w:val="00276E70"/>
    <w:rsid w:val="002800B6"/>
    <w:rsid w:val="002A04D0"/>
    <w:rsid w:val="002B35D4"/>
    <w:rsid w:val="002C030F"/>
    <w:rsid w:val="002D79C7"/>
    <w:rsid w:val="002F3966"/>
    <w:rsid w:val="00320E2C"/>
    <w:rsid w:val="00331D75"/>
    <w:rsid w:val="00344414"/>
    <w:rsid w:val="00355362"/>
    <w:rsid w:val="00363E44"/>
    <w:rsid w:val="00367D48"/>
    <w:rsid w:val="00395E86"/>
    <w:rsid w:val="003A2FD8"/>
    <w:rsid w:val="003B40E6"/>
    <w:rsid w:val="003C007A"/>
    <w:rsid w:val="003C5C8A"/>
    <w:rsid w:val="003E1980"/>
    <w:rsid w:val="003E2489"/>
    <w:rsid w:val="003F6E14"/>
    <w:rsid w:val="00405336"/>
    <w:rsid w:val="004105C0"/>
    <w:rsid w:val="00453DF2"/>
    <w:rsid w:val="004568BC"/>
    <w:rsid w:val="004571D5"/>
    <w:rsid w:val="00462F1B"/>
    <w:rsid w:val="0046356B"/>
    <w:rsid w:val="00477182"/>
    <w:rsid w:val="004779CB"/>
    <w:rsid w:val="00481118"/>
    <w:rsid w:val="004A0B30"/>
    <w:rsid w:val="004B2481"/>
    <w:rsid w:val="004B556F"/>
    <w:rsid w:val="004D2A8C"/>
    <w:rsid w:val="004E2C99"/>
    <w:rsid w:val="004E42D8"/>
    <w:rsid w:val="004E7BA2"/>
    <w:rsid w:val="004F5AD3"/>
    <w:rsid w:val="004F7EDF"/>
    <w:rsid w:val="005001AC"/>
    <w:rsid w:val="00517016"/>
    <w:rsid w:val="00525F1E"/>
    <w:rsid w:val="00527D71"/>
    <w:rsid w:val="00527D84"/>
    <w:rsid w:val="005314B5"/>
    <w:rsid w:val="0054432F"/>
    <w:rsid w:val="00544B24"/>
    <w:rsid w:val="00552C23"/>
    <w:rsid w:val="005607DD"/>
    <w:rsid w:val="00572DFF"/>
    <w:rsid w:val="00585222"/>
    <w:rsid w:val="005870FC"/>
    <w:rsid w:val="005A558C"/>
    <w:rsid w:val="005B186E"/>
    <w:rsid w:val="005C0455"/>
    <w:rsid w:val="005C6651"/>
    <w:rsid w:val="005D6D71"/>
    <w:rsid w:val="005E28F8"/>
    <w:rsid w:val="005E6513"/>
    <w:rsid w:val="00611F9E"/>
    <w:rsid w:val="006237D4"/>
    <w:rsid w:val="00651114"/>
    <w:rsid w:val="006622CF"/>
    <w:rsid w:val="00664A12"/>
    <w:rsid w:val="0066722B"/>
    <w:rsid w:val="00670299"/>
    <w:rsid w:val="0068469F"/>
    <w:rsid w:val="00691985"/>
    <w:rsid w:val="00691B4B"/>
    <w:rsid w:val="006962C1"/>
    <w:rsid w:val="006A1B64"/>
    <w:rsid w:val="006B03AD"/>
    <w:rsid w:val="006F602A"/>
    <w:rsid w:val="007108F5"/>
    <w:rsid w:val="00713AF2"/>
    <w:rsid w:val="00713E5B"/>
    <w:rsid w:val="007402FC"/>
    <w:rsid w:val="007411A1"/>
    <w:rsid w:val="007563F2"/>
    <w:rsid w:val="00764008"/>
    <w:rsid w:val="00795D4D"/>
    <w:rsid w:val="007B2AA8"/>
    <w:rsid w:val="007C3BFC"/>
    <w:rsid w:val="007D0B81"/>
    <w:rsid w:val="00807D35"/>
    <w:rsid w:val="008115D9"/>
    <w:rsid w:val="00825950"/>
    <w:rsid w:val="0083439D"/>
    <w:rsid w:val="008401DE"/>
    <w:rsid w:val="00874657"/>
    <w:rsid w:val="00885C9B"/>
    <w:rsid w:val="008927D0"/>
    <w:rsid w:val="00896FAB"/>
    <w:rsid w:val="008B0A12"/>
    <w:rsid w:val="008D5D2A"/>
    <w:rsid w:val="008E2CF1"/>
    <w:rsid w:val="008F08DC"/>
    <w:rsid w:val="008F5A8A"/>
    <w:rsid w:val="009055D1"/>
    <w:rsid w:val="00914B63"/>
    <w:rsid w:val="00922705"/>
    <w:rsid w:val="00924546"/>
    <w:rsid w:val="00931444"/>
    <w:rsid w:val="00932FE5"/>
    <w:rsid w:val="009354F3"/>
    <w:rsid w:val="009447DC"/>
    <w:rsid w:val="009518DD"/>
    <w:rsid w:val="00961BA5"/>
    <w:rsid w:val="009743A9"/>
    <w:rsid w:val="00975720"/>
    <w:rsid w:val="00980CF6"/>
    <w:rsid w:val="009859A7"/>
    <w:rsid w:val="009A4C6B"/>
    <w:rsid w:val="009A5287"/>
    <w:rsid w:val="009B2AC5"/>
    <w:rsid w:val="009B7984"/>
    <w:rsid w:val="009F4BED"/>
    <w:rsid w:val="009F7D93"/>
    <w:rsid w:val="00A21B06"/>
    <w:rsid w:val="00A276DF"/>
    <w:rsid w:val="00A3084A"/>
    <w:rsid w:val="00A3403B"/>
    <w:rsid w:val="00A409C4"/>
    <w:rsid w:val="00A50033"/>
    <w:rsid w:val="00A51A12"/>
    <w:rsid w:val="00A627D4"/>
    <w:rsid w:val="00A74DA2"/>
    <w:rsid w:val="00A92733"/>
    <w:rsid w:val="00A95F5A"/>
    <w:rsid w:val="00AA76F3"/>
    <w:rsid w:val="00AC7DA6"/>
    <w:rsid w:val="00AD499C"/>
    <w:rsid w:val="00B30334"/>
    <w:rsid w:val="00B3147F"/>
    <w:rsid w:val="00B36869"/>
    <w:rsid w:val="00B379C2"/>
    <w:rsid w:val="00B43B31"/>
    <w:rsid w:val="00B47CFA"/>
    <w:rsid w:val="00B5681C"/>
    <w:rsid w:val="00B57F00"/>
    <w:rsid w:val="00B626CB"/>
    <w:rsid w:val="00B7560C"/>
    <w:rsid w:val="00B77E40"/>
    <w:rsid w:val="00B82C22"/>
    <w:rsid w:val="00B93DBA"/>
    <w:rsid w:val="00B9440A"/>
    <w:rsid w:val="00B945D6"/>
    <w:rsid w:val="00B952C1"/>
    <w:rsid w:val="00B968D7"/>
    <w:rsid w:val="00BA3953"/>
    <w:rsid w:val="00BB2D2A"/>
    <w:rsid w:val="00BD58CF"/>
    <w:rsid w:val="00BF1BEB"/>
    <w:rsid w:val="00BF1BF9"/>
    <w:rsid w:val="00C04CC1"/>
    <w:rsid w:val="00C071FC"/>
    <w:rsid w:val="00C16A7A"/>
    <w:rsid w:val="00C22C02"/>
    <w:rsid w:val="00C27F6F"/>
    <w:rsid w:val="00C30E83"/>
    <w:rsid w:val="00C50C6D"/>
    <w:rsid w:val="00C600D9"/>
    <w:rsid w:val="00C634D7"/>
    <w:rsid w:val="00C73E09"/>
    <w:rsid w:val="00CA5E22"/>
    <w:rsid w:val="00CB5072"/>
    <w:rsid w:val="00CC1384"/>
    <w:rsid w:val="00CD3720"/>
    <w:rsid w:val="00CE6EAA"/>
    <w:rsid w:val="00CF1848"/>
    <w:rsid w:val="00CF5C2F"/>
    <w:rsid w:val="00D04BCF"/>
    <w:rsid w:val="00D10134"/>
    <w:rsid w:val="00D143D9"/>
    <w:rsid w:val="00D25158"/>
    <w:rsid w:val="00D425F8"/>
    <w:rsid w:val="00D4372A"/>
    <w:rsid w:val="00D60BB0"/>
    <w:rsid w:val="00D65708"/>
    <w:rsid w:val="00D8159F"/>
    <w:rsid w:val="00DB1A35"/>
    <w:rsid w:val="00DD1D04"/>
    <w:rsid w:val="00DD79D7"/>
    <w:rsid w:val="00DF0DEC"/>
    <w:rsid w:val="00E20431"/>
    <w:rsid w:val="00E257C8"/>
    <w:rsid w:val="00E266A5"/>
    <w:rsid w:val="00E40896"/>
    <w:rsid w:val="00E43D2D"/>
    <w:rsid w:val="00E449CB"/>
    <w:rsid w:val="00E52A8F"/>
    <w:rsid w:val="00E63760"/>
    <w:rsid w:val="00E64049"/>
    <w:rsid w:val="00E9773B"/>
    <w:rsid w:val="00EC13A3"/>
    <w:rsid w:val="00EC7C85"/>
    <w:rsid w:val="00ED69CA"/>
    <w:rsid w:val="00EE35AB"/>
    <w:rsid w:val="00EE7D7E"/>
    <w:rsid w:val="00EF25A3"/>
    <w:rsid w:val="00F125EE"/>
    <w:rsid w:val="00F12E98"/>
    <w:rsid w:val="00F22029"/>
    <w:rsid w:val="00F23E46"/>
    <w:rsid w:val="00F3515C"/>
    <w:rsid w:val="00F415A5"/>
    <w:rsid w:val="00F47BA3"/>
    <w:rsid w:val="00F56E67"/>
    <w:rsid w:val="00F630EA"/>
    <w:rsid w:val="00F6474F"/>
    <w:rsid w:val="00F7007E"/>
    <w:rsid w:val="00F73193"/>
    <w:rsid w:val="00F74F95"/>
    <w:rsid w:val="00F80705"/>
    <w:rsid w:val="00FA1481"/>
    <w:rsid w:val="00FB1C42"/>
    <w:rsid w:val="00FB32EC"/>
    <w:rsid w:val="00FC4662"/>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30EA"/>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semiHidden/>
    <w:rsid w:val="00405336"/>
    <w:rPr>
      <w:rFonts w:ascii="Tahoma" w:hAnsi="Tahoma" w:cs="Tahoma"/>
      <w:sz w:val="16"/>
      <w:szCs w:val="16"/>
    </w:rPr>
  </w:style>
  <w:style w:type="character" w:customStyle="1" w:styleId="a7">
    <w:name w:val="批注框文本 字符"/>
    <w:link w:val="a6"/>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spacing w:after="120"/>
      <w:ind w:left="1440" w:right="1440"/>
    </w:pPr>
  </w:style>
  <w:style w:type="paragraph" w:styleId="aa">
    <w:name w:val="Body Text"/>
    <w:basedOn w:val="a1"/>
    <w:link w:val="ab"/>
    <w:semiHidden/>
    <w:rsid w:val="00405336"/>
    <w:pPr>
      <w:spacing w:after="120"/>
    </w:pPr>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after="120"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pPr>
      <w:spacing w:after="120"/>
    </w:pPr>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spacing w:after="120"/>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after="120"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spacing w:after="120"/>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semiHidden/>
    <w:rsid w:val="00405336"/>
    <w:rPr>
      <w:sz w:val="20"/>
    </w:rPr>
  </w:style>
  <w:style w:type="character" w:customStyle="1" w:styleId="af4">
    <w:name w:val="批注文字 字符"/>
    <w:basedOn w:val="a2"/>
    <w:link w:val="af3"/>
    <w:semiHidden/>
    <w:rsid w:val="00FF04E3"/>
  </w:style>
  <w:style w:type="paragraph" w:styleId="af5">
    <w:name w:val="annotation subject"/>
    <w:basedOn w:val="af3"/>
    <w:next w:val="af3"/>
    <w:link w:val="af6"/>
    <w:semiHidden/>
    <w:rsid w:val="00405336"/>
    <w:rPr>
      <w:b/>
      <w:bCs/>
    </w:rPr>
  </w:style>
  <w:style w:type="character" w:customStyle="1" w:styleId="af6">
    <w:name w:val="批注主题 字符"/>
    <w:link w:val="af5"/>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semiHidden/>
    <w:rsid w:val="00405336"/>
    <w:pPr>
      <w:tabs>
        <w:tab w:val="center" w:pos="4680"/>
        <w:tab w:val="right" w:pos="9360"/>
      </w:tabs>
    </w:pPr>
  </w:style>
  <w:style w:type="character" w:customStyle="1" w:styleId="aff2">
    <w:name w:val="页脚 字符"/>
    <w:link w:val="aff1"/>
    <w:semiHidden/>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semiHidden/>
    <w:rsid w:val="00405336"/>
    <w:pPr>
      <w:tabs>
        <w:tab w:val="center" w:pos="4680"/>
        <w:tab w:val="right" w:pos="9360"/>
      </w:tabs>
    </w:pPr>
  </w:style>
  <w:style w:type="character" w:customStyle="1" w:styleId="aff6">
    <w:name w:val="页眉 字符"/>
    <w:link w:val="aff5"/>
    <w:semiHidden/>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spacing w:after="120"/>
      <w:ind w:left="360"/>
      <w:contextualSpacing/>
    </w:pPr>
  </w:style>
  <w:style w:type="paragraph" w:styleId="2b">
    <w:name w:val="List Continue 2"/>
    <w:basedOn w:val="a1"/>
    <w:semiHidden/>
    <w:rsid w:val="00405336"/>
    <w:pPr>
      <w:spacing w:after="120"/>
      <w:ind w:left="720"/>
      <w:contextualSpacing/>
    </w:pPr>
  </w:style>
  <w:style w:type="paragraph" w:styleId="38">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5">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semiHidden/>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semiHidden/>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semiHidden/>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rsid w:val="007402FC"/>
    <w:rPr>
      <w:color w:val="0000FF"/>
      <w:u w:val="single"/>
    </w:rPr>
  </w:style>
  <w:style w:type="paragraph" w:customStyle="1" w:styleId="body-copy-normal">
    <w:name w:val="body-copy-normal"/>
    <w:basedOn w:val="a1"/>
    <w:rsid w:val="00FF3503"/>
    <w:pPr>
      <w:spacing w:before="100" w:beforeAutospacing="1" w:after="100" w:afterAutospacing="1"/>
    </w:pPr>
    <w:rPr>
      <w:szCs w:val="24"/>
    </w:rPr>
  </w:style>
  <w:style w:type="paragraph" w:customStyle="1" w:styleId="body-copy-ndent">
    <w:name w:val="body-copy-ndent"/>
    <w:basedOn w:val="a1"/>
    <w:rsid w:val="00FF3503"/>
    <w:pPr>
      <w:spacing w:before="100" w:beforeAutospacing="1" w:after="100" w:afterAutospacing="1"/>
    </w:pPr>
    <w:rPr>
      <w:szCs w:val="24"/>
    </w:rPr>
  </w:style>
  <w:style w:type="character" w:styleId="affff6">
    <w:name w:val="Strong"/>
    <w:uiPriority w:val="22"/>
    <w:qFormat/>
    <w:rsid w:val="00FF3503"/>
    <w:rPr>
      <w:b/>
      <w:bCs/>
    </w:rPr>
  </w:style>
  <w:style w:type="character" w:styleId="affff7">
    <w:name w:val="annotation reference"/>
    <w:semiHidden/>
    <w:rsid w:val="002800B6"/>
    <w:rPr>
      <w:sz w:val="16"/>
      <w:szCs w:val="16"/>
    </w:rPr>
  </w:style>
  <w:style w:type="paragraph" w:customStyle="1" w:styleId="Affiliation">
    <w:name w:val="Affiliation"/>
    <w:basedOn w:val="a1"/>
    <w:qFormat/>
    <w:rsid w:val="00C16A7A"/>
    <w:pPr>
      <w:spacing w:before="12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Maoliang ZHANG</cp:lastModifiedBy>
  <cp:revision>13</cp:revision>
  <cp:lastPrinted>2014-09-30T16:49:00Z</cp:lastPrinted>
  <dcterms:created xsi:type="dcterms:W3CDTF">2022-09-04T07:59:00Z</dcterms:created>
  <dcterms:modified xsi:type="dcterms:W3CDTF">2022-09-11T04:31:00Z</dcterms:modified>
</cp:coreProperties>
</file>