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1EC"/>
  <w:body>
    <w:p>
      <w:pPr>
        <w:spacing w:after="3700" w:before="0"/>
      </w:pPr>
      <w:r>
        <w:drawing>
          <wp:anchor distT="0" distB="0" distL="0" distR="0" simplePos="0" allowOverlap="1" behindDoc="1" locked="0" layoutInCell="1" relativeHeight="9906000">
            <wp:simplePos x="0" y="0"/>
            <wp:positionH relativeFrom="page">
              <wp:posOffset>0</wp:posOffset>
            </wp:positionH>
            <wp:positionV relativeFrom="page">
              <wp:posOffset>0</wp:posOffset>
            </wp:positionV>
            <wp:extent cx="6858000" cy="9906000"/>
            <wp:effectExtent t="0" r="0" b="0" l="0"/>
            <wp:wrapNone/>
            <wp:docPr id="1" name="cover" descr="Glass office towers seen from below" title="Cove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9906000"/>
                    </a:xfrm>
                    <a:prstGeom prst="rect">
                      <a:avLst/>
                    </a:prstGeom>
                  </pic:spPr>
                </pic:pic>
              </a:graphicData>
            </a:graphic>
          </wp:anchor>
        </w:drawing>
      </w:r>
    </w:p>
    <w:tbl>
      <w:tblPr>
        <w:tblW w:type="dxa" w:w="636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65"/>
      </w:tblGrid>
      <w:tr>
        <w:tc>
          <w:tcPr>
            <w:tcW w:type="dxa" w:w="6365"/>
            <w:tcBorders>
              <w:top w:val="none" w:color="FFFFFF" w:sz="0"/>
              <w:left w:val="none" w:color="FFFFFF" w:sz="0"/>
              <w:bottom w:val="none" w:color="FFFFFF" w:sz="0"/>
              <w:right w:val="none" w:color="FFFFFF" w:sz="0"/>
            </w:tcBorders>
            <w:shd w:fill="4F1D1B" w:color="auto" w:val="clear"/>
            <w:tcMar>
              <w:top w:type="dxa" w:w="200"/>
              <w:left w:type="dxa" w:w="100"/>
              <w:bottom w:type="dxa" w:w="200"/>
              <w:right w:type="dxa" w:w="100"/>
            </w:tcMar>
          </w:tcPr>
          <w:p>
            <w:pPr>
              <w:spacing w:after="0" w:before="0"/>
              <w:jc w:val="center"/>
            </w:pPr>
            <w:r>
              <w:rPr>
                <w:rFonts w:ascii="Times New Roman" w:cs="Times New Roman" w:eastAsia="Times New Roman" w:hAnsi="Times New Roman"/>
                <w:color w:val="FFFFFF"/>
                <w:sz w:val="88"/>
                <w:szCs w:val="88"/>
              </w:rPr>
              <w:t xml:space="preserve">L | L | C</w:t>
            </w:r>
          </w:p>
          <w:p>
            <w:pPr>
              <w:spacing w:after="0" w:before="0"/>
              <w:jc w:val="center"/>
            </w:pPr>
            <w:r>
              <w:rPr>
                <w:rFonts w:ascii="Times New Roman" w:cs="Times New Roman" w:eastAsia="Times New Roman" w:hAnsi="Times New Roman"/>
                <w:color w:val="FFFFFF"/>
                <w:sz w:val="34"/>
                <w:szCs w:val="34"/>
              </w:rPr>
              <w:t xml:space="preserve">Leveraged Lion Capital</w:t>
            </w:r>
          </w:p>
          <w:p>
            <w:pPr>
              <w:pBdr>
                <w:bottom w:val="single" w:color="FFFFFF" w:sz="6" w:space="1"/>
              </w:pBdr>
              <w:spacing w:after="100" w:before="100"/>
              <w:ind w:left="700" w:right="700"/>
              <w:jc w:val="center"/>
            </w:pPr>
          </w:p>
          <w:p>
            <w:pPr>
              <w:spacing w:after="0" w:before="0"/>
              <w:jc w:val="center"/>
            </w:pPr>
            <w:r>
              <w:rPr>
                <w:rFonts w:ascii="Times New Roman" w:cs="Times New Roman" w:eastAsia="Times New Roman" w:hAnsi="Times New Roman"/>
                <w:color w:val="FFFFFF"/>
                <w:sz w:val="34"/>
                <w:szCs w:val="34"/>
              </w:rPr>
              <w:t xml:space="preserve">Case Study</w:t>
            </w:r>
          </w:p>
          <w:p>
            <w:pPr>
              <w:spacing w:after="0" w:before="0"/>
              <w:jc w:val="center"/>
            </w:pPr>
            <w:r>
              <w:rPr>
                <w:rFonts w:ascii="Times New Roman" w:cs="Times New Roman" w:eastAsia="Times New Roman" w:hAnsi="Times New Roman"/>
                <w:color w:val="FFFFFF"/>
                <w:sz w:val="34"/>
                <w:szCs w:val="34"/>
              </w:rPr>
              <w:t xml:space="preserve">AI Infrastructure Financing</w:t>
            </w:r>
          </w:p>
        </w:tc>
      </w:tr>
    </w:tbl>
    <w:p>
      <w:pPr>
        <w:sectPr>
          <w:pgSz w:w="10800" w:h="15600" w:orient="portrait"/>
          <w:pgMar w:top="0" w:right="0" w:bottom="0" w:left="0" w:header="0" w:footer="0" w:gutter="0"/>
          <w:pgNumType/>
          <w:docGrid w:linePitch="360"/>
        </w:sectPr>
      </w:pPr>
    </w:p>
    <w:p>
      <w:pPr>
        <w:pStyle w:val="Heading1"/>
        <w:spacing w:after="40" w:before="0"/>
      </w:pPr>
      <w:r>
        <w:rPr>
          <w:rFonts w:ascii="Times New Roman" w:cs="Times New Roman" w:eastAsia="Times New Roman" w:hAnsi="Times New Roman"/>
          <w:b/>
          <w:bCs/>
          <w:sz w:val="52"/>
          <w:szCs w:val="52"/>
        </w:rPr>
        <w:t xml:space="preserve">AI Infrastructure Financing</w:t>
      </w:r>
    </w:p>
    <w:p>
      <w:pPr>
        <w:pStyle w:val="Heading2"/>
        <w:spacing w:after="60" w:before="160"/>
      </w:pPr>
      <w:r>
        <w:rPr>
          <w:rFonts w:ascii="Times New Roman" w:cs="Times New Roman" w:eastAsia="Times New Roman" w:hAnsi="Times New Roman"/>
          <w:sz w:val="40"/>
          <w:szCs w:val="40"/>
        </w:rPr>
        <w:t xml:space="preserve">Overview</w:t>
      </w:r>
    </w:p>
    <w:p>
      <w:pPr>
        <w:spacing w:after="120" w:line="252"/>
        <w:jc w:val="both"/>
      </w:pPr>
      <w:r>
        <w:rPr>
          <w:rFonts w:ascii="Times New Roman" w:cs="Times New Roman" w:eastAsia="Times New Roman" w:hAnsi="Times New Roman"/>
          <w:sz w:val="21"/>
          <w:szCs w:val="21"/>
        </w:rPr>
        <w:t xml:space="preserve">AI infrastructure financing is the debt and structured capital used to build data centers and the compute inside them, and it has shifted from hyperscaler cash flow to the credit markets. The defining structure is the joint venture. A hyperscaler contributes a campus to a special purpose vehicle, the building block of last month's ABS case study. A private capital partner takes majority equity, and the vehicle issues long dated bonds secured by a lease back to the hyperscaler. The debt sits at the project level, which keeps leverage off the tenant's reported balance sheet in exchange for a higher borrowing cost. Meta's $27bn Hyperion campus in Louisiana set the template in October 2025, with Blue Owl holding 80%, Meta holding 20%, and A+ rated bonds priced at 6.58%, about 225bps over Treasuries, against roughly 5.5% on a comparable Meta corporate bond. Oracle has leaned more on its own balance sheet while also leasing campuses financed at the project level.</w:t>
      </w:r>
    </w:p>
    <w:p>
      <w:pPr>
        <w:pStyle w:val="Heading2"/>
        <w:spacing w:after="60" w:before="160"/>
      </w:pPr>
      <w:r>
        <w:rPr>
          <w:rFonts w:ascii="Times New Roman" w:cs="Times New Roman" w:eastAsia="Times New Roman" w:hAnsi="Times New Roman"/>
          <w:sz w:val="40"/>
          <w:szCs w:val="40"/>
        </w:rPr>
        <w:t xml:space="preserve">AI Infrastructure and the Credit Markets</w:t>
      </w:r>
    </w:p>
    <w:p>
      <w:pPr>
        <w:spacing w:after="120" w:line="252"/>
        <w:jc w:val="both"/>
      </w:pPr>
      <w:r>
        <w:rPr>
          <w:rFonts w:ascii="Times New Roman" w:cs="Times New Roman" w:eastAsia="Times New Roman" w:hAnsi="Times New Roman"/>
          <w:sz w:val="21"/>
          <w:szCs w:val="21"/>
        </w:rPr>
        <w:t xml:space="preserve">The scale of the buildout is what ties this theme to credit. Goldman Sachs expects the five largest hyperscalers to spend about $750bn on capital expenditure in 2026 and to fund about one third of it with debt. Amazon, Alphabet, Meta and Oracle issued about $194bn of bonds through July 7, up 79% from all of 2025, and Goldman expects issuance across the five, adding Microsoft, to reach roughly $250bn this year and $400bn in 2027. Goldman's 2027 figure equals about 35% of that year's expected capex. Private capital is filling the rest of the gap, with Morgan Stanley estimating that private credit could supply more than $800bn of global data center financing through 2028, led by asset based finance. Several of those lenders halted or capped fund redemptions early this year, Blue Owl among them, as covered in the March recap. The debt is long dated, with bonds maturing in 2048 and 2049, far beyond the four year initial lease terms at both Hyperion and El Paso.</w:t>
      </w:r>
    </w:p>
    <w:p>
      <w:pPr>
        <w:pStyle w:val="Heading2"/>
        <w:spacing w:after="60" w:before="160"/>
      </w:pPr>
      <w:r>
        <w:rPr>
          <w:rFonts w:ascii="Times New Roman" w:cs="Times New Roman" w:eastAsia="Times New Roman" w:hAnsi="Times New Roman"/>
          <w:sz w:val="40"/>
          <w:szCs w:val="40"/>
        </w:rPr>
        <w:t xml:space="preserve">Why It Matters for Credit</w:t>
      </w:r>
    </w:p>
    <w:p>
      <w:pPr>
        <w:spacing w:after="120" w:line="252"/>
        <w:jc w:val="both"/>
      </w:pPr>
      <w:r>
        <w:rPr>
          <w:rFonts w:ascii="Times New Roman" w:cs="Times New Roman" w:eastAsia="Times New Roman" w:hAnsi="Times New Roman"/>
          <w:sz w:val="21"/>
          <w:szCs w:val="21"/>
        </w:rPr>
        <w:t xml:space="preserve">For credit investors, the question is who holds the risk. In the joint venture structure, the hyperscaler's lease supports the bonds, but the project still carries power, permitting, and construction risk that the tenant's rating does not remove. Pricing has started to reflect this, with the El Paso bonds priced at a wider spread than Hyperion. Oracle's cut to BBB- shows that heavy borrowing can put a hyperscaler itself under ratings pressure. The divergence is that capital remains abundant while the risk concentrates in single tenant projects and a short list of tenants.</w:t>
      </w:r>
    </w:p>
    <w:tbl>
      <w:tblPr>
        <w:tblW w:type="dxa" w:w="90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244"/>
        <w:gridCol w:w="4400"/>
      </w:tblGrid>
      <w:tr>
        <w:tc>
          <w:tcPr>
            <w:tcW w:type="dxa" w:w="4400"/>
            <w:tcBorders>
              <w:top w:val="none" w:color="FFFFFF" w:sz="0"/>
              <w:left w:val="none" w:color="FFFFFF" w:sz="0"/>
              <w:bottom w:val="none" w:color="FFFFFF" w:sz="0"/>
              <w:right w:val="none" w:color="FFFFFF" w:sz="0"/>
            </w:tcBorders>
          </w:tcPr>
          <w:p>
            <w:pPr>
              <w:spacing w:after="60" w:before="120"/>
              <w:jc w:val="center"/>
            </w:pPr>
            <w:r>
              <w:rPr>
                <w:rFonts w:ascii="Times New Roman" w:cs="Times New Roman" w:eastAsia="Times New Roman" w:hAnsi="Times New Roman"/>
                <w:b/>
                <w:bCs/>
                <w:sz w:val="22"/>
                <w:szCs w:val="22"/>
              </w:rPr>
              <w:t xml:space="preserve">2026 Capex Versus Debt Funding ($bn)</w:t>
            </w:r>
          </w:p>
        </w:tc>
        <w:tc>
          <w:tcPr>
            <w:tcW w:type="dxa" w:w="244"/>
            <w:tcBorders>
              <w:top w:val="none" w:color="FFFFFF" w:sz="0"/>
              <w:left w:val="none" w:color="FFFFFF" w:sz="0"/>
              <w:bottom w:val="none" w:color="FFFFFF" w:sz="0"/>
              <w:right w:val="none" w:color="FFFFFF" w:sz="0"/>
            </w:tcBorders>
          </w:tcPr>
          <w:p/>
        </w:tc>
        <w:tc>
          <w:tcPr>
            <w:tcW w:type="dxa" w:w="4400"/>
            <w:tcBorders>
              <w:top w:val="none" w:color="FFFFFF" w:sz="0"/>
              <w:left w:val="none" w:color="FFFFFF" w:sz="0"/>
              <w:bottom w:val="none" w:color="FFFFFF" w:sz="0"/>
              <w:right w:val="none" w:color="FFFFFF" w:sz="0"/>
            </w:tcBorders>
          </w:tcPr>
          <w:p>
            <w:pPr>
              <w:spacing w:after="60" w:before="120"/>
              <w:jc w:val="center"/>
            </w:pPr>
            <w:r>
              <w:rPr>
                <w:rFonts w:ascii="Times New Roman" w:cs="Times New Roman" w:eastAsia="Times New Roman" w:hAnsi="Times New Roman"/>
                <w:b/>
                <w:bCs/>
                <w:sz w:val="22"/>
                <w:szCs w:val="22"/>
              </w:rPr>
              <w:t xml:space="preserve">Lease Term Versus Debt Maturity (years)</w:t>
            </w:r>
          </w:p>
        </w:tc>
      </w:tr>
      <w:tr>
        <w:trPr>
          <w:trHeight w:val="2700" w:hRule="exact"/>
        </w:trPr>
        <w:tc>
          <w:tcPr>
            <w:tcW w:type="dxa" w:w="4400"/>
            <w:tcBorders>
              <w:top w:val="dashed" w:color="9B3739" w:sz="8"/>
              <w:left w:val="dashed" w:color="9B3739" w:sz="8"/>
              <w:bottom w:val="dashed" w:color="9B3739" w:sz="8"/>
              <w:right w:val="dashed" w:color="9B3739" w:sz="8"/>
            </w:tcBorders>
            <w:tcMar>
              <w:top w:type="dxa" w:w="100"/>
              <w:left w:type="dxa" w:w="200"/>
              <w:bottom w:type="dxa" w:w="100"/>
              <w:right w:type="dxa" w:w="200"/>
            </w:tcMar>
            <w:vAlign w:val="center"/>
          </w:tcPr>
          <w:p>
            <w:pPr>
              <w:spacing w:after="40" w:before="0"/>
              <w:jc w:val="center"/>
            </w:pPr>
            <w:r>
              <w:rPr>
                <w:rFonts w:ascii="Times New Roman" w:cs="Times New Roman" w:eastAsia="Times New Roman" w:hAnsi="Times New Roman"/>
                <w:b/>
                <w:bCs/>
                <w:i w:val="false"/>
                <w:iCs w:val="false"/>
                <w:color w:val="9B3739"/>
                <w:sz w:val="22"/>
                <w:szCs w:val="22"/>
              </w:rPr>
              <w:t xml:space="preserve">Insert chart</w:t>
            </w:r>
          </w:p>
          <w:p>
            <w:pPr>
              <w:spacing w:after="40" w:before="0"/>
              <w:jc w:val="center"/>
            </w:pPr>
            <w:r>
              <w:rPr>
                <w:rFonts w:ascii="Times New Roman" w:cs="Times New Roman" w:eastAsia="Times New Roman" w:hAnsi="Times New Roman"/>
                <w:b w:val="false"/>
                <w:bCs w:val="false"/>
                <w:i/>
                <w:iCs/>
                <w:color w:val="9B3739"/>
                <w:sz w:val="18"/>
                <w:szCs w:val="18"/>
              </w:rPr>
              <w:t xml:space="preserve">2026 capex and expected debt issuance</w:t>
            </w:r>
          </w:p>
        </w:tc>
        <w:tc>
          <w:tcPr>
            <w:tcW w:type="dxa" w:w="244"/>
            <w:tcBorders>
              <w:top w:val="none" w:color="FFFFFF" w:sz="0"/>
              <w:left w:val="none" w:color="FFFFFF" w:sz="0"/>
              <w:bottom w:val="none" w:color="FFFFFF" w:sz="0"/>
              <w:right w:val="none" w:color="FFFFFF" w:sz="0"/>
            </w:tcBorders>
          </w:tcPr>
          <w:p/>
        </w:tc>
        <w:tc>
          <w:tcPr>
            <w:tcW w:type="dxa" w:w="4400"/>
            <w:tcBorders>
              <w:top w:val="dashed" w:color="9B3739" w:sz="8"/>
              <w:left w:val="dashed" w:color="9B3739" w:sz="8"/>
              <w:bottom w:val="dashed" w:color="9B3739" w:sz="8"/>
              <w:right w:val="dashed" w:color="9B3739" w:sz="8"/>
            </w:tcBorders>
            <w:tcMar>
              <w:top w:type="dxa" w:w="100"/>
              <w:left w:type="dxa" w:w="200"/>
              <w:bottom w:type="dxa" w:w="100"/>
              <w:right w:type="dxa" w:w="200"/>
            </w:tcMar>
            <w:vAlign w:val="center"/>
          </w:tcPr>
          <w:p>
            <w:pPr>
              <w:spacing w:after="40" w:before="0"/>
              <w:jc w:val="center"/>
            </w:pPr>
            <w:r>
              <w:rPr>
                <w:rFonts w:ascii="Times New Roman" w:cs="Times New Roman" w:eastAsia="Times New Roman" w:hAnsi="Times New Roman"/>
                <w:b/>
                <w:bCs/>
                <w:i w:val="false"/>
                <w:iCs w:val="false"/>
                <w:color w:val="9B3739"/>
                <w:sz w:val="22"/>
                <w:szCs w:val="22"/>
              </w:rPr>
              <w:t xml:space="preserve">Insert chart</w:t>
            </w:r>
          </w:p>
          <w:p>
            <w:pPr>
              <w:spacing w:after="40" w:before="0"/>
              <w:jc w:val="center"/>
            </w:pPr>
            <w:r>
              <w:rPr>
                <w:rFonts w:ascii="Times New Roman" w:cs="Times New Roman" w:eastAsia="Times New Roman" w:hAnsi="Times New Roman"/>
                <w:b w:val="false"/>
                <w:bCs w:val="false"/>
                <w:i/>
                <w:iCs/>
                <w:color w:val="9B3739"/>
                <w:sz w:val="18"/>
                <w:szCs w:val="18"/>
              </w:rPr>
              <w:t xml:space="preserve">Lease terms and bond maturities</w:t>
            </w:r>
          </w:p>
        </w:tc>
      </w:tr>
    </w:tbl>
    <w:p>
      <w:pPr>
        <w:sectPr>
          <w:headerReference w:type="default" r:id="rId6"/>
          <w:footerReference w:type="default" r:id="rId7"/>
          <w:pgSz w:w="10800" w:h="15600" w:orient="portrait"/>
          <w:pgMar w:top="1040" w:right="878" w:bottom="1250" w:left="878" w:header="280" w:footer="0" w:gutter="0"/>
          <w:pgNumType w:start="5"/>
          <w:docGrid w:linePitch="360"/>
        </w:sectPr>
      </w:pPr>
    </w:p>
    <w:p>
      <w:pPr>
        <w:pStyle w:val="Heading1"/>
        <w:spacing w:after="40" w:before="0"/>
      </w:pPr>
      <w:r>
        <w:rPr>
          <w:rFonts w:ascii="Times New Roman" w:cs="Times New Roman" w:eastAsia="Times New Roman" w:hAnsi="Times New Roman"/>
          <w:b/>
          <w:bCs/>
          <w:sz w:val="52"/>
          <w:szCs w:val="52"/>
        </w:rPr>
        <w:t xml:space="preserve">AI Debt Issuance</w:t>
      </w:r>
    </w:p>
    <w:p>
      <w:pPr>
        <w:pStyle w:val="Heading2"/>
        <w:spacing w:after="60" w:before="160"/>
      </w:pPr>
      <w:r>
        <w:rPr>
          <w:rFonts w:ascii="Times New Roman" w:cs="Times New Roman" w:eastAsia="Times New Roman" w:hAnsi="Times New Roman"/>
          <w:sz w:val="40"/>
          <w:szCs w:val="40"/>
        </w:rPr>
        <w:t xml:space="preserve">Market Activity</w:t>
      </w:r>
    </w:p>
    <w:p>
      <w:pPr>
        <w:spacing w:after="120" w:line="252"/>
        <w:jc w:val="both"/>
      </w:pPr>
      <w:r>
        <w:rPr>
          <w:rFonts w:ascii="Times New Roman" w:cs="Times New Roman" w:eastAsia="Times New Roman" w:hAnsi="Times New Roman"/>
          <w:sz w:val="21"/>
          <w:szCs w:val="21"/>
        </w:rPr>
        <w:t xml:space="preserve">Hyperscaler borrowing is getting more expensive. Of 91 hyperscaler bonds issued in 2026 with comparable pricing data, 78 traded at higher yields on July 28 than at issuance, with a median increase of about 22bps, a move that blends rates and spread. The cleaner credit signal is the median new issue concession, which widened to 12bps from 2.25bps in 2025, and Amazon's $25bn deal pushed its existing 30 year bond about 20bps wider. The El Paso joint venture bonds priced in July at about 7.5%, roughly 287.5bps over Treasuries, with orders peaking near $20bn, about 1.6 times the deal. In September, a Blue Owl sponsored data center leased to CoreWeave sold $1.1bn of BB- rated five year notes at 9.25%, about 270bps above the average yield on similarly rated debt.</w:t>
      </w:r>
    </w:p>
    <w:tbl>
      <w:tblPr>
        <w:tblW w:type="dxa" w:w="90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244"/>
        <w:gridCol w:w="4400"/>
      </w:tblGrid>
      <w:tr>
        <w:tc>
          <w:tcPr>
            <w:tcW w:type="dxa" w:w="4400"/>
            <w:tcBorders>
              <w:top w:val="none" w:color="FFFFFF" w:sz="0"/>
              <w:left w:val="none" w:color="FFFFFF" w:sz="0"/>
              <w:bottom w:val="none" w:color="FFFFFF" w:sz="0"/>
              <w:right w:val="none" w:color="FFFFFF" w:sz="0"/>
            </w:tcBorders>
          </w:tcPr>
          <w:p>
            <w:pPr>
              <w:spacing w:after="60" w:before="120"/>
              <w:jc w:val="center"/>
            </w:pPr>
            <w:r>
              <w:rPr>
                <w:rFonts w:ascii="Times New Roman" w:cs="Times New Roman" w:eastAsia="Times New Roman" w:hAnsi="Times New Roman"/>
                <w:b/>
                <w:bCs/>
                <w:sz w:val="22"/>
                <w:szCs w:val="22"/>
              </w:rPr>
              <w:t xml:space="preserve">AI Infrastructure Debt Yields (%)</w:t>
            </w:r>
          </w:p>
        </w:tc>
        <w:tc>
          <w:tcPr>
            <w:tcW w:type="dxa" w:w="244"/>
            <w:tcBorders>
              <w:top w:val="none" w:color="FFFFFF" w:sz="0"/>
              <w:left w:val="none" w:color="FFFFFF" w:sz="0"/>
              <w:bottom w:val="none" w:color="FFFFFF" w:sz="0"/>
              <w:right w:val="none" w:color="FFFFFF" w:sz="0"/>
            </w:tcBorders>
          </w:tcPr>
          <w:p/>
        </w:tc>
        <w:tc>
          <w:tcPr>
            <w:tcW w:type="dxa" w:w="4400"/>
            <w:tcBorders>
              <w:top w:val="none" w:color="FFFFFF" w:sz="0"/>
              <w:left w:val="none" w:color="FFFFFF" w:sz="0"/>
              <w:bottom w:val="none" w:color="FFFFFF" w:sz="0"/>
              <w:right w:val="none" w:color="FFFFFF" w:sz="0"/>
            </w:tcBorders>
          </w:tcPr>
          <w:p>
            <w:pPr>
              <w:spacing w:after="60" w:before="120"/>
              <w:jc w:val="center"/>
            </w:pPr>
            <w:r>
              <w:rPr>
                <w:rFonts w:ascii="Times New Roman" w:cs="Times New Roman" w:eastAsia="Times New Roman" w:hAnsi="Times New Roman"/>
                <w:b/>
                <w:bCs/>
                <w:sz w:val="22"/>
                <w:szCs w:val="22"/>
              </w:rPr>
              <w:t xml:space="preserve">Hyperscaler Bond Issuance ($bn)</w:t>
            </w:r>
          </w:p>
        </w:tc>
      </w:tr>
      <w:tr>
        <w:trPr>
          <w:trHeight w:val="3000" w:hRule="exact"/>
        </w:trPr>
        <w:tc>
          <w:tcPr>
            <w:tcW w:type="dxa" w:w="4400"/>
            <w:tcBorders>
              <w:top w:val="dashed" w:color="9B3739" w:sz="8"/>
              <w:left w:val="dashed" w:color="9B3739" w:sz="8"/>
              <w:bottom w:val="dashed" w:color="9B3739" w:sz="8"/>
              <w:right w:val="dashed" w:color="9B3739" w:sz="8"/>
            </w:tcBorders>
            <w:tcMar>
              <w:top w:type="dxa" w:w="100"/>
              <w:left w:type="dxa" w:w="200"/>
              <w:bottom w:type="dxa" w:w="100"/>
              <w:right w:type="dxa" w:w="200"/>
            </w:tcMar>
            <w:vAlign w:val="center"/>
          </w:tcPr>
          <w:p>
            <w:pPr>
              <w:spacing w:after="40" w:before="0"/>
              <w:jc w:val="center"/>
            </w:pPr>
            <w:r>
              <w:rPr>
                <w:rFonts w:ascii="Times New Roman" w:cs="Times New Roman" w:eastAsia="Times New Roman" w:hAnsi="Times New Roman"/>
                <w:b/>
                <w:bCs/>
                <w:i w:val="false"/>
                <w:iCs w:val="false"/>
                <w:color w:val="9B3739"/>
                <w:sz w:val="22"/>
                <w:szCs w:val="22"/>
              </w:rPr>
              <w:t xml:space="preserve">Insert chart</w:t>
            </w:r>
          </w:p>
          <w:p>
            <w:pPr>
              <w:spacing w:after="40" w:before="0"/>
              <w:jc w:val="center"/>
            </w:pPr>
            <w:r>
              <w:rPr>
                <w:rFonts w:ascii="Times New Roman" w:cs="Times New Roman" w:eastAsia="Times New Roman" w:hAnsi="Times New Roman"/>
                <w:b w:val="false"/>
                <w:bCs w:val="false"/>
                <w:i/>
                <w:iCs/>
                <w:color w:val="9B3739"/>
                <w:sz w:val="18"/>
                <w:szCs w:val="18"/>
              </w:rPr>
              <w:t xml:space="preserve">Meta corporate, Hyperion, Oracle 10 year, El Paso, CoreWeave site</w:t>
            </w:r>
          </w:p>
        </w:tc>
        <w:tc>
          <w:tcPr>
            <w:tcW w:type="dxa" w:w="244"/>
            <w:tcBorders>
              <w:top w:val="none" w:color="FFFFFF" w:sz="0"/>
              <w:left w:val="none" w:color="FFFFFF" w:sz="0"/>
              <w:bottom w:val="none" w:color="FFFFFF" w:sz="0"/>
              <w:right w:val="none" w:color="FFFFFF" w:sz="0"/>
            </w:tcBorders>
          </w:tcPr>
          <w:p/>
        </w:tc>
        <w:tc>
          <w:tcPr>
            <w:tcW w:type="dxa" w:w="4400"/>
            <w:tcBorders>
              <w:top w:val="dashed" w:color="9B3739" w:sz="8"/>
              <w:left w:val="dashed" w:color="9B3739" w:sz="8"/>
              <w:bottom w:val="dashed" w:color="9B3739" w:sz="8"/>
              <w:right w:val="dashed" w:color="9B3739" w:sz="8"/>
            </w:tcBorders>
            <w:tcMar>
              <w:top w:type="dxa" w:w="100"/>
              <w:left w:type="dxa" w:w="200"/>
              <w:bottom w:type="dxa" w:w="100"/>
              <w:right w:type="dxa" w:w="200"/>
            </w:tcMar>
            <w:vAlign w:val="center"/>
          </w:tcPr>
          <w:p>
            <w:pPr>
              <w:spacing w:after="40" w:before="0"/>
              <w:jc w:val="center"/>
            </w:pPr>
            <w:r>
              <w:rPr>
                <w:rFonts w:ascii="Times New Roman" w:cs="Times New Roman" w:eastAsia="Times New Roman" w:hAnsi="Times New Roman"/>
                <w:b/>
                <w:bCs/>
                <w:i w:val="false"/>
                <w:iCs w:val="false"/>
                <w:color w:val="9B3739"/>
                <w:sz w:val="22"/>
                <w:szCs w:val="22"/>
              </w:rPr>
              <w:t xml:space="preserve">Insert chart</w:t>
            </w:r>
          </w:p>
          <w:p>
            <w:pPr>
              <w:spacing w:after="40" w:before="0"/>
              <w:jc w:val="center"/>
            </w:pPr>
            <w:r>
              <w:rPr>
                <w:rFonts w:ascii="Times New Roman" w:cs="Times New Roman" w:eastAsia="Times New Roman" w:hAnsi="Times New Roman"/>
                <w:b w:val="false"/>
                <w:bCs w:val="false"/>
                <w:i/>
                <w:iCs/>
                <w:color w:val="9B3739"/>
                <w:sz w:val="18"/>
                <w:szCs w:val="18"/>
              </w:rPr>
              <w:t xml:space="preserve">2025 actual, 2026 YTD, 2026E, 2027E</w:t>
            </w:r>
          </w:p>
        </w:tc>
      </w:tr>
    </w:tbl>
    <w:p>
      <w:pPr>
        <w:pStyle w:val="Heading2"/>
        <w:spacing w:after="60" w:before="160"/>
      </w:pPr>
      <w:r>
        <w:rPr>
          <w:rFonts w:ascii="Times New Roman" w:cs="Times New Roman" w:eastAsia="Times New Roman" w:hAnsi="Times New Roman"/>
          <w:sz w:val="40"/>
          <w:szCs w:val="40"/>
        </w:rPr>
        <w:t xml:space="preserve">Risk Considerations</w:t>
      </w:r>
    </w:p>
    <w:p>
      <w:pPr>
        <w:spacing w:after="120" w:line="252"/>
        <w:jc w:val="both"/>
      </w:pPr>
      <w:r>
        <w:rPr>
          <w:rFonts w:ascii="Times New Roman" w:cs="Times New Roman" w:eastAsia="Times New Roman" w:hAnsi="Times New Roman"/>
          <w:sz w:val="21"/>
          <w:szCs w:val="21"/>
        </w:rPr>
        <w:t xml:space="preserve">Long dated bonds rest on leases to a single tenant, and Hyperion's leases carry a four year initial term, so repayment after year four depends on Meta renewing or on its capped residual value guarantee, which covers the first 16 years. The chips inside, which Moody's says can become obsolete within four to six years, turn over far faster. Before a campus operates, power, permitting, and local opposition can delay rent. The BIS notes this borrowing increasingly sits in vehicles funded through private placements, and Moody's has flagged that short leases can understate effective obligations. The key divergence is between abundant capital and its rising price.</w:t>
      </w:r>
    </w:p>
    <w:tbl>
      <w:tblPr>
        <w:tblW w:type="dxa" w:w="90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244"/>
        <w:gridCol w:w="4400"/>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spacing w:after="60" w:before="60"/>
            </w:pPr>
            <w:r>
              <w:rPr>
                <w:rFonts w:ascii="Times New Roman" w:cs="Times New Roman" w:eastAsia="Times New Roman" w:hAnsi="Times New Roman"/>
                <w:sz w:val="40"/>
                <w:szCs w:val="40"/>
              </w:rPr>
              <w:t xml:space="preserve">Meta SPVs Reprice</w:t>
            </w:r>
          </w:p>
          <w:p>
            <w:pPr>
              <w:spacing w:after="120" w:line="252"/>
              <w:jc w:val="both"/>
            </w:pPr>
            <w:r>
              <w:rPr>
                <w:rFonts w:ascii="Times New Roman" w:cs="Times New Roman" w:eastAsia="Times New Roman" w:hAnsi="Times New Roman"/>
                <w:sz w:val="21"/>
                <w:szCs w:val="21"/>
              </w:rPr>
              <w:t xml:space="preserve">Meta has funded two campuses through joint ventures with private capital. Hyperion in Louisiana raised $27bn in October 2025 with A+ rated bonds due 2049 priced at 6.58%, about 225bps over Treasuries. El Paso, a one gigawatt campus due online in 2028, followed in July with about $12.5bn of amortizing bonds due 2048, also rated A+ by S&amp;P, at about 7.5%. Both rest on leases to Meta. Higher Treasury yields explain part of the gap, but a spread roughly 60bps wider on the same S&amp;P rating and tenant suggests investors now charge more for structure and supply.</w:t>
            </w:r>
          </w:p>
        </w:tc>
        <w:tc>
          <w:tcPr>
            <w:tcW w:type="dxa" w:w="244"/>
            <w:tcBorders>
              <w:top w:val="none" w:color="FFFFFF" w:sz="0"/>
              <w:left w:val="none" w:color="FFFFFF" w:sz="0"/>
              <w:bottom w:val="none" w:color="FFFFFF" w:sz="0"/>
              <w:right w:val="none" w:color="FFFFFF" w:sz="0"/>
            </w:tcBorders>
          </w:tcPr>
          <w:p/>
        </w:tc>
        <w:tc>
          <w:tcPr>
            <w:tcW w:type="dxa" w:w="4400"/>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2"/>
              <w:spacing w:after="60" w:before="60"/>
            </w:pPr>
            <w:r>
              <w:rPr>
                <w:rFonts w:ascii="Times New Roman" w:cs="Times New Roman" w:eastAsia="Times New Roman" w:hAnsi="Times New Roman"/>
                <w:sz w:val="40"/>
                <w:szCs w:val="40"/>
              </w:rPr>
              <w:t xml:space="preserve">Oracle Under Pressure</w:t>
            </w:r>
          </w:p>
          <w:p>
            <w:pPr>
              <w:spacing w:after="120" w:line="252"/>
              <w:jc w:val="both"/>
            </w:pPr>
            <w:r>
              <w:rPr>
                <w:rFonts w:ascii="Times New Roman" w:cs="Times New Roman" w:eastAsia="Times New Roman" w:hAnsi="Times New Roman"/>
                <w:sz w:val="21"/>
                <w:szCs w:val="21"/>
              </w:rPr>
              <w:t xml:space="preserve">S&amp;P cut Oracle to BBB- on July 9, citing a widening cash flow deficit from its AI buildout, and said another downgrade is possible if leverage stays above 4.5x. In September, about $18bn of bank loans tied to its Project Jupiter campus in New Mexico were quoted at 89 to 91 cents, and Oracle sent a force majeure notice to the developer, a Blue Owl unit, citing power delays. Reuters reported that Oracle is not seeking to terminate the lease, could defer rent for up to three years, and would still owe rent for the full term. Oracle says the project is on schedule.</w:t>
            </w:r>
          </w:p>
        </w:tc>
      </w:tr>
    </w:tbl>
    <w:p>
      <w:pPr>
        <w:sectPr>
          <w:headerReference w:type="default" r:id="rId8"/>
          <w:footerReference w:type="default" r:id="rId9"/>
          <w:pgSz w:w="10800" w:h="15600" w:orient="portrait"/>
          <w:pgMar w:top="1040" w:right="878" w:bottom="1250" w:left="878" w:header="280" w:footer="0" w:gutter="0"/>
          <w:pgNumType/>
          <w:docGrid w:linePitch="360"/>
        </w:sectPr>
      </w:pPr>
    </w:p>
    <w:p>
      <w:pPr>
        <w:pStyle w:val="Heading1"/>
        <w:spacing w:after="80" w:before="0"/>
      </w:pPr>
      <w:r>
        <w:rPr>
          <w:rFonts w:ascii="Times New Roman" w:cs="Times New Roman" w:eastAsia="Times New Roman" w:hAnsi="Times New Roman"/>
          <w:b/>
          <w:bCs/>
          <w:color w:val="5A2020"/>
          <w:sz w:val="40"/>
          <w:szCs w:val="40"/>
        </w:rPr>
        <w:t xml:space="preserve">Chart Ideas and Links</w:t>
      </w:r>
    </w:p>
    <w:p>
      <w:pPr>
        <w:spacing w:after="100" w:line="252"/>
      </w:pPr>
      <w:r>
        <w:rPr>
          <w:rFonts w:ascii="Times New Roman" w:cs="Times New Roman" w:eastAsia="Times New Roman" w:hAnsi="Times New Roman"/>
          <w:sz w:val="21"/>
          <w:szCs w:val="21"/>
        </w:rPr>
        <w:t xml:space="preserve">Seven chart ideas with the data points found so far and where to pull them. Charts C and D fill the two placeholders on page 5, and A and B fill the two on page 6. E, F and G are optional swaps. In the PowerPoint, native charts draw automatically once a chart is marked verified in data/chart_data.json. In this Word file the charts are placeholders to paste into.</w:t>
      </w:r>
    </w:p>
    <w:p>
      <w:pPr>
        <w:pStyle w:val="Heading2"/>
        <w:spacing w:after="60" w:before="220"/>
      </w:pPr>
      <w:r>
        <w:rPr>
          <w:rFonts w:ascii="Times New Roman" w:cs="Times New Roman" w:eastAsia="Times New Roman" w:hAnsi="Times New Roman"/>
          <w:b/>
          <w:bCs/>
          <w:color w:val="5A2020"/>
          <w:sz w:val="26"/>
          <w:szCs w:val="26"/>
        </w:rPr>
        <w:t xml:space="preserve">Chart A, AI Infrastructure Debt Yields (%)</w:t>
      </w:r>
    </w:p>
    <w:p>
      <w:pPr>
        <w:spacing w:after="60"/>
      </w:pPr>
      <w:r>
        <w:rPr>
          <w:rFonts w:ascii="Times New Roman" w:cs="Times New Roman" w:eastAsia="Times New Roman" w:hAnsi="Times New Roman"/>
          <w:sz w:val="21"/>
          <w:szCs w:val="21"/>
        </w:rPr>
        <w:t xml:space="preserve">Page 6, left. Horizontal bar, maroon shades like the Auto ABS chart.</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Meta corporate bond (comparable)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5.5</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Oct 2025</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Hyperion project bonds (A+)</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6.58</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Oct 2025</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10 year bond</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6.5</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Jul 2026</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El Paso project bonds (A+)</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7.534</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Jul 2026</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CoreWeave Digital Drive notes</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9.25</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Sep 2026</w:t>
            </w:r>
          </w:p>
        </w:tc>
      </w:tr>
    </w:tbl>
    <w:p>
      <w:pPr>
        <w:spacing w:after="60" w:before="80"/>
      </w:pPr>
      <w:r>
        <w:rPr>
          <w:rFonts w:ascii="Times New Roman" w:cs="Times New Roman" w:eastAsia="Times New Roman" w:hAnsi="Times New Roman"/>
          <w:i/>
          <w:iCs/>
          <w:sz w:val="20"/>
          <w:szCs w:val="20"/>
        </w:rPr>
        <w:t xml:space="preserve">Bars mix dates and maturities, so label each bar with its pricing date. A cleaner version plots spread over Treasuries. I only found a spread for El Paso (about 287.5bps over the 10 year), so pull the rest from Bloomberg before publishing.</w:t>
      </w:r>
    </w:p>
    <w:p>
      <w:pPr>
        <w:pStyle w:val="ListParagraph"/>
        <w:numPr>
          <w:ilvl w:val="0"/>
          <w:numId w:val="2"/>
        </w:numPr>
        <w:spacing w:after="50" w:before="0"/>
      </w:pPr>
      <w:hyperlink w:history="1" r:id="rIdemsh486vcnciv0zemetvj">
        <w:r>
          <w:rPr>
            <w:rFonts w:ascii="Times New Roman" w:cs="Times New Roman" w:eastAsia="Times New Roman" w:hAnsi="Times New Roman"/>
            <w:color w:val="9B3739"/>
            <w:sz w:val="20"/>
            <w:szCs w:val="20"/>
            <w:u w:val="single"/>
          </w:rPr>
          <w:t xml:space="preserve">El Paso repricing, Capacity</w:t>
        </w:r>
      </w:hyperlink>
    </w:p>
    <w:p>
      <w:pPr>
        <w:pStyle w:val="ListParagraph"/>
        <w:numPr>
          <w:ilvl w:val="0"/>
          <w:numId w:val="2"/>
        </w:numPr>
        <w:spacing w:after="50" w:before="0"/>
      </w:pPr>
      <w:hyperlink w:history="1" r:id="rIdfflrvrykxrphcxr06-uvp">
        <w:r>
          <w:rPr>
            <w:rFonts w:ascii="Times New Roman" w:cs="Times New Roman" w:eastAsia="Times New Roman" w:hAnsi="Times New Roman"/>
            <w:color w:val="9B3739"/>
            <w:sz w:val="20"/>
            <w:szCs w:val="20"/>
            <w:u w:val="single"/>
          </w:rPr>
          <w:t xml:space="preserve">El Paso 7.534% yield and 287.5bps spread</w:t>
        </w:r>
      </w:hyperlink>
    </w:p>
    <w:p>
      <w:pPr>
        <w:pStyle w:val="ListParagraph"/>
        <w:numPr>
          <w:ilvl w:val="0"/>
          <w:numId w:val="2"/>
        </w:numPr>
        <w:spacing w:after="50" w:before="0"/>
      </w:pPr>
      <w:hyperlink w:history="1" r:id="rIdtrch5iinl6ra6fiedj32i">
        <w:r>
          <w:rPr>
            <w:rFonts w:ascii="Times New Roman" w:cs="Times New Roman" w:eastAsia="Times New Roman" w:hAnsi="Times New Roman"/>
            <w:color w:val="9B3739"/>
            <w:sz w:val="20"/>
            <w:szCs w:val="20"/>
            <w:u w:val="single"/>
          </w:rPr>
          <w:t xml:space="preserve">Hyperion A+ rating and structure, The Asset</w:t>
        </w:r>
      </w:hyperlink>
    </w:p>
    <w:p>
      <w:pPr>
        <w:pStyle w:val="ListParagraph"/>
        <w:numPr>
          <w:ilvl w:val="0"/>
          <w:numId w:val="2"/>
        </w:numPr>
        <w:spacing w:after="50" w:before="0"/>
      </w:pPr>
      <w:hyperlink w:history="1" r:id="rId-97gkftsm5jbv4ncm1xxa">
        <w:r>
          <w:rPr>
            <w:rFonts w:ascii="Times New Roman" w:cs="Times New Roman" w:eastAsia="Times New Roman" w:hAnsi="Times New Roman"/>
            <w:color w:val="9B3739"/>
            <w:sz w:val="20"/>
            <w:szCs w:val="20"/>
            <w:u w:val="single"/>
          </w:rPr>
          <w:t xml:space="preserve">Hyperion 6.58% versus 5.5% Meta corporate</w:t>
        </w:r>
      </w:hyperlink>
    </w:p>
    <w:p>
      <w:pPr>
        <w:pStyle w:val="ListParagraph"/>
        <w:numPr>
          <w:ilvl w:val="0"/>
          <w:numId w:val="2"/>
        </w:numPr>
        <w:spacing w:after="50" w:before="0"/>
      </w:pPr>
      <w:hyperlink w:history="1" r:id="rIdsc0qpz1w44x6aevusnvna">
        <w:r>
          <w:rPr>
            <w:rFonts w:ascii="Times New Roman" w:cs="Times New Roman" w:eastAsia="Times New Roman" w:hAnsi="Times New Roman"/>
            <w:color w:val="9B3739"/>
            <w:sz w:val="20"/>
            <w:szCs w:val="20"/>
            <w:u w:val="single"/>
          </w:rPr>
          <w:t xml:space="preserve">Oracle 10 year near 6.5%, Bloomberg via TNW</w:t>
        </w:r>
      </w:hyperlink>
    </w:p>
    <w:p>
      <w:pPr>
        <w:pStyle w:val="ListParagraph"/>
        <w:numPr>
          <w:ilvl w:val="0"/>
          <w:numId w:val="2"/>
        </w:numPr>
        <w:spacing w:after="50" w:before="0"/>
      </w:pPr>
      <w:hyperlink w:history="1" r:id="rIdat9b0l9jd8wxktkrj9o1k">
        <w:r>
          <w:rPr>
            <w:rFonts w:ascii="Times New Roman" w:cs="Times New Roman" w:eastAsia="Times New Roman" w:hAnsi="Times New Roman"/>
            <w:color w:val="9B3739"/>
            <w:sz w:val="20"/>
            <w:szCs w:val="20"/>
            <w:u w:val="single"/>
          </w:rPr>
          <w:t xml:space="preserve">CoreWeave site 9.25% and plus 270bps</w:t>
        </w:r>
      </w:hyperlink>
    </w:p>
    <w:p>
      <w:pPr>
        <w:pStyle w:val="Heading2"/>
        <w:spacing w:after="60" w:before="220"/>
      </w:pPr>
      <w:r>
        <w:rPr>
          <w:rFonts w:ascii="Times New Roman" w:cs="Times New Roman" w:eastAsia="Times New Roman" w:hAnsi="Times New Roman"/>
          <w:b/>
          <w:bCs/>
          <w:color w:val="5A2020"/>
          <w:sz w:val="26"/>
          <w:szCs w:val="26"/>
        </w:rPr>
        <w:t xml:space="preserve">Chart B, Hyperscaler Bond Issuance ($bn)</w:t>
      </w:r>
    </w:p>
    <w:p>
      <w:pPr>
        <w:spacing w:after="60"/>
      </w:pPr>
      <w:r>
        <w:rPr>
          <w:rFonts w:ascii="Times New Roman" w:cs="Times New Roman" w:eastAsia="Times New Roman" w:hAnsi="Times New Roman"/>
          <w:sz w:val="21"/>
          <w:szCs w:val="21"/>
        </w:rPr>
        <w:t xml:space="preserve">Page 6, right. Column chart, last two bars shaded lighter to show estimates.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2025 full year (Amazon, Alphabet, Meta, Oracle)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108</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2026 through July 7 (same four issuers)</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194</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2026 estimate (five hyperscalers)</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250</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2027 estimate (five hyperscalers)</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400</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w:t>
            </w:r>
          </w:p>
        </w:tc>
      </w:tr>
    </w:tbl>
    <w:p>
      <w:pPr>
        <w:spacing w:after="60" w:before="80"/>
      </w:pPr>
      <w:r>
        <w:rPr>
          <w:rFonts w:ascii="Times New Roman" w:cs="Times New Roman" w:eastAsia="Times New Roman" w:hAnsi="Times New Roman"/>
          <w:i/>
          <w:iCs/>
          <w:sz w:val="20"/>
          <w:szCs w:val="20"/>
        </w:rPr>
        <w:t xml:space="preserve">The first two bars cover four issuers and Goldman's cover five (adding Microsoft), so footnote the scope or use one scope throughout. A stacked version by issuer is possible using the dated issuance table in the Silicon Analysts link.</w:t>
      </w:r>
    </w:p>
    <w:p>
      <w:pPr>
        <w:pStyle w:val="ListParagraph"/>
        <w:numPr>
          <w:ilvl w:val="0"/>
          <w:numId w:val="2"/>
        </w:numPr>
        <w:spacing w:after="50" w:before="0"/>
      </w:pPr>
      <w:hyperlink w:history="1" r:id="rIduj7yvmxvppxbohbi3pluy">
        <w:r>
          <w:rPr>
            <w:rFonts w:ascii="Times New Roman" w:cs="Times New Roman" w:eastAsia="Times New Roman" w:hAnsi="Times New Roman"/>
            <w:color w:val="9B3739"/>
            <w:sz w:val="20"/>
            <w:szCs w:val="20"/>
            <w:u w:val="single"/>
          </w:rPr>
          <w:t xml:space="preserve">Reuters analysis of LSEG data via Yahoo Finance</w:t>
        </w:r>
      </w:hyperlink>
    </w:p>
    <w:p>
      <w:pPr>
        <w:pStyle w:val="ListParagraph"/>
        <w:numPr>
          <w:ilvl w:val="0"/>
          <w:numId w:val="2"/>
        </w:numPr>
        <w:spacing w:after="50" w:before="0"/>
      </w:pPr>
      <w:hyperlink w:history="1" r:id="rIdf9xqki32b0j_dykjb5ejm">
        <w:r>
          <w:rPr>
            <w:rFonts w:ascii="Times New Roman" w:cs="Times New Roman" w:eastAsia="Times New Roman" w:hAnsi="Times New Roman"/>
            <w:color w:val="9B3739"/>
            <w:sz w:val="20"/>
            <w:szCs w:val="20"/>
            <w:u w:val="single"/>
          </w:rPr>
          <w:t xml:space="preserve">Dated deal table by issuer, Silicon Analysts</w:t>
        </w:r>
      </w:hyperlink>
    </w:p>
    <w:p>
      <w:pPr>
        <w:pStyle w:val="ListParagraph"/>
        <w:numPr>
          <w:ilvl w:val="0"/>
          <w:numId w:val="2"/>
        </w:numPr>
        <w:spacing w:after="50" w:before="0"/>
      </w:pPr>
      <w:hyperlink w:history="1" r:id="rIdyvdm8sn0dop4re-luhoob">
        <w:r>
          <w:rPr>
            <w:rFonts w:ascii="Times New Roman" w:cs="Times New Roman" w:eastAsia="Times New Roman" w:hAnsi="Times New Roman"/>
            <w:color w:val="9B3739"/>
            <w:sz w:val="20"/>
            <w:szCs w:val="20"/>
            <w:u w:val="single"/>
          </w:rPr>
          <w:t xml:space="preserve">Issuance by currency, about $170bn by June 26, Aviva Investors</w:t>
        </w:r>
      </w:hyperlink>
    </w:p>
    <w:p>
      <w:pPr>
        <w:pStyle w:val="ListParagraph"/>
        <w:numPr>
          <w:ilvl w:val="0"/>
          <w:numId w:val="2"/>
        </w:numPr>
        <w:spacing w:after="50" w:before="0"/>
      </w:pPr>
      <w:hyperlink w:history="1" r:id="rIdwmsuobt2gz1zpyfp6fo_y">
        <w:r>
          <w:rPr>
            <w:rFonts w:ascii="Times New Roman" w:cs="Times New Roman" w:eastAsia="Times New Roman" w:hAnsi="Times New Roman"/>
            <w:color w:val="9B3739"/>
            <w:sz w:val="20"/>
            <w:szCs w:val="20"/>
            <w:u w:val="single"/>
          </w:rPr>
          <w:t xml:space="preserve">About $220bn through August, via MLQ</w:t>
        </w:r>
      </w:hyperlink>
    </w:p>
    <w:p>
      <w:pPr>
        <w:pStyle w:val="Heading2"/>
        <w:spacing w:after="60" w:before="220"/>
      </w:pPr>
      <w:r>
        <w:rPr>
          <w:rFonts w:ascii="Times New Roman" w:cs="Times New Roman" w:eastAsia="Times New Roman" w:hAnsi="Times New Roman"/>
          <w:b/>
          <w:bCs/>
          <w:color w:val="5A2020"/>
          <w:sz w:val="26"/>
          <w:szCs w:val="26"/>
        </w:rPr>
        <w:t xml:space="preserve">Chart C, Capex Versus Operating Cash Flow and Debt Funding ($bn)</w:t>
      </w:r>
    </w:p>
    <w:p>
      <w:pPr>
        <w:spacing w:after="60"/>
      </w:pPr>
      <w:r>
        <w:rPr>
          <w:rFonts w:ascii="Times New Roman" w:cs="Times New Roman" w:eastAsia="Times New Roman" w:hAnsi="Times New Roman"/>
          <w:sz w:val="21"/>
          <w:szCs w:val="21"/>
        </w:rPr>
        <w:t xml:space="preserve">Page 5, left. Clustered column plus a callout for debt share.</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2026 hyperscaler capex estimate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750</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2026 operating cash flow estimate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778</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Debt issuance as a share of capex</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33% in 2026, 35% in 2027</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w:t>
            </w:r>
          </w:p>
        </w:tc>
      </w:tr>
    </w:tbl>
    <w:p>
      <w:pPr>
        <w:spacing w:after="60" w:before="80"/>
      </w:pPr>
      <w:r>
        <w:rPr>
          <w:rFonts w:ascii="Times New Roman" w:cs="Times New Roman" w:eastAsia="Times New Roman" w:hAnsi="Times New Roman"/>
          <w:i/>
          <w:iCs/>
          <w:sz w:val="20"/>
          <w:szCs w:val="20"/>
        </w:rPr>
        <w:t xml:space="preserve">S&amp;P's own capex estimate for the five is also about $750bn, equal to 38% of their combined revenue, which gives a second source.</w:t>
      </w:r>
    </w:p>
    <w:p>
      <w:pPr>
        <w:pStyle w:val="ListParagraph"/>
        <w:numPr>
          <w:ilvl w:val="0"/>
          <w:numId w:val="2"/>
        </w:numPr>
        <w:spacing w:after="50" w:before="0"/>
      </w:pPr>
      <w:hyperlink w:history="1" r:id="rIdk6pg1y7nz022wfd8le4sj">
        <w:r>
          <w:rPr>
            <w:rFonts w:ascii="Times New Roman" w:cs="Times New Roman" w:eastAsia="Times New Roman" w:hAnsi="Times New Roman"/>
            <w:color w:val="9B3739"/>
            <w:sz w:val="20"/>
            <w:szCs w:val="20"/>
            <w:u w:val="single"/>
          </w:rPr>
          <w:t xml:space="preserve">Goldman capex and cash flow figures via Yahoo Finance</w:t>
        </w:r>
      </w:hyperlink>
    </w:p>
    <w:p>
      <w:pPr>
        <w:pStyle w:val="ListParagraph"/>
        <w:numPr>
          <w:ilvl w:val="0"/>
          <w:numId w:val="2"/>
        </w:numPr>
        <w:spacing w:after="50" w:before="0"/>
      </w:pPr>
      <w:hyperlink w:history="1" r:id="rIdhqdzmmcqiyqr-rayf2-u9">
        <w:r>
          <w:rPr>
            <w:rFonts w:ascii="Times New Roman" w:cs="Times New Roman" w:eastAsia="Times New Roman" w:hAnsi="Times New Roman"/>
            <w:color w:val="9B3739"/>
            <w:sz w:val="20"/>
            <w:szCs w:val="20"/>
            <w:u w:val="single"/>
          </w:rPr>
          <w:t xml:space="preserve">S&amp;P capex estimate and ratings by issuer via MLQ</w:t>
        </w:r>
      </w:hyperlink>
    </w:p>
    <w:p>
      <w:pPr>
        <w:pStyle w:val="Heading2"/>
        <w:spacing w:after="60" w:before="220"/>
      </w:pPr>
      <w:r>
        <w:rPr>
          <w:rFonts w:ascii="Times New Roman" w:cs="Times New Roman" w:eastAsia="Times New Roman" w:hAnsi="Times New Roman"/>
          <w:b/>
          <w:bCs/>
          <w:color w:val="5A2020"/>
          <w:sz w:val="26"/>
          <w:szCs w:val="26"/>
        </w:rPr>
        <w:t xml:space="preserve">Chart D, Asset Life Versus Debt Maturity (years)</w:t>
      </w:r>
    </w:p>
    <w:p>
      <w:pPr>
        <w:spacing w:after="60"/>
      </w:pPr>
      <w:r>
        <w:rPr>
          <w:rFonts w:ascii="Times New Roman" w:cs="Times New Roman" w:eastAsia="Times New Roman" w:hAnsi="Times New Roman"/>
          <w:sz w:val="21"/>
          <w:szCs w:val="21"/>
        </w:rPr>
        <w:t xml:space="preserve">Page 5, right. Horizontal bar, shows the duration mismatch in one picture.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GPU useful life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3 to 5</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Capacity</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Hyperion initial lease term</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4 (extensions available)</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via iTiger</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El Paso lease obligation</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up to 20</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Zhitong via Webull</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El Paso bond maturity</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2048, about 22 years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via Briefs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Hyperion bond maturity</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2049, about 24 years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Capacity</w:t>
            </w:r>
          </w:p>
        </w:tc>
      </w:tr>
    </w:tbl>
    <w:p>
      <w:pPr>
        <w:spacing w:after="60" w:before="80"/>
      </w:pPr>
      <w:r>
        <w:rPr>
          <w:rFonts w:ascii="Times New Roman" w:cs="Times New Roman" w:eastAsia="Times New Roman" w:hAnsi="Times New Roman"/>
          <w:i/>
          <w:iCs/>
          <w:sz w:val="20"/>
          <w:szCs w:val="20"/>
        </w:rPr>
        <w:t xml:space="preserve">This is the most original visual in the set. The El Paso 20 year lease comes from a weaker source, so verify it before using.</w:t>
      </w:r>
    </w:p>
    <w:p>
      <w:pPr>
        <w:pStyle w:val="ListParagraph"/>
        <w:numPr>
          <w:ilvl w:val="0"/>
          <w:numId w:val="2"/>
        </w:numPr>
        <w:spacing w:after="50" w:before="0"/>
      </w:pPr>
      <w:hyperlink w:history="1" r:id="rIdo8byzn94gb5vvnx_1oxwm">
        <w:r>
          <w:rPr>
            <w:rFonts w:ascii="Times New Roman" w:cs="Times New Roman" w:eastAsia="Times New Roman" w:hAnsi="Times New Roman"/>
            <w:color w:val="9B3739"/>
            <w:sz w:val="20"/>
            <w:szCs w:val="20"/>
            <w:u w:val="single"/>
          </w:rPr>
          <w:t xml:space="preserve">Duration mismatch discussion, Capacity</w:t>
        </w:r>
      </w:hyperlink>
    </w:p>
    <w:p>
      <w:pPr>
        <w:pStyle w:val="ListParagraph"/>
        <w:numPr>
          <w:ilvl w:val="0"/>
          <w:numId w:val="2"/>
        </w:numPr>
        <w:spacing w:after="50" w:before="0"/>
      </w:pPr>
      <w:hyperlink w:history="1" r:id="rIdpfy_tg_zfjo4fkb_dcsvf">
        <w:r>
          <w:rPr>
            <w:rFonts w:ascii="Times New Roman" w:cs="Times New Roman" w:eastAsia="Times New Roman" w:hAnsi="Times New Roman"/>
            <w:color w:val="9B3739"/>
            <w:sz w:val="20"/>
            <w:szCs w:val="20"/>
            <w:u w:val="single"/>
          </w:rPr>
          <w:t xml:space="preserve">Hyperion lease and residual value guarantee</w:t>
        </w:r>
      </w:hyperlink>
    </w:p>
    <w:p>
      <w:pPr>
        <w:pStyle w:val="ListParagraph"/>
        <w:numPr>
          <w:ilvl w:val="0"/>
          <w:numId w:val="2"/>
        </w:numPr>
        <w:spacing w:after="50" w:before="0"/>
      </w:pPr>
      <w:hyperlink w:history="1" r:id="rId_aeele-vpi2thjffy2qsp">
        <w:r>
          <w:rPr>
            <w:rFonts w:ascii="Times New Roman" w:cs="Times New Roman" w:eastAsia="Times New Roman" w:hAnsi="Times New Roman"/>
            <w:color w:val="9B3739"/>
            <w:sz w:val="20"/>
            <w:szCs w:val="20"/>
            <w:u w:val="single"/>
          </w:rPr>
          <w:t xml:space="preserve">El Paso lease and insurance details</w:t>
        </w:r>
      </w:hyperlink>
    </w:p>
    <w:p>
      <w:pPr>
        <w:pStyle w:val="Heading2"/>
        <w:spacing w:after="60" w:before="220"/>
      </w:pPr>
      <w:r>
        <w:rPr>
          <w:rFonts w:ascii="Times New Roman" w:cs="Times New Roman" w:eastAsia="Times New Roman" w:hAnsi="Times New Roman"/>
          <w:b/>
          <w:bCs/>
          <w:color w:val="5A2020"/>
          <w:sz w:val="26"/>
          <w:szCs w:val="26"/>
        </w:rPr>
        <w:t xml:space="preserve">Chart E, Oracle Credit Spread Versus BBB Index</w:t>
      </w:r>
    </w:p>
    <w:p>
      <w:pPr>
        <w:spacing w:after="60"/>
      </w:pPr>
      <w:r>
        <w:rPr>
          <w:rFonts w:ascii="Times New Roman" w:cs="Times New Roman" w:eastAsia="Times New Roman" w:hAnsi="Times New Roman"/>
          <w:sz w:val="21"/>
          <w:szCs w:val="21"/>
        </w:rPr>
        <w:t xml:space="preserve">Optional, page 6 swap. Line chart.</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5 year CDS, 2025 to present</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ORCL CDS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terminal</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ICE BofA BBB option adjusted spread</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FRED BAMLC0A4CBBB</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FRED</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ICE BofA high yield option adjusted spread</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FRED BAMLH0A0HYM2</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FRED</w:t>
            </w:r>
          </w:p>
        </w:tc>
      </w:tr>
    </w:tbl>
    <w:p>
      <w:pPr>
        <w:spacing w:after="60" w:before="80"/>
      </w:pPr>
      <w:r>
        <w:rPr>
          <w:rFonts w:ascii="Times New Roman" w:cs="Times New Roman" w:eastAsia="Times New Roman" w:hAnsi="Times New Roman"/>
          <w:i/>
          <w:iCs/>
          <w:sz w:val="20"/>
          <w:szCs w:val="20"/>
        </w:rPr>
        <w:t xml:space="preserve">Pairs naturally with the BBB- downgrade and the August recap's high yield spread discussion. FRED series IDs are from memory and I did not open them this session, so confirm the links resolve. Oracle CDS has to come from Bloomberg.</w:t>
      </w:r>
    </w:p>
    <w:p>
      <w:pPr>
        <w:pStyle w:val="ListParagraph"/>
        <w:numPr>
          <w:ilvl w:val="0"/>
          <w:numId w:val="2"/>
        </w:numPr>
        <w:spacing w:after="50" w:before="0"/>
      </w:pPr>
      <w:hyperlink w:history="1" r:id="rIdjg0-bou3oussjustl5spj">
        <w:r>
          <w:rPr>
            <w:rFonts w:ascii="Times New Roman" w:cs="Times New Roman" w:eastAsia="Times New Roman" w:hAnsi="Times New Roman"/>
            <w:color w:val="9B3739"/>
            <w:sz w:val="20"/>
            <w:szCs w:val="20"/>
            <w:u w:val="single"/>
          </w:rPr>
          <w:t xml:space="preserve">BBB spread, FRED</w:t>
        </w:r>
      </w:hyperlink>
    </w:p>
    <w:p>
      <w:pPr>
        <w:pStyle w:val="ListParagraph"/>
        <w:numPr>
          <w:ilvl w:val="0"/>
          <w:numId w:val="2"/>
        </w:numPr>
        <w:spacing w:after="50" w:before="0"/>
      </w:pPr>
      <w:hyperlink w:history="1" r:id="rIdjxkssqxjodxvsllfuaf0n">
        <w:r>
          <w:rPr>
            <w:rFonts w:ascii="Times New Roman" w:cs="Times New Roman" w:eastAsia="Times New Roman" w:hAnsi="Times New Roman"/>
            <w:color w:val="9B3739"/>
            <w:sz w:val="20"/>
            <w:szCs w:val="20"/>
            <w:u w:val="single"/>
          </w:rPr>
          <w:t xml:space="preserve">High yield spread, FRED</w:t>
        </w:r>
      </w:hyperlink>
    </w:p>
    <w:p>
      <w:pPr>
        <w:pStyle w:val="ListParagraph"/>
        <w:numPr>
          <w:ilvl w:val="0"/>
          <w:numId w:val="2"/>
        </w:numPr>
        <w:spacing w:after="50" w:before="0"/>
      </w:pPr>
      <w:hyperlink w:history="1" r:id="rId6mdkaz3www-ub3_khiq6k">
        <w:r>
          <w:rPr>
            <w:rFonts w:ascii="Times New Roman" w:cs="Times New Roman" w:eastAsia="Times New Roman" w:hAnsi="Times New Roman"/>
            <w:color w:val="9B3739"/>
            <w:sz w:val="20"/>
            <w:szCs w:val="20"/>
            <w:u w:val="single"/>
          </w:rPr>
          <w:t xml:space="preserve">Oracle downgrade details, PPC Land</w:t>
        </w:r>
      </w:hyperlink>
    </w:p>
    <w:p>
      <w:pPr>
        <w:pStyle w:val="ListParagraph"/>
        <w:numPr>
          <w:ilvl w:val="0"/>
          <w:numId w:val="2"/>
        </w:numPr>
        <w:spacing w:after="50" w:before="0"/>
      </w:pPr>
      <w:hyperlink w:history="1" r:id="rId4qczuw3sbsxkipizzdl-l">
        <w:r>
          <w:rPr>
            <w:rFonts w:ascii="Times New Roman" w:cs="Times New Roman" w:eastAsia="Times New Roman" w:hAnsi="Times New Roman"/>
            <w:color w:val="9B3739"/>
            <w:sz w:val="20"/>
            <w:szCs w:val="20"/>
            <w:u w:val="single"/>
          </w:rPr>
          <w:t xml:space="preserve">Oracle BBB- and bond yield, TNW</w:t>
        </w:r>
      </w:hyperlink>
    </w:p>
    <w:p>
      <w:pPr>
        <w:pStyle w:val="Heading2"/>
        <w:spacing w:after="60" w:before="220"/>
      </w:pPr>
      <w:r>
        <w:rPr>
          <w:rFonts w:ascii="Times New Roman" w:cs="Times New Roman" w:eastAsia="Times New Roman" w:hAnsi="Times New Roman"/>
          <w:b/>
          <w:bCs/>
          <w:color w:val="5A2020"/>
          <w:sz w:val="26"/>
          <w:szCs w:val="26"/>
        </w:rPr>
        <w:t xml:space="preserve">Chart F, Project Jupiter Timeline</w:t>
      </w:r>
    </w:p>
    <w:p>
      <w:pPr>
        <w:spacing w:after="60"/>
      </w:pPr>
      <w:r>
        <w:rPr>
          <w:rFonts w:ascii="Times New Roman" w:cs="Times New Roman" w:eastAsia="Times New Roman" w:hAnsi="Times New Roman"/>
          <w:sz w:val="21"/>
          <w:szCs w:val="21"/>
        </w:rPr>
        <w:t xml:space="preserve">Optional, Oracle callout graphic. Simple dated timeline.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Late 2025</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$18bn of bank loans arranged by about 20 banks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FT via Reuters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Jul 9, 2026</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S&amp;P cuts Oracle to BBB-</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S&amp;P via PPC Land</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Sep 18 to 19, 2026</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Loans quoted at 89 to 91 cents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FT via Reuters</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Sep 24, 2026</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sends force majeure notice to Blue Owl unit</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Bloomberg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Feb 1, 2027</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Gas pipeline in service date after two state denials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via AI Weekly</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2028</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Planned campus opening</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w:t>
            </w:r>
          </w:p>
        </w:tc>
      </w:tr>
    </w:tbl>
    <w:p>
      <w:pPr>
        <w:spacing w:after="60" w:before="80"/>
      </w:pPr>
      <w:r>
        <w:rPr>
          <w:rFonts w:ascii="Times New Roman" w:cs="Times New Roman" w:eastAsia="Times New Roman" w:hAnsi="Times New Roman"/>
          <w:i/>
          <w:iCs/>
          <w:sz w:val="20"/>
          <w:szCs w:val="20"/>
        </w:rPr>
        <w:t xml:space="preserve">Useful if the Oracle callout needs a visual instead of a second page two chart.</w:t>
      </w:r>
    </w:p>
    <w:p>
      <w:pPr>
        <w:pStyle w:val="ListParagraph"/>
        <w:numPr>
          <w:ilvl w:val="0"/>
          <w:numId w:val="2"/>
        </w:numPr>
        <w:spacing w:after="50" w:before="0"/>
      </w:pPr>
      <w:hyperlink w:history="1" r:id="rIddh04sypt-q9yqsss4w5ob">
        <w:r>
          <w:rPr>
            <w:rFonts w:ascii="Times New Roman" w:cs="Times New Roman" w:eastAsia="Times New Roman" w:hAnsi="Times New Roman"/>
            <w:color w:val="9B3739"/>
            <w:sz w:val="20"/>
            <w:szCs w:val="20"/>
            <w:u w:val="single"/>
          </w:rPr>
          <w:t xml:space="preserve">Reuters on the force majeure notice</w:t>
        </w:r>
      </w:hyperlink>
    </w:p>
    <w:p>
      <w:pPr>
        <w:pStyle w:val="ListParagraph"/>
        <w:numPr>
          <w:ilvl w:val="0"/>
          <w:numId w:val="2"/>
        </w:numPr>
        <w:spacing w:after="50" w:before="0"/>
      </w:pPr>
      <w:hyperlink w:history="1" r:id="rIdks9o2hguplzlc8dh2hnlv">
        <w:r>
          <w:rPr>
            <w:rFonts w:ascii="Times New Roman" w:cs="Times New Roman" w:eastAsia="Times New Roman" w:hAnsi="Times New Roman"/>
            <w:color w:val="9B3739"/>
            <w:sz w:val="20"/>
            <w:szCs w:val="20"/>
            <w:u w:val="single"/>
          </w:rPr>
          <w:t xml:space="preserve">FT report on loan prices via The Star</w:t>
        </w:r>
      </w:hyperlink>
    </w:p>
    <w:p>
      <w:pPr>
        <w:pStyle w:val="ListParagraph"/>
        <w:numPr>
          <w:ilvl w:val="0"/>
          <w:numId w:val="2"/>
        </w:numPr>
        <w:spacing w:after="50" w:before="0"/>
      </w:pPr>
      <w:hyperlink w:history="1" r:id="rIdtguur7zdqzwey8eflex1n">
        <w:r>
          <w:rPr>
            <w:rFonts w:ascii="Times New Roman" w:cs="Times New Roman" w:eastAsia="Times New Roman" w:hAnsi="Times New Roman"/>
            <w:color w:val="9B3739"/>
            <w:sz w:val="20"/>
            <w:szCs w:val="20"/>
            <w:u w:val="single"/>
          </w:rPr>
          <w:t xml:space="preserve">Pipeline delay detail, AI Weekly</w:t>
        </w:r>
      </w:hyperlink>
    </w:p>
    <w:p>
      <w:pPr>
        <w:pStyle w:val="ListParagraph"/>
        <w:numPr>
          <w:ilvl w:val="0"/>
          <w:numId w:val="2"/>
        </w:numPr>
        <w:spacing w:after="50" w:before="0"/>
      </w:pPr>
      <w:hyperlink w:history="1" r:id="rIdjylcwxb3q4jpfncxbpg7p">
        <w:r>
          <w:rPr>
            <w:rFonts w:ascii="Times New Roman" w:cs="Times New Roman" w:eastAsia="Times New Roman" w:hAnsi="Times New Roman"/>
            <w:color w:val="9B3739"/>
            <w:sz w:val="20"/>
            <w:szCs w:val="20"/>
            <w:u w:val="single"/>
          </w:rPr>
          <w:t xml:space="preserve">Axios on spread moves in related notes</w:t>
        </w:r>
      </w:hyperlink>
    </w:p>
    <w:p>
      <w:pPr>
        <w:pStyle w:val="Heading2"/>
        <w:spacing w:after="60" w:before="220"/>
      </w:pPr>
      <w:r>
        <w:rPr>
          <w:rFonts w:ascii="Times New Roman" w:cs="Times New Roman" w:eastAsia="Times New Roman" w:hAnsi="Times New Roman"/>
          <w:b/>
          <w:bCs/>
          <w:color w:val="5A2020"/>
          <w:sz w:val="26"/>
          <w:szCs w:val="26"/>
        </w:rPr>
        <w:t xml:space="preserve">Chart G, Hyperscaler Bonds Trading Wider Than Issue</w:t>
      </w:r>
    </w:p>
    <w:p>
      <w:pPr>
        <w:spacing w:after="60"/>
      </w:pPr>
      <w:r>
        <w:rPr>
          <w:rFonts w:ascii="Times New Roman" w:cs="Times New Roman" w:eastAsia="Times New Roman" w:hAnsi="Times New Roman"/>
          <w:sz w:val="21"/>
          <w:szCs w:val="21"/>
        </w:rPr>
        <w:t xml:space="preserve">Optional. Two simple stat callouts or a small bar pair.</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6"/>
        <w:gridCol w:w="2580"/>
        <w:gridCol w:w="2064"/>
      </w:tblGrid>
      <w:tr>
        <w:trPr>
          <w:tblHeader/>
        </w:trPr>
        <w:tc>
          <w:tcPr>
            <w:tcW w:type="dxa" w:w="3956"/>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Data point</w:t>
            </w:r>
          </w:p>
        </w:tc>
        <w:tc>
          <w:tcPr>
            <w:tcW w:type="dxa" w:w="258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Value</w:t>
            </w:r>
          </w:p>
        </w:tc>
        <w:tc>
          <w:tcPr>
            <w:tcW w:type="dxa" w:w="2064"/>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Source</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Bonds trading wider than issue (July 28)</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78 of 91</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Median yield increase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22bps</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Median new issue concession</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12bps in 2026 versus 2.25bps in 2025</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3956"/>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Hyperscaler share of USD IG issuance</w:t>
            </w:r>
          </w:p>
        </w:tc>
        <w:tc>
          <w:tcPr>
            <w:tcW w:type="dxa" w:w="258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about 2% (2022 to 2024) versus about 9% projected 2026</w:t>
            </w:r>
          </w:p>
        </w:tc>
        <w:tc>
          <w:tcPr>
            <w:tcW w:type="dxa" w:w="2064"/>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via ECM Source</w:t>
            </w:r>
          </w:p>
        </w:tc>
      </w:tr>
    </w:tbl>
    <w:p>
      <w:pPr>
        <w:spacing w:after="60" w:before="80"/>
      </w:pPr>
      <w:r>
        <w:rPr>
          <w:rFonts w:ascii="Times New Roman" w:cs="Times New Roman" w:eastAsia="Times New Roman" w:hAnsi="Times New Roman"/>
          <w:i/>
          <w:iCs/>
          <w:sz w:val="20"/>
          <w:szCs w:val="20"/>
        </w:rPr>
        <w:t xml:space="preserve">The share of IG issuance figure comes from an aggregator quoting Morningstar and Bloomberg, so verify it before using.</w:t>
      </w:r>
    </w:p>
    <w:p>
      <w:pPr>
        <w:pStyle w:val="ListParagraph"/>
        <w:numPr>
          <w:ilvl w:val="0"/>
          <w:numId w:val="2"/>
        </w:numPr>
        <w:spacing w:after="50" w:before="0"/>
      </w:pPr>
      <w:hyperlink w:history="1" r:id="rIdgmk7grdllo5b6gehjlk2a">
        <w:r>
          <w:rPr>
            <w:rFonts w:ascii="Times New Roman" w:cs="Times New Roman" w:eastAsia="Times New Roman" w:hAnsi="Times New Roman"/>
            <w:color w:val="9B3739"/>
            <w:sz w:val="20"/>
            <w:szCs w:val="20"/>
            <w:u w:val="single"/>
          </w:rPr>
          <w:t xml:space="preserve">Reuters via Yahoo Finance</w:t>
        </w:r>
      </w:hyperlink>
    </w:p>
    <w:p>
      <w:pPr>
        <w:pStyle w:val="ListParagraph"/>
        <w:numPr>
          <w:ilvl w:val="0"/>
          <w:numId w:val="2"/>
        </w:numPr>
        <w:spacing w:after="50" w:before="0"/>
      </w:pPr>
      <w:hyperlink w:history="1" r:id="rIdsfhfgykl2olc4rukdzsuj">
        <w:r>
          <w:rPr>
            <w:rFonts w:ascii="Times New Roman" w:cs="Times New Roman" w:eastAsia="Times New Roman" w:hAnsi="Times New Roman"/>
            <w:color w:val="9B3739"/>
            <w:sz w:val="20"/>
            <w:szCs w:val="20"/>
            <w:u w:val="single"/>
          </w:rPr>
          <w:t xml:space="preserve">IG record August and issuer share, ECM Source</w:t>
        </w:r>
      </w:hyperlink>
    </w:p>
    <w:p>
      <w:pPr>
        <w:pStyle w:val="ListParagraph"/>
        <w:numPr>
          <w:ilvl w:val="0"/>
          <w:numId w:val="2"/>
        </w:numPr>
        <w:spacing w:after="50" w:before="0"/>
      </w:pPr>
      <w:hyperlink w:history="1" r:id="rIdzdhrp36v0uci5dr_1k9_p">
        <w:r>
          <w:rPr>
            <w:rFonts w:ascii="Times New Roman" w:cs="Times New Roman" w:eastAsia="Times New Roman" w:hAnsi="Times New Roman"/>
            <w:color w:val="9B3739"/>
            <w:sz w:val="20"/>
            <w:szCs w:val="20"/>
            <w:u w:val="single"/>
          </w:rPr>
          <w:t xml:space="preserve">Amazon deal pushing spreads wider, Sage Advisory</w:t>
        </w:r>
      </w:hyperlink>
    </w:p>
    <w:p>
      <w:pPr>
        <w:pageBreakBefore/>
      </w:pPr>
    </w:p>
    <w:p>
      <w:pPr>
        <w:pStyle w:val="Heading1"/>
        <w:spacing w:after="80" w:before="0"/>
      </w:pPr>
      <w:r>
        <w:rPr>
          <w:rFonts w:ascii="Times New Roman" w:cs="Times New Roman" w:eastAsia="Times New Roman" w:hAnsi="Times New Roman"/>
          <w:b/>
          <w:bCs/>
          <w:color w:val="5A2020"/>
          <w:sz w:val="40"/>
          <w:szCs w:val="40"/>
        </w:rPr>
        <w:t xml:space="preserve">Verification Checklist</w:t>
      </w:r>
    </w:p>
    <w:p>
      <w:pPr>
        <w:spacing w:after="100" w:line="252"/>
      </w:pPr>
      <w:r>
        <w:rPr>
          <w:rFonts w:ascii="Times New Roman" w:cs="Times New Roman" w:eastAsia="Times New Roman" w:hAnsi="Times New Roman"/>
          <w:sz w:val="21"/>
          <w:szCs w:val="21"/>
        </w:rPr>
        <w:t xml:space="preserve">Check these before the report goes out. Several figures reached me through aggregator reposts of Bloomberg, Reuters and the FT, so the primary source should replace them.</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4730"/>
        <w:gridCol w:w="2150"/>
      </w:tblGrid>
      <w:tr>
        <w:trPr>
          <w:tblHeader/>
        </w:trPr>
        <w:tc>
          <w:tcPr>
            <w:tcW w:type="dxa" w:w="172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Item</w:t>
            </w:r>
          </w:p>
        </w:tc>
        <w:tc>
          <w:tcPr>
            <w:tcW w:type="dxa" w:w="473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What to check</w:t>
            </w:r>
          </w:p>
        </w:tc>
        <w:tc>
          <w:tcPr>
            <w:tcW w:type="dxa" w:w="2150"/>
            <w:tcBorders>
              <w:top w:val="single" w:color="C9B3B0" w:sz="4"/>
              <w:left w:val="single" w:color="C9B3B0" w:sz="4"/>
              <w:bottom w:val="single" w:color="C9B3B0" w:sz="4"/>
              <w:right w:val="single" w:color="C9B3B0" w:sz="4"/>
            </w:tcBorders>
            <w:shd w:fill="4F1D1B" w:color="auto" w:val="clear"/>
            <w:tcMar>
              <w:top w:type="dxa" w:w="60"/>
              <w:left w:type="dxa" w:w="90"/>
              <w:bottom w:type="dxa" w:w="60"/>
              <w:right w:type="dxa" w:w="90"/>
            </w:tcMar>
          </w:tcPr>
          <w:p>
            <w:pPr>
              <w:spacing w:after="0" w:before="0"/>
            </w:pPr>
            <w:r>
              <w:rPr>
                <w:rFonts w:ascii="Times New Roman" w:cs="Times New Roman" w:eastAsia="Times New Roman" w:hAnsi="Times New Roman"/>
                <w:b/>
                <w:bCs/>
                <w:color w:val="FFFFFF"/>
                <w:sz w:val="18"/>
                <w:szCs w:val="18"/>
              </w:rPr>
              <w:t xml:space="preserve">Where</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El Paso pricing</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7.534% yield, about 287.5bps over the 10 year, roughly $17bn of orders, $12.55bn size. These trace to reposts of Bloomberg. Marketed size was $12.3bn, so use the priced figure.</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or the offering documents</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Hyperion versus El Paso cost</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6.58% and the 5.5% Meta comparison come from a secondary source, and the deals priced at different Treasury levels. The 'higher cost on the same rating' line is safest with spreads.</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deal pages, pull Hyperion spread</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rating</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Several outlets report S&amp;P cut Oracle to BBB- on July 9. One aggregator listed BBB with a negative outlook in August. Confirm the current S&amp;P rating and outlook.</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S&amp;P Global Ratings</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debt figures</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The $43bn fiscal 2026 raise is on the page. Other figures conflict, including debt above $122bn, $117bn outstanding, and about $260bn of lease obligations.</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Oracle 10 K and 10 Q</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Hyperscaler issuance scope</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$194bn through July 7 covers four issuers. About $220bn through August covers five. Decide on one cutoff and scope.</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Reuters and LSEG</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figures</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$750bn capex, $778bn operating cash flow, debt about one third of capex, $250bn and $400bn issuance estimates. Reported through Reuters.</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Goldman Sachs note</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IG record and issuer share</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$145.2bn August record and the 2% to 9% issuer share come from an aggregator citing Bloomberg and Morningstar.</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Morgan Stanley $800bn</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Reported through Capacity. Confirm the original note and its scope.</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Morgan Stanley research</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Project Jupiter</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Loan quotes of 89 to 91 are from the FT on Sept 18 to 19. The detail that Oracle cannot terminate the lease and pays debt costs is one anonymous source in Reuters. Check for later quotes.</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FT, Reuters, Bloomberg</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CoreWeave site notes</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9.25%, 98.5 cents, plus 270bps versus similarly rated debt, priced about Sept 23. Reported through aggregators of Bloomberg.</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Hyperion lease terms</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Four year initial term and residual value guarantee come from a September 2025 report. Confirm they still describe the structure.</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Bloomberg, S&amp;P presale</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BIS and Moody's remarks</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Paraphrased from Capacity's summary. Read the primary reports before attributing.</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BIS, Moody's</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Sources footer</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I listed the original publishers, but several figures reached me through aggregators. Adjust the footer to what you actually pull.</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Your pulls</w:t>
            </w:r>
          </w:p>
        </w:tc>
      </w:tr>
      <w:tr>
        <w:trPr>
          <w:cantSplit/>
        </w:trPr>
        <w:tc>
          <w:tcPr>
            <w:tcW w:type="dxa" w:w="172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Page numbers and cover</w:t>
            </w:r>
          </w:p>
        </w:tc>
        <w:tc>
          <w:tcPr>
            <w:tcW w:type="dxa" w:w="473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I assumed the cover is page 4 and the case study pages are 5 and 6, as in March and August. The cover photo is the March BDC image as a stand in.</w:t>
            </w:r>
          </w:p>
        </w:tc>
        <w:tc>
          <w:tcPr>
            <w:tcW w:type="dxa" w:w="2150"/>
            <w:tcBorders>
              <w:top w:val="single" w:color="C9B3B0" w:sz="4"/>
              <w:left w:val="single" w:color="C9B3B0" w:sz="4"/>
              <w:bottom w:val="single" w:color="C9B3B0" w:sz="4"/>
              <w:right w:val="single" w:color="C9B3B0" w:sz="4"/>
            </w:tcBorders>
            <w:tcMar>
              <w:top w:type="dxa" w:w="60"/>
              <w:left w:type="dxa" w:w="90"/>
              <w:bottom w:type="dxa" w:w="60"/>
              <w:right w:type="dxa" w:w="90"/>
            </w:tcMar>
          </w:tcPr>
          <w:p>
            <w:pPr>
              <w:spacing w:after="0" w:before="0"/>
            </w:pPr>
            <w:r>
              <w:rPr>
                <w:rFonts w:ascii="Times New Roman" w:cs="Times New Roman" w:eastAsia="Times New Roman" w:hAnsi="Times New Roman"/>
                <w:b w:val="false"/>
                <w:bCs w:val="false"/>
                <w:color w:val="000000"/>
                <w:sz w:val="18"/>
                <w:szCs w:val="18"/>
              </w:rPr>
              <w:t xml:space="preserve">Your September file</w:t>
            </w:r>
          </w:p>
        </w:tc>
      </w:tr>
    </w:tbl>
    <w:p>
      <w:pPr>
        <w:pageBreakBefore/>
      </w:pPr>
    </w:p>
    <w:p>
      <w:pPr>
        <w:pStyle w:val="Heading1"/>
        <w:spacing w:after="80" w:before="0"/>
      </w:pPr>
      <w:r>
        <w:rPr>
          <w:rFonts w:ascii="Times New Roman" w:cs="Times New Roman" w:eastAsia="Times New Roman" w:hAnsi="Times New Roman"/>
          <w:b/>
          <w:bCs/>
          <w:color w:val="5A2020"/>
          <w:sz w:val="40"/>
          <w:szCs w:val="40"/>
        </w:rPr>
        <w:t xml:space="preserve">Additional Facts Not on the Pages</w:t>
      </w:r>
    </w:p>
    <w:p>
      <w:pPr>
        <w:spacing w:after="100" w:line="252"/>
      </w:pPr>
      <w:r>
        <w:rPr>
          <w:rFonts w:ascii="Times New Roman" w:cs="Times New Roman" w:eastAsia="Times New Roman" w:hAnsi="Times New Roman"/>
          <w:sz w:val="21"/>
          <w:szCs w:val="21"/>
        </w:rPr>
        <w:t xml:space="preserve">In depth detail that did not fit in the two page layout. Pull from here if you want to lengthen a callout, add a footnote, or prepare for questions. Tags in parentheses show where each fact came from.</w:t>
      </w:r>
    </w:p>
    <w:p>
      <w:pPr>
        <w:pStyle w:val="Heading2"/>
        <w:spacing w:after="60" w:before="220"/>
      </w:pPr>
      <w:r>
        <w:rPr>
          <w:rFonts w:ascii="Times New Roman" w:cs="Times New Roman" w:eastAsia="Times New Roman" w:hAnsi="Times New Roman"/>
          <w:b/>
          <w:bCs/>
          <w:color w:val="5A2020"/>
          <w:sz w:val="26"/>
          <w:szCs w:val="26"/>
        </w:rPr>
        <w:t xml:space="preserve">Hyperion</w:t>
      </w:r>
    </w:p>
    <w:p>
      <w:pPr>
        <w:pStyle w:val="ListParagraph"/>
        <w:numPr>
          <w:ilvl w:val="0"/>
          <w:numId w:val="2"/>
        </w:numPr>
        <w:spacing w:after="50" w:before="0"/>
      </w:pPr>
      <w:r>
        <w:rPr>
          <w:rFonts w:ascii="Times New Roman" w:cs="Times New Roman" w:eastAsia="Times New Roman" w:hAnsi="Times New Roman"/>
          <w:sz w:val="20"/>
          <w:szCs w:val="20"/>
        </w:rPr>
        <w:t xml:space="preserve">Meta received a $3bn cash distribution at closing, and Blue Owl funded part of its commitment through debt sold to Pimco and other bond investors (The Asset).</w:t>
      </w:r>
    </w:p>
    <w:p>
      <w:pPr>
        <w:pStyle w:val="ListParagraph"/>
        <w:numPr>
          <w:ilvl w:val="0"/>
          <w:numId w:val="2"/>
        </w:numPr>
        <w:spacing w:after="50" w:before="0"/>
      </w:pPr>
      <w:r>
        <w:rPr>
          <w:rFonts w:ascii="Times New Roman" w:cs="Times New Roman" w:eastAsia="Times New Roman" w:hAnsi="Times New Roman"/>
          <w:sz w:val="20"/>
          <w:szCs w:val="20"/>
        </w:rPr>
        <w:t xml:space="preserve">If Meta ends the lease and the campus is worth less than the guaranteed amount, Meta pays the shortfall (Bloomberg via iTiger).</w:t>
      </w:r>
    </w:p>
    <w:p>
      <w:pPr>
        <w:pStyle w:val="ListParagraph"/>
        <w:numPr>
          <w:ilvl w:val="0"/>
          <w:numId w:val="2"/>
        </w:numPr>
        <w:spacing w:after="50" w:before="0"/>
      </w:pPr>
      <w:r>
        <w:rPr>
          <w:rFonts w:ascii="Times New Roman" w:cs="Times New Roman" w:eastAsia="Times New Roman" w:hAnsi="Times New Roman"/>
          <w:sz w:val="20"/>
          <w:szCs w:val="20"/>
        </w:rPr>
        <w:t xml:space="preserve">The campus is due online in 2029 and Meta runs construction and operations (The Asset).</w:t>
      </w:r>
    </w:p>
    <w:p>
      <w:pPr>
        <w:pStyle w:val="ListParagraph"/>
        <w:numPr>
          <w:ilvl w:val="0"/>
          <w:numId w:val="2"/>
        </w:numPr>
        <w:spacing w:after="50" w:before="0"/>
      </w:pPr>
      <w:r>
        <w:rPr>
          <w:rFonts w:ascii="Times New Roman" w:cs="Times New Roman" w:eastAsia="Times New Roman" w:hAnsi="Times New Roman"/>
          <w:sz w:val="20"/>
          <w:szCs w:val="20"/>
        </w:rPr>
        <w:t xml:space="preserve">BlackRock bought more than $3bn of the Hyperion bonds (Zhitong via Longport).</w:t>
      </w:r>
    </w:p>
    <w:p>
      <w:pPr>
        <w:pStyle w:val="ListParagraph"/>
        <w:numPr>
          <w:ilvl w:val="0"/>
          <w:numId w:val="2"/>
        </w:numPr>
        <w:spacing w:after="50" w:before="0"/>
      </w:pPr>
      <w:r>
        <w:rPr>
          <w:rFonts w:ascii="Times New Roman" w:cs="Times New Roman" w:eastAsia="Times New Roman" w:hAnsi="Times New Roman"/>
          <w:sz w:val="20"/>
          <w:szCs w:val="20"/>
        </w:rPr>
        <w:t xml:space="preserve">Meta's $30bn bond in October 2025 was the largest investment grade deal of 2025 and the largest non M&amp;A deal ever, with about $125bn of orders (Bloomberg, Reuters via Silicon Analysts and MarketScreener).</w:t>
      </w:r>
    </w:p>
    <w:p>
      <w:pPr>
        <w:pStyle w:val="Heading2"/>
        <w:spacing w:after="60" w:before="220"/>
      </w:pPr>
      <w:r>
        <w:rPr>
          <w:rFonts w:ascii="Times New Roman" w:cs="Times New Roman" w:eastAsia="Times New Roman" w:hAnsi="Times New Roman"/>
          <w:b/>
          <w:bCs/>
          <w:color w:val="5A2020"/>
          <w:sz w:val="26"/>
          <w:szCs w:val="26"/>
        </w:rPr>
        <w:t xml:space="preserve">El Paso</w:t>
      </w:r>
    </w:p>
    <w:p>
      <w:pPr>
        <w:pStyle w:val="ListParagraph"/>
        <w:numPr>
          <w:ilvl w:val="0"/>
          <w:numId w:val="2"/>
        </w:numPr>
        <w:spacing w:after="50" w:before="0"/>
      </w:pPr>
      <w:r>
        <w:rPr>
          <w:rFonts w:ascii="Times New Roman" w:cs="Times New Roman" w:eastAsia="Times New Roman" w:hAnsi="Times New Roman"/>
          <w:sz w:val="20"/>
          <w:szCs w:val="20"/>
        </w:rPr>
        <w:t xml:space="preserve">About $14bn of development cost, with Meta contributing about $2.3bn of land and construction assets and BlackRock about $4.9bn of cash (Zhitong, lower quality source).</w:t>
      </w:r>
    </w:p>
    <w:p>
      <w:pPr>
        <w:pStyle w:val="ListParagraph"/>
        <w:numPr>
          <w:ilvl w:val="0"/>
          <w:numId w:val="2"/>
        </w:numPr>
        <w:spacing w:after="50" w:before="0"/>
      </w:pPr>
      <w:r>
        <w:rPr>
          <w:rFonts w:ascii="Times New Roman" w:cs="Times New Roman" w:eastAsia="Times New Roman" w:hAnsi="Times New Roman"/>
          <w:sz w:val="20"/>
          <w:szCs w:val="20"/>
        </w:rPr>
        <w:t xml:space="preserve">20 year lease with Meta as sole tenant, and insurance limits of $427m during construction and $450m after operations start, about 3.2% of cost (Zhitong via Webull, lower quality source).</w:t>
      </w:r>
    </w:p>
    <w:p>
      <w:pPr>
        <w:pStyle w:val="ListParagraph"/>
        <w:numPr>
          <w:ilvl w:val="0"/>
          <w:numId w:val="2"/>
        </w:numPr>
        <w:spacing w:after="50" w:before="0"/>
      </w:pPr>
      <w:r>
        <w:rPr>
          <w:rFonts w:ascii="Times New Roman" w:cs="Times New Roman" w:eastAsia="Times New Roman" w:hAnsi="Times New Roman"/>
          <w:sz w:val="20"/>
          <w:szCs w:val="20"/>
        </w:rPr>
        <w:t xml:space="preserve">Deal led by JPMorgan and Morgan Stanley, and early talk was above 7%, about 0.4 points over Hyperion (FT via Moneywise).</w:t>
      </w:r>
    </w:p>
    <w:p>
      <w:pPr>
        <w:pStyle w:val="ListParagraph"/>
        <w:numPr>
          <w:ilvl w:val="0"/>
          <w:numId w:val="2"/>
        </w:numPr>
        <w:spacing w:after="50" w:before="0"/>
      </w:pPr>
      <w:r>
        <w:rPr>
          <w:rFonts w:ascii="Times New Roman" w:cs="Times New Roman" w:eastAsia="Times New Roman" w:hAnsi="Times New Roman"/>
          <w:sz w:val="20"/>
          <w:szCs w:val="20"/>
        </w:rPr>
        <w:t xml:space="preserve">Orders were about $17bn, which was weaker coverage than typical for the size (Briefs, BigGo).</w:t>
      </w:r>
    </w:p>
    <w:p>
      <w:pPr>
        <w:pStyle w:val="Heading2"/>
        <w:spacing w:after="60" w:before="220"/>
      </w:pPr>
      <w:r>
        <w:rPr>
          <w:rFonts w:ascii="Times New Roman" w:cs="Times New Roman" w:eastAsia="Times New Roman" w:hAnsi="Times New Roman"/>
          <w:b/>
          <w:bCs/>
          <w:color w:val="5A2020"/>
          <w:sz w:val="26"/>
          <w:szCs w:val="26"/>
        </w:rPr>
        <w:t xml:space="preserve">Oracle</w:t>
      </w:r>
    </w:p>
    <w:p>
      <w:pPr>
        <w:pStyle w:val="ListParagraph"/>
        <w:numPr>
          <w:ilvl w:val="0"/>
          <w:numId w:val="2"/>
        </w:numPr>
        <w:spacing w:after="50" w:before="0"/>
      </w:pPr>
      <w:r>
        <w:rPr>
          <w:rFonts w:ascii="Times New Roman" w:cs="Times New Roman" w:eastAsia="Times New Roman" w:hAnsi="Times New Roman"/>
          <w:sz w:val="20"/>
          <w:szCs w:val="20"/>
        </w:rPr>
        <w:t xml:space="preserve">Oracle ended fiscal 2026 with negative free cash flow and roughly $260bn of data center lease obligations (Reuters via Benzinga).</w:t>
      </w:r>
    </w:p>
    <w:p>
      <w:pPr>
        <w:pStyle w:val="ListParagraph"/>
        <w:numPr>
          <w:ilvl w:val="0"/>
          <w:numId w:val="2"/>
        </w:numPr>
        <w:spacing w:after="50" w:before="0"/>
      </w:pPr>
      <w:r>
        <w:rPr>
          <w:rFonts w:ascii="Times New Roman" w:cs="Times New Roman" w:eastAsia="Times New Roman" w:hAnsi="Times New Roman"/>
          <w:sz w:val="20"/>
          <w:szCs w:val="20"/>
        </w:rPr>
        <w:t xml:space="preserve">S&amp;P described a failure path in which OpenAI cannot pay Oracle and Oracle is left holding leases it cannot exit (PPC Land).</w:t>
      </w:r>
    </w:p>
    <w:p>
      <w:pPr>
        <w:pStyle w:val="ListParagraph"/>
        <w:numPr>
          <w:ilvl w:val="0"/>
          <w:numId w:val="2"/>
        </w:numPr>
        <w:spacing w:after="50" w:before="0"/>
      </w:pPr>
      <w:r>
        <w:rPr>
          <w:rFonts w:ascii="Times New Roman" w:cs="Times New Roman" w:eastAsia="Times New Roman" w:hAnsi="Times New Roman"/>
          <w:sz w:val="20"/>
          <w:szCs w:val="20"/>
        </w:rPr>
        <w:t xml:space="preserve">Morgan Stanley's Lindsay Tyler said Oracle could end the year with two low BBB ratings, raising fallen angel concern, though she sees high yield as a medium term risk (Benzinga).</w:t>
      </w:r>
    </w:p>
    <w:p>
      <w:pPr>
        <w:pStyle w:val="ListParagraph"/>
        <w:numPr>
          <w:ilvl w:val="0"/>
          <w:numId w:val="2"/>
        </w:numPr>
        <w:spacing w:after="50" w:before="0"/>
      </w:pPr>
      <w:r>
        <w:rPr>
          <w:rFonts w:ascii="Times New Roman" w:cs="Times New Roman" w:eastAsia="Times New Roman" w:hAnsi="Times New Roman"/>
          <w:sz w:val="20"/>
          <w:szCs w:val="20"/>
        </w:rPr>
        <w:t xml:space="preserve">Oracle planned to raise another $40bn through debt and equity, including $20bn of stock (TNW).</w:t>
      </w:r>
    </w:p>
    <w:p>
      <w:pPr>
        <w:pStyle w:val="ListParagraph"/>
        <w:numPr>
          <w:ilvl w:val="0"/>
          <w:numId w:val="2"/>
        </w:numPr>
        <w:spacing w:after="50" w:before="0"/>
      </w:pPr>
      <w:r>
        <w:rPr>
          <w:rFonts w:ascii="Times New Roman" w:cs="Times New Roman" w:eastAsia="Times New Roman" w:hAnsi="Times New Roman"/>
          <w:sz w:val="20"/>
          <w:szCs w:val="20"/>
        </w:rPr>
        <w:t xml:space="preserve">Oracle has also issued about $18bn of bonds in September 2025 and $18bn or more in February 2026 (MLQ and ECM Source tables).</w:t>
      </w:r>
    </w:p>
    <w:p>
      <w:pPr>
        <w:pStyle w:val="Heading2"/>
        <w:spacing w:after="60" w:before="220"/>
      </w:pPr>
      <w:r>
        <w:rPr>
          <w:rFonts w:ascii="Times New Roman" w:cs="Times New Roman" w:eastAsia="Times New Roman" w:hAnsi="Times New Roman"/>
          <w:b/>
          <w:bCs/>
          <w:color w:val="5A2020"/>
          <w:sz w:val="26"/>
          <w:szCs w:val="26"/>
        </w:rPr>
        <w:t xml:space="preserve">Project Jupiter</w:t>
      </w:r>
    </w:p>
    <w:p>
      <w:pPr>
        <w:pStyle w:val="ListParagraph"/>
        <w:numPr>
          <w:ilvl w:val="0"/>
          <w:numId w:val="2"/>
        </w:numPr>
        <w:spacing w:after="50" w:before="0"/>
      </w:pPr>
      <w:r>
        <w:rPr>
          <w:rFonts w:ascii="Times New Roman" w:cs="Times New Roman" w:eastAsia="Times New Roman" w:hAnsi="Times New Roman"/>
          <w:sz w:val="20"/>
          <w:szCs w:val="20"/>
        </w:rPr>
        <w:t xml:space="preserve">A source told Reuters Blue Owl earns a 9% yield on its equity during development and expects about 11% levered at completion. By invoking force majeure, Oracle extends the period at the lower development rent (Reuters, Sept 24).</w:t>
      </w:r>
    </w:p>
    <w:p>
      <w:pPr>
        <w:pStyle w:val="ListParagraph"/>
        <w:numPr>
          <w:ilvl w:val="0"/>
          <w:numId w:val="2"/>
        </w:numPr>
        <w:spacing w:after="50" w:before="0"/>
      </w:pPr>
      <w:r>
        <w:rPr>
          <w:rFonts w:ascii="Times New Roman" w:cs="Times New Roman" w:eastAsia="Times New Roman" w:hAnsi="Times New Roman"/>
          <w:sz w:val="20"/>
          <w:szCs w:val="20"/>
        </w:rPr>
        <w:t xml:space="preserve">New Mexico's State Land Office denied the Energy Transfer gas pipeline twice, pushing its in service date to Feb 1, 2027 (Bloomberg via AI Weekly).</w:t>
      </w:r>
    </w:p>
    <w:p>
      <w:pPr>
        <w:pStyle w:val="ListParagraph"/>
        <w:numPr>
          <w:ilvl w:val="0"/>
          <w:numId w:val="2"/>
        </w:numPr>
        <w:spacing w:after="50" w:before="0"/>
      </w:pPr>
      <w:r>
        <w:rPr>
          <w:rFonts w:ascii="Times New Roman" w:cs="Times New Roman" w:eastAsia="Times New Roman" w:hAnsi="Times New Roman"/>
          <w:sz w:val="20"/>
          <w:szCs w:val="20"/>
        </w:rPr>
        <w:t xml:space="preserve">Oracle and Blue Owl shares each fell about 4% on the notice, and spreads on related AI infrastructure notes briefly blew out before tightening (Axios, AI Weekly).</w:t>
      </w:r>
    </w:p>
    <w:p>
      <w:pPr>
        <w:pStyle w:val="Heading2"/>
        <w:spacing w:after="60" w:before="220"/>
      </w:pPr>
      <w:r>
        <w:rPr>
          <w:rFonts w:ascii="Times New Roman" w:cs="Times New Roman" w:eastAsia="Times New Roman" w:hAnsi="Times New Roman"/>
          <w:b/>
          <w:bCs/>
          <w:color w:val="5A2020"/>
          <w:sz w:val="26"/>
          <w:szCs w:val="26"/>
        </w:rPr>
        <w:t xml:space="preserve">CoreWeave site</w:t>
      </w:r>
    </w:p>
    <w:p>
      <w:pPr>
        <w:pStyle w:val="ListParagraph"/>
        <w:numPr>
          <w:ilvl w:val="0"/>
          <w:numId w:val="2"/>
        </w:numPr>
        <w:spacing w:after="50" w:before="0"/>
      </w:pPr>
      <w:r>
        <w:rPr>
          <w:rFonts w:ascii="Times New Roman" w:cs="Times New Roman" w:eastAsia="Times New Roman" w:hAnsi="Times New Roman"/>
          <w:sz w:val="20"/>
          <w:szCs w:val="20"/>
        </w:rPr>
        <w:t xml:space="preserve">The Digital Drive campus near Richmond has 76MW of IT capacity under a 15 year, $2.94bn CoreWeave contract, and operations are targeted for 2027 to 2028 (Bloomberg via MT Newswires).</w:t>
      </w:r>
    </w:p>
    <w:p>
      <w:pPr>
        <w:pStyle w:val="ListParagraph"/>
        <w:numPr>
          <w:ilvl w:val="0"/>
          <w:numId w:val="2"/>
        </w:numPr>
        <w:spacing w:after="50" w:before="0"/>
      </w:pPr>
      <w:r>
        <w:rPr>
          <w:rFonts w:ascii="Times New Roman" w:cs="Times New Roman" w:eastAsia="Times New Roman" w:hAnsi="Times New Roman"/>
          <w:sz w:val="20"/>
          <w:szCs w:val="20"/>
        </w:rPr>
        <w:t xml:space="preserve">The issuer was DDC 01 Propco LLC, backed by Blue Owl affiliates, Cedarwood Investment Group, and PowerHouse Data Centers (Remio, lower quality source).</w:t>
      </w:r>
    </w:p>
    <w:p>
      <w:pPr>
        <w:pStyle w:val="Heading2"/>
        <w:spacing w:after="60" w:before="220"/>
      </w:pPr>
      <w:r>
        <w:rPr>
          <w:rFonts w:ascii="Times New Roman" w:cs="Times New Roman" w:eastAsia="Times New Roman" w:hAnsi="Times New Roman"/>
          <w:b/>
          <w:bCs/>
          <w:color w:val="5A2020"/>
          <w:sz w:val="26"/>
          <w:szCs w:val="26"/>
        </w:rPr>
        <w:t xml:space="preserve">Market wide</w:t>
      </w:r>
    </w:p>
    <w:p>
      <w:pPr>
        <w:pStyle w:val="ListParagraph"/>
        <w:numPr>
          <w:ilvl w:val="0"/>
          <w:numId w:val="2"/>
        </w:numPr>
        <w:spacing w:after="50" w:before="0"/>
      </w:pPr>
      <w:r>
        <w:rPr>
          <w:rFonts w:ascii="Times New Roman" w:cs="Times New Roman" w:eastAsia="Times New Roman" w:hAnsi="Times New Roman"/>
          <w:sz w:val="20"/>
          <w:szCs w:val="20"/>
        </w:rPr>
        <w:t xml:space="preserve">S&amp;P estimates the five hyperscalers will spend about $750bn on capex in 2026, equal to 38% of combined revenue (MLQ).</w:t>
      </w:r>
    </w:p>
    <w:p>
      <w:pPr>
        <w:pStyle w:val="ListParagraph"/>
        <w:numPr>
          <w:ilvl w:val="0"/>
          <w:numId w:val="2"/>
        </w:numPr>
        <w:spacing w:after="50" w:before="0"/>
      </w:pPr>
      <w:r>
        <w:rPr>
          <w:rFonts w:ascii="Times New Roman" w:cs="Times New Roman" w:eastAsia="Times New Roman" w:hAnsi="Times New Roman"/>
          <w:sz w:val="20"/>
          <w:szCs w:val="20"/>
        </w:rPr>
        <w:t xml:space="preserve">Combined remaining performance obligations of Amazon, Microsoft, Alphabet and Oracle exceed $2tn, nearly triple a year earlier, and secured data center bond issuance is approaching $100bn since Meta's October 2025 deal (Aviva Investors).</w:t>
      </w:r>
    </w:p>
    <w:p>
      <w:pPr>
        <w:pStyle w:val="ListParagraph"/>
        <w:numPr>
          <w:ilvl w:val="0"/>
          <w:numId w:val="2"/>
        </w:numPr>
        <w:spacing w:after="50" w:before="0"/>
      </w:pPr>
      <w:r>
        <w:rPr>
          <w:rFonts w:ascii="Times New Roman" w:cs="Times New Roman" w:eastAsia="Times New Roman" w:hAnsi="Times New Roman"/>
          <w:sz w:val="20"/>
          <w:szCs w:val="20"/>
        </w:rPr>
        <w:t xml:space="preserve">UBS strategist Matthew Mish described AI related debt accumulation at roughly $100bn a quarter (Capacity).</w:t>
      </w:r>
    </w:p>
    <w:p>
      <w:pPr>
        <w:pStyle w:val="ListParagraph"/>
        <w:numPr>
          <w:ilvl w:val="0"/>
          <w:numId w:val="2"/>
        </w:numPr>
        <w:spacing w:after="50" w:before="0"/>
      </w:pPr>
      <w:r>
        <w:rPr>
          <w:rFonts w:ascii="Times New Roman" w:cs="Times New Roman" w:eastAsia="Times New Roman" w:hAnsi="Times New Roman"/>
          <w:sz w:val="20"/>
          <w:szCs w:val="20"/>
        </w:rPr>
        <w:t xml:space="preserve">Barclays expects $2.46tn of US corporate issuance in 2026 with hyperscaler capex the largest upside risk (Reuters via MarketScreener).</w:t>
      </w:r>
    </w:p>
    <w:p>
      <w:pPr>
        <w:pStyle w:val="ListParagraph"/>
        <w:numPr>
          <w:ilvl w:val="0"/>
          <w:numId w:val="2"/>
        </w:numPr>
        <w:spacing w:after="50" w:before="0"/>
      </w:pPr>
      <w:r>
        <w:rPr>
          <w:rFonts w:ascii="Times New Roman" w:cs="Times New Roman" w:eastAsia="Times New Roman" w:hAnsi="Times New Roman"/>
          <w:sz w:val="20"/>
          <w:szCs w:val="20"/>
        </w:rPr>
        <w:t xml:space="preserve">JLL's outlook puts data center investment as high as $3tn over five years (Capacity).</w:t>
      </w:r>
    </w:p>
    <w:p>
      <w:pPr>
        <w:pStyle w:val="Heading2"/>
        <w:spacing w:after="60" w:before="220"/>
      </w:pPr>
      <w:r>
        <w:rPr>
          <w:rFonts w:ascii="Times New Roman" w:cs="Times New Roman" w:eastAsia="Times New Roman" w:hAnsi="Times New Roman"/>
          <w:b/>
          <w:bCs/>
          <w:color w:val="5A2020"/>
          <w:sz w:val="26"/>
          <w:szCs w:val="26"/>
        </w:rPr>
        <w:t xml:space="preserve">Continuity With Prior Reports</w:t>
      </w:r>
    </w:p>
    <w:p>
      <w:pPr>
        <w:pStyle w:val="ListParagraph"/>
        <w:numPr>
          <w:ilvl w:val="0"/>
          <w:numId w:val="2"/>
        </w:numPr>
        <w:spacing w:after="50" w:before="0"/>
      </w:pPr>
      <w:r>
        <w:rPr>
          <w:rFonts w:ascii="Times New Roman" w:cs="Times New Roman" w:eastAsia="Times New Roman" w:hAnsi="Times New Roman"/>
          <w:sz w:val="20"/>
          <w:szCs w:val="20"/>
        </w:rPr>
        <w:t xml:space="preserve">March recap and BDC case study. March reported that Blue Owl, Apollo and Blackstone halted redemptions in private credit funds. Blue Owl is now the equity sponsor behind Hyperion and Project Jupiter, and BlackRock sponsors El Paso. A single sentence linking the two would tie the issues together if there is room.</w:t>
      </w:r>
    </w:p>
    <w:p>
      <w:pPr>
        <w:pStyle w:val="ListParagraph"/>
        <w:numPr>
          <w:ilvl w:val="0"/>
          <w:numId w:val="2"/>
        </w:numPr>
        <w:spacing w:after="50" w:before="0"/>
      </w:pPr>
      <w:r>
        <w:rPr>
          <w:rFonts w:ascii="Times New Roman" w:cs="Times New Roman" w:eastAsia="Times New Roman" w:hAnsi="Times New Roman"/>
          <w:sz w:val="20"/>
          <w:szCs w:val="20"/>
        </w:rPr>
        <w:t xml:space="preserve">March BDC case study. Public BDCs held 20.8% of portfolios in software and another 21% in tech. AI infrastructure financing is the other side of the same AI trade.</w:t>
      </w:r>
    </w:p>
    <w:p>
      <w:pPr>
        <w:pStyle w:val="ListParagraph"/>
        <w:numPr>
          <w:ilvl w:val="0"/>
          <w:numId w:val="2"/>
        </w:numPr>
        <w:spacing w:after="50" w:before="0"/>
      </w:pPr>
      <w:r>
        <w:rPr>
          <w:rFonts w:ascii="Times New Roman" w:cs="Times New Roman" w:eastAsia="Times New Roman" w:hAnsi="Times New Roman"/>
          <w:sz w:val="20"/>
          <w:szCs w:val="20"/>
        </w:rPr>
        <w:t xml:space="preserve">August ABS case study. The esoteric ABS section covers data center securitization. Keep numbers consistent, since it cites $61bn of data center ABS outstanding while also showing $3.3bn of S&amp;P rated issuance through July 6. These are different measures, so avoid mixing them.</w:t>
      </w:r>
    </w:p>
    <w:p>
      <w:pPr>
        <w:pStyle w:val="ListParagraph"/>
        <w:numPr>
          <w:ilvl w:val="0"/>
          <w:numId w:val="2"/>
        </w:numPr>
        <w:spacing w:after="50" w:before="0"/>
      </w:pPr>
      <w:r>
        <w:rPr>
          <w:rFonts w:ascii="Times New Roman" w:cs="Times New Roman" w:eastAsia="Times New Roman" w:hAnsi="Times New Roman"/>
          <w:sz w:val="20"/>
          <w:szCs w:val="20"/>
        </w:rPr>
        <w:t xml:space="preserve">August recap. High yield spreads sat at 260bps, with BB at 146bps and CCC at 850bps. Oracle at BBB- is one notch from the high yield line, which makes a natural bridge to the fallen angel point.</w:t>
      </w:r>
    </w:p>
    <w:p>
      <w:pPr>
        <w:pStyle w:val="ListParagraph"/>
        <w:numPr>
          <w:ilvl w:val="0"/>
          <w:numId w:val="2"/>
        </w:numPr>
        <w:spacing w:after="50" w:before="0"/>
      </w:pPr>
      <w:r>
        <w:rPr>
          <w:rFonts w:ascii="Times New Roman" w:cs="Times New Roman" w:eastAsia="Times New Roman" w:hAnsi="Times New Roman"/>
          <w:sz w:val="20"/>
          <w:szCs w:val="20"/>
        </w:rPr>
        <w:t xml:space="preserve">Rate sanity check. El Paso priced at 7.534%, about 287.5bps over the 10 year, which implies a 10 year near 4.66% in late July. That is consistent with the August recap's note that the 10 year traded through 4.8% by late August.</w:t>
      </w:r>
    </w:p>
    <w:p>
      <w:pPr>
        <w:pStyle w:val="ListParagraph"/>
        <w:numPr>
          <w:ilvl w:val="0"/>
          <w:numId w:val="2"/>
        </w:numPr>
        <w:spacing w:after="50" w:before="0"/>
      </w:pPr>
      <w:r>
        <w:rPr>
          <w:rFonts w:ascii="Times New Roman" w:cs="Times New Roman" w:eastAsia="Times New Roman" w:hAnsi="Times New Roman"/>
          <w:sz w:val="20"/>
          <w:szCs w:val="20"/>
        </w:rPr>
        <w:t xml:space="preserve">August recap inconsistency. Page 1 says Brent was above $85 after the August 31 strikes, while page 3 says it fell below $90 and then rose back above $90. Worth reconciling before September goes out.</w:t>
      </w:r>
    </w:p>
    <w:sectPr>
      <w:headerReference w:type="default" r:id="rId10"/>
      <w:footerReference w:type="default" r:id="rId11"/>
      <w:pgSz w:w="10800" w:h="15600" w:orient="portrait"/>
      <w:pgMar w:top="1100" w:right="1100" w:bottom="1000" w:left="1100" w:header="500" w:footer="4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2020" w:sz="6" w:space="3"/>
      </w:pBdr>
      <w:spacing w:after="60" w:before="0"/>
    </w:pPr>
    <w:r>
      <w:rPr>
        <w:rFonts w:ascii="Times New Roman" w:cs="Times New Roman" w:eastAsia="Times New Roman" w:hAnsi="Times New Roman"/>
        <w:sz w:val="15"/>
        <w:szCs w:val="15"/>
      </w:rPr>
      <w:t xml:space="preserve">Sources: Meta, Bloomberg, Reuters, LSEG, Goldman Sachs, Morgan Stanley, S&amp;P Global Ratings</w:t>
    </w:r>
  </w:p>
  <w:p>
    <w:pPr>
      <w:shd w:fill="4F1D1B" w:color="auto" w:val="clear"/>
      <w:spacing w:after="0" w:before="0" w:line="340" w:lineRule="exact"/>
      <w:ind w:left="-878" w:right="-878"/>
    </w:pPr>
    <w:r>
      <w:rPr>
        <w:rFonts w:ascii="Times New Roman" w:cs="Times New Roman" w:eastAsia="Times New Roman" w:hAnsi="Times New Roman"/>
        <w:sz w:val="12"/>
        <w:szCs w:val="1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2020" w:sz="6" w:space="3"/>
      </w:pBdr>
      <w:spacing w:after="60" w:before="0"/>
    </w:pPr>
    <w:r>
      <w:rPr>
        <w:rFonts w:ascii="Times New Roman" w:cs="Times New Roman" w:eastAsia="Times New Roman" w:hAnsi="Times New Roman"/>
        <w:sz w:val="15"/>
        <w:szCs w:val="15"/>
      </w:rPr>
      <w:t xml:space="preserve">Sources: Bloomberg, Reuters, LSEG, Meta, S&amp;P Global Ratings, Financial Times, BIS, Moody's</w:t>
    </w:r>
  </w:p>
  <w:p>
    <w:pPr>
      <w:shd w:fill="4F1D1B" w:color="auto" w:val="clear"/>
      <w:spacing w:after="0" w:before="0" w:line="340" w:lineRule="exact"/>
      <w:ind w:left="-878" w:right="-878"/>
    </w:pPr>
    <w:r>
      <w:rPr>
        <w:rFonts w:ascii="Times New Roman" w:cs="Times New Roman" w:eastAsia="Times New Roman" w:hAnsi="Times New Roman"/>
        <w:sz w:val="12"/>
        <w:szCs w:val="1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24"/>
      <w:gridCol w:w="2400"/>
      <w:gridCol w:w="520"/>
    </w:tblGrid>
    <w:tr>
      <w:tc>
        <w:tcPr>
          <w:tcW w:type="dxa" w:w="6124"/>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spacing w:after="0" w:before="0"/>
            <w:jc w:val="right"/>
          </w:pPr>
          <w:r>
            <w:rPr>
              <w:rFonts w:ascii="Times New Roman" w:cs="Times New Roman" w:eastAsia="Times New Roman" w:hAnsi="Times New Roman"/>
              <w:color w:val="5A2020"/>
              <w:sz w:val="50"/>
              <w:szCs w:val="50"/>
            </w:rPr>
            <w:t xml:space="preserve">L | L | C</w:t>
          </w:r>
        </w:p>
      </w:tc>
      <w:tc>
        <w:tcPr>
          <w:tcW w:type="dxa" w:w="520"/>
          <w:tcBorders>
            <w:top w:val="none" w:color="FFFFFF" w:sz="0"/>
            <w:left w:val="none" w:color="FFFFFF" w:sz="0"/>
            <w:bottom w:val="none" w:color="FFFFFF" w:sz="0"/>
            <w:right w:val="none" w:color="FFFFFF" w:sz="0"/>
          </w:tcBorders>
          <w:shd w:fill="5A2020" w:color="auto" w:val="clear"/>
          <w:tcMar>
            <w:top w:type="dxa" w:w="40"/>
            <w:left w:type="dxa" w:w="0"/>
            <w:bottom w:type="dxa" w:w="40"/>
            <w:right w:type="dxa" w:w="0"/>
          </w:tcMar>
          <w:vAlign w:val="center"/>
        </w:tcPr>
        <w:p>
          <w:pPr>
            <w:spacing w:after="0" w:before="0"/>
            <w:jc w:val="center"/>
          </w:pPr>
          <w:r>
            <w:rPr>
              <w:rFonts w:ascii="Times New Roman" w:cs="Times New Roman" w:eastAsia="Times New Roman" w:hAnsi="Times New Roman"/>
              <w:b/>
              <w:bCs/>
              <w:color w:val="FFFFFF"/>
              <w:sz w:val="22"/>
              <w:szCs w:val="22"/>
            </w:rPr>
            <w:fldChar w:fldCharType="begin"/>
            <w:instrText xml:space="preserve">PAGE</w:instrText>
            <w:fldChar w:fldCharType="separate"/>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24"/>
      <w:gridCol w:w="2400"/>
      <w:gridCol w:w="520"/>
    </w:tblGrid>
    <w:tr>
      <w:tc>
        <w:tcPr>
          <w:tcW w:type="dxa" w:w="6124"/>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spacing w:after="0" w:before="0"/>
            <w:jc w:val="right"/>
          </w:pPr>
          <w:r>
            <w:rPr>
              <w:rFonts w:ascii="Times New Roman" w:cs="Times New Roman" w:eastAsia="Times New Roman" w:hAnsi="Times New Roman"/>
              <w:color w:val="5A2020"/>
              <w:sz w:val="50"/>
              <w:szCs w:val="50"/>
            </w:rPr>
            <w:t xml:space="preserve">L | L | C</w:t>
          </w:r>
        </w:p>
      </w:tc>
      <w:tc>
        <w:tcPr>
          <w:tcW w:type="dxa" w:w="520"/>
          <w:tcBorders>
            <w:top w:val="none" w:color="FFFFFF" w:sz="0"/>
            <w:left w:val="none" w:color="FFFFFF" w:sz="0"/>
            <w:bottom w:val="none" w:color="FFFFFF" w:sz="0"/>
            <w:right w:val="none" w:color="FFFFFF" w:sz="0"/>
          </w:tcBorders>
          <w:shd w:fill="5A2020" w:color="auto" w:val="clear"/>
          <w:tcMar>
            <w:top w:type="dxa" w:w="40"/>
            <w:left w:type="dxa" w:w="0"/>
            <w:bottom w:type="dxa" w:w="40"/>
            <w:right w:type="dxa" w:w="0"/>
          </w:tcMar>
          <w:vAlign w:val="center"/>
        </w:tcPr>
        <w:p>
          <w:pPr>
            <w:spacing w:after="0" w:before="0"/>
            <w:jc w:val="center"/>
          </w:pPr>
          <w:r>
            <w:rPr>
              <w:rFonts w:ascii="Times New Roman" w:cs="Times New Roman" w:eastAsia="Times New Roman" w:hAnsi="Times New Roman"/>
              <w:b/>
              <w:bCs/>
              <w:color w:val="FFFFFF"/>
              <w:sz w:val="22"/>
              <w:szCs w:val="22"/>
            </w:rPr>
            <w:fldChar w:fldCharType="begin"/>
            <w:instrText xml:space="preserve">PAGE</w:instrText>
            <w:fldChar w:fldCharType="separate"/>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B3739"/>
        <w:sz w:val="18"/>
        <w:szCs w:val="18"/>
      </w:rPr>
      <w:t xml:space="preserve">LLC working notes, not for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Times New Roman" w:cs="Times New Roman" w:eastAsia="Times New Roman" w:hAnsi="Times New Roman"/>
      <w:b/>
      <w:bCs/>
      <w:sz w:val="52"/>
      <w:szCs w:val="52"/>
    </w:rPr>
  </w:style>
  <w:style w:type="paragraph" w:styleId="Heading2">
    <w:name w:val="Heading 2"/>
    <w:basedOn w:val="Normal"/>
    <w:next w:val="Normal"/>
    <w:qFormat/>
    <w:pPr>
      <w:spacing w:after="60" w:before="160"/>
      <w:outlineLvl w:val="1"/>
    </w:pPr>
    <w:rPr>
      <w:rFonts w:ascii="Times New Roman" w:cs="Times New Roman" w:eastAsia="Times New Roman" w:hAnsi="Times New Roman"/>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emsh486vcnciv0zemetvj" Type="http://schemas.openxmlformats.org/officeDocument/2006/relationships/hyperlink" Target="https://capacityglobal.com/news/metas-12bn-el-paso-bond-exposes-ai-debt-repricing/" TargetMode="External"/><Relationship Id="rIdfflrvrykxrphcxr06-uvp" Type="http://schemas.openxmlformats.org/officeDocument/2006/relationships/hyperlink" Target="https://www.bitget.com/news/detail/12560605553292" TargetMode="External"/><Relationship Id="rIdtrch5iinl6ra6fiedj32i" Type="http://schemas.openxmlformats.org/officeDocument/2006/relationships/hyperlink" Target="https://www.theasset.com/article/55209/theasset.com" TargetMode="External"/><Relationship Id="rId-97gkftsm5jbv4ncm1xxa" Type="http://schemas.openxmlformats.org/officeDocument/2006/relationships/hyperlink" Target="https://marcellus.in/story/short-read-three-ai-megadeals-are-breaking-new-ground-on-wall-street/" TargetMode="External"/><Relationship Id="rIdsc0qpz1w44x6aevusnvna" Type="http://schemas.openxmlformats.org/officeDocument/2006/relationships/hyperlink" Target="https://thenextweb.com/news/oracle-sp-downgrade-ai-spending-junk-risk" TargetMode="External"/><Relationship Id="rIdat9b0l9jd8wxktkrj9o1k" Type="http://schemas.openxmlformats.org/officeDocument/2006/relationships/hyperlink" Target="https://aiweekly.co/alerts/blue-owl-backed-coreweave-data-center-prices-11b-in-junk-bonds-at-925-270bps" TargetMode="External"/><Relationship Id="rIduj7yvmxvppxbohbi3pluy" Type="http://schemas.openxmlformats.org/officeDocument/2006/relationships/hyperlink" Target="https://finance.yahoo.com/markets/stocks/articles/hyperscaler-debt-binge-pushes-yields-134825104.html" TargetMode="External"/><Relationship Id="rIdf9xqki32b0j_dykjb5ejm" Type="http://schemas.openxmlformats.org/officeDocument/2006/relationships/hyperlink" Target="https://siliconanalysts.com/analysis/hyperscaler-ai-capex-depreciation-wall-2026" TargetMode="External"/><Relationship Id="rIdyvdm8sn0dop4re-luhoob" Type="http://schemas.openxmlformats.org/officeDocument/2006/relationships/hyperlink" Target="https://www.avivainvestors.com/en-us/views/aiq-investment-thinking/2026/07/bond-voyage/" TargetMode="External"/><Relationship Id="rIdwmsuobt2gz1zpyfp6fo_y" Type="http://schemas.openxmlformats.org/officeDocument/2006/relationships/hyperlink" Target="https://mlq.ai/news/hyperscaler-bond-issuance-reaches-about-220-billion-as-ai-financing-costs-rise/" TargetMode="External"/><Relationship Id="rIdk6pg1y7nz022wfd8le4sj" Type="http://schemas.openxmlformats.org/officeDocument/2006/relationships/hyperlink" Target="https://finance.yahoo.com/markets/stocks/articles/hyperscaler-debt-binge-pushes-yields-134825104.html" TargetMode="External"/><Relationship Id="rIdhqdzmmcqiyqr-rayf2-u9" Type="http://schemas.openxmlformats.org/officeDocument/2006/relationships/hyperlink" Target="https://mlq.ai/news/hyperscaler-bond-issuance-reaches-about-220-billion-as-ai-financing-costs-rise/" TargetMode="External"/><Relationship Id="rIdo8byzn94gb5vvnx_1oxwm" Type="http://schemas.openxmlformats.org/officeDocument/2006/relationships/hyperlink" Target="https://capacityglobal.com/news/metas-12bn-el-paso-bond-exposes-ai-debt-repricing/" TargetMode="External"/><Relationship Id="rIdpfy_tg_zfjo4fkb_dcsvf" Type="http://schemas.openxmlformats.org/officeDocument/2006/relationships/hyperlink" Target="https://www.itiger.com/news/1142559708" TargetMode="External"/><Relationship Id="rId_aeele-vpi2thjffy2qsp" Type="http://schemas.openxmlformats.org/officeDocument/2006/relationships/hyperlink" Target="https://finance.biggo.com/news/9e8d67e5-ca22-44ed-a1bd-0753ecac9f88" TargetMode="External"/><Relationship Id="rIdjg0-bou3oussjustl5spj" Type="http://schemas.openxmlformats.org/officeDocument/2006/relationships/hyperlink" Target="https://fred.stlouisfed.org/series/BAMLC0A4CBBB" TargetMode="External"/><Relationship Id="rIdjxkssqxjodxvsllfuaf0n" Type="http://schemas.openxmlformats.org/officeDocument/2006/relationships/hyperlink" Target="https://fred.stlouisfed.org/series/BAMLH0A0HYM2" TargetMode="External"/><Relationship Id="rId6mdkaz3www-ub3_khiq6k" Type="http://schemas.openxmlformats.org/officeDocument/2006/relationships/hyperlink" Target="https://ppc.land/s-p-cuts-oracle-to-bbb-as-ai-buildout-widens-cash-deficit-to-42bn/" TargetMode="External"/><Relationship Id="rId4qczuw3sbsxkipizzdl-l" Type="http://schemas.openxmlformats.org/officeDocument/2006/relationships/hyperlink" Target="https://thenextweb.com/news/oracle-sp-downgrade-ai-spending-junk-risk" TargetMode="External"/><Relationship Id="rIddh04sypt-q9yqsss4w5ob" Type="http://schemas.openxmlformats.org/officeDocument/2006/relationships/hyperlink" Target="https://kfgo.com/?p=1355919" TargetMode="External"/><Relationship Id="rIdks9o2hguplzlc8dh2hnlv" Type="http://schemas.openxmlformats.org/officeDocument/2006/relationships/hyperlink" Target="https://www.thestar.com.my/tech/tech-news/2026/09/19/oracle039s-18-billion-data-center-debt-under-pressure-ft-reports" TargetMode="External"/><Relationship Id="rIdtguur7zdqzwey8eflex1n" Type="http://schemas.openxmlformats.org/officeDocument/2006/relationships/hyperlink" Target="https://aiweekly.co/alerts/oracle-sends-force-majeure-notice-on-blue-owls-project-jupiter" TargetMode="External"/><Relationship Id="rIdjylcwxb3q4jpfncxbpg7p" Type="http://schemas.openxmlformats.org/officeDocument/2006/relationships/hyperlink" Target="https://axios.com/2026/09/25/oracle-debt-data-centers" TargetMode="External"/><Relationship Id="rIdgmk7grdllo5b6gehjlk2a" Type="http://schemas.openxmlformats.org/officeDocument/2006/relationships/hyperlink" Target="https://finance.yahoo.com/markets/stocks/articles/hyperscaler-debt-binge-pushes-yields-134825104.html" TargetMode="External"/><Relationship Id="rIdsfhfgykl2olc4rukdzsuj" Type="http://schemas.openxmlformats.org/officeDocument/2006/relationships/hyperlink" Target="https://ecmsource.com/investment-grade-bond-issuance-record-august-2026-ai-hyperscalers-145-billion/" TargetMode="External"/><Relationship Id="rIdzdhrp36v0uci5dr_1k9_p" Type="http://schemas.openxmlformats.org/officeDocument/2006/relationships/hyperlink" Target="https://www.sageadvisory.com/article/hyperscaler-debt-deluge-the-new-driver-of-ig-spread-pressure" TargetMode="External"/><Relationship Id="rId13" Type="http://schemas.openxmlformats.org/officeDocument/2006/relationships/image" Target="media/e5012b31453b43cd7c1776dde6a46598c0b1c7b3.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LLC Case Study, AI Infrastructure Financing</dc:title>
  <dc:creator>Leveraged Lion Capital</dc:creator>
  <cp:lastModifiedBy>Un-named</cp:lastModifiedBy>
  <cp:revision>1</cp:revision>
  <dcterms:created xsi:type="dcterms:W3CDTF">2026-10-06T01:33:53.648Z</dcterms:created>
  <dcterms:modified xsi:type="dcterms:W3CDTF">2026-10-06T01:33:53.648Z</dcterms:modified>
</cp:coreProperties>
</file>

<file path=docProps/custom.xml><?xml version="1.0" encoding="utf-8"?>
<Properties xmlns="http://schemas.openxmlformats.org/officeDocument/2006/custom-properties" xmlns:vt="http://schemas.openxmlformats.org/officeDocument/2006/docPropsVTypes"/>
</file>