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4F1EC"/>
  <w:body>
    <w:p>
      <w:pPr>
        <w:spacing w:after="3700" w:before="0"/>
      </w:pPr>
      <w:r>
        <w:drawing>
          <wp:anchor distT="0" distB="0" distL="0" distR="0" simplePos="0" allowOverlap="1" behindDoc="1" locked="0" layoutInCell="1" relativeHeight="9906000">
            <wp:simplePos x="0" y="0"/>
            <wp:positionH relativeFrom="page">
              <wp:posOffset>0</wp:posOffset>
            </wp:positionH>
            <wp:positionV relativeFrom="page">
              <wp:posOffset>0</wp:posOffset>
            </wp:positionV>
            <wp:extent cx="6858000" cy="9906000"/>
            <wp:effectExtent t="0" r="0" b="0" l="0"/>
            <wp:wrapNone/>
            <wp:docPr id="1" name="cover" descr="Glass office towers seen from below" title="Cover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858000" cy="9906000"/>
                    </a:xfrm>
                    <a:prstGeom prst="rect">
                      <a:avLst/>
                    </a:prstGeom>
                  </pic:spPr>
                </pic:pic>
              </a:graphicData>
            </a:graphic>
          </wp:anchor>
        </w:drawing>
      </w:r>
    </w:p>
    <w:tbl>
      <w:tblPr>
        <w:tblW w:type="dxa" w:w="636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65"/>
      </w:tblGrid>
      <w:tr>
        <w:tc>
          <w:tcPr>
            <w:tcW w:type="dxa" w:w="6365"/>
            <w:tcBorders>
              <w:top w:val="none" w:color="FFFFFF" w:sz="0"/>
              <w:left w:val="none" w:color="FFFFFF" w:sz="0"/>
              <w:bottom w:val="none" w:color="FFFFFF" w:sz="0"/>
              <w:right w:val="none" w:color="FFFFFF" w:sz="0"/>
            </w:tcBorders>
            <w:shd w:fill="4F1D1B" w:color="auto" w:val="clear"/>
            <w:tcMar>
              <w:top w:type="dxa" w:w="200"/>
              <w:left w:type="dxa" w:w="100"/>
              <w:bottom w:type="dxa" w:w="200"/>
              <w:right w:type="dxa" w:w="100"/>
            </w:tcMar>
          </w:tcPr>
          <w:p>
            <w:pPr>
              <w:spacing w:after="0" w:before="0"/>
              <w:jc w:val="center"/>
            </w:pPr>
            <w:r>
              <w:rPr>
                <w:rFonts w:ascii="Times New Roman" w:cs="Times New Roman" w:eastAsia="Times New Roman" w:hAnsi="Times New Roman"/>
                <w:color w:val="FFFFFF"/>
                <w:sz w:val="88"/>
                <w:szCs w:val="88"/>
              </w:rPr>
              <w:t xml:space="preserve">L | L | C</w:t>
            </w:r>
          </w:p>
          <w:p>
            <w:pPr>
              <w:spacing w:after="0" w:before="0"/>
              <w:jc w:val="center"/>
            </w:pPr>
            <w:r>
              <w:rPr>
                <w:rFonts w:ascii="Times New Roman" w:cs="Times New Roman" w:eastAsia="Times New Roman" w:hAnsi="Times New Roman"/>
                <w:color w:val="FFFFFF"/>
                <w:sz w:val="34"/>
                <w:szCs w:val="34"/>
              </w:rPr>
              <w:t xml:space="preserve">Leveraged Lion Capital</w:t>
            </w:r>
          </w:p>
          <w:p>
            <w:pPr>
              <w:pBdr>
                <w:bottom w:val="single" w:color="FFFFFF" w:sz="6" w:space="1"/>
              </w:pBdr>
              <w:spacing w:after="100" w:before="100"/>
              <w:ind w:left="700" w:right="700"/>
              <w:jc w:val="center"/>
            </w:pPr>
          </w:p>
          <w:p>
            <w:pPr>
              <w:spacing w:after="0" w:before="0"/>
              <w:jc w:val="center"/>
            </w:pPr>
            <w:r>
              <w:rPr>
                <w:rFonts w:ascii="Times New Roman" w:cs="Times New Roman" w:eastAsia="Times New Roman" w:hAnsi="Times New Roman"/>
                <w:color w:val="FFFFFF"/>
                <w:sz w:val="34"/>
                <w:szCs w:val="34"/>
              </w:rPr>
              <w:t xml:space="preserve">Case Study</w:t>
            </w:r>
          </w:p>
          <w:p>
            <w:pPr>
              <w:spacing w:after="0" w:before="0"/>
              <w:jc w:val="center"/>
            </w:pPr>
            <w:r>
              <w:rPr>
                <w:rFonts w:ascii="Times New Roman" w:cs="Times New Roman" w:eastAsia="Times New Roman" w:hAnsi="Times New Roman"/>
                <w:color w:val="FFFFFF"/>
                <w:sz w:val="34"/>
                <w:szCs w:val="34"/>
              </w:rPr>
              <w:t xml:space="preserve">AI Infrastructure Financing</w:t>
            </w:r>
          </w:p>
        </w:tc>
      </w:tr>
    </w:tbl>
    <w:p>
      <w:pPr>
        <w:sectPr>
          <w:pgSz w:w="10800" w:h="15600" w:orient="portrait"/>
          <w:pgMar w:top="0" w:right="0" w:bottom="0" w:left="0" w:header="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Infrastructure Financing</w:t>
      </w:r>
    </w:p>
    <w:p>
      <w:pPr>
        <w:pStyle w:val="Heading2"/>
        <w:spacing w:after="60" w:before="160"/>
      </w:pPr>
      <w:r>
        <w:rPr>
          <w:rFonts w:ascii="Times New Roman" w:cs="Times New Roman" w:eastAsia="Times New Roman" w:hAnsi="Times New Roman"/>
          <w:sz w:val="40"/>
          <w:szCs w:val="40"/>
        </w:rPr>
        <w:t xml:space="preserve">Overview</w:t>
      </w:r>
    </w:p>
    <w:p>
      <w:pPr>
        <w:spacing w:after="120" w:line="252"/>
        <w:jc w:val="both"/>
      </w:pPr>
      <w:r>
        <w:rPr>
          <w:rFonts w:ascii="Times New Roman" w:cs="Times New Roman" w:eastAsia="Times New Roman" w:hAnsi="Times New Roman"/>
          <w:sz w:val="21"/>
          <w:szCs w:val="21"/>
        </w:rPr>
        <w:t xml:space="preserve">AI infrastructure financing is the debt raised to build data centers and the computing equipment inside them, and in 2026 it has become one of the largest sources of new supply in credit. Lenders reach the same assets through five routes. Hyperscalers borrow directly in the investment grade market on their corporate ratings. Joint ventures issue project bonds secured by a lease to a hyperscaler, as with Meta's $27.3bn Hyperion financing, where Blue Owl owns 80% of the vehicle and the A+ rated bonds amortize to 2049. Developers take construction loans against leases to Oracle and OpenAI, before any rent is paid. Neoclouds such as CoreWeave borrow against GPUs and the customer contracts that pay for them. Stabilized campuses are refinanced through data center ABS and CMBS once rent is flowing. In every route the lender is underwriting the tenant, and agencies start from the tenant's rating and subtract notches for construction, lease length, and operator risk.</w:t>
      </w:r>
    </w:p>
    <w:p>
      <w:pPr>
        <w:pStyle w:val="Heading2"/>
        <w:spacing w:after="60" w:before="160"/>
      </w:pPr>
      <w:r>
        <w:rPr>
          <w:rFonts w:ascii="Times New Roman" w:cs="Times New Roman" w:eastAsia="Times New Roman" w:hAnsi="Times New Roman"/>
          <w:sz w:val="40"/>
          <w:szCs w:val="40"/>
        </w:rPr>
        <w:t xml:space="preserve">How Lenders Size the Debt</w:t>
      </w:r>
    </w:p>
    <w:p>
      <w:pPr>
        <w:spacing w:after="120" w:line="252"/>
        <w:jc w:val="both"/>
      </w:pPr>
      <w:r>
        <w:rPr>
          <w:rFonts w:ascii="Times New Roman" w:cs="Times New Roman" w:eastAsia="Times New Roman" w:hAnsi="Times New Roman"/>
          <w:sz w:val="21"/>
          <w:szCs w:val="21"/>
        </w:rPr>
        <w:t xml:space="preserve">Lease backed debt is sized so contracted rent covers debt service and bonds amortize before the lease and its renewals run out, so leverage rises with tenant strength. Hut 8's $4.25bn Beacon Point bonds, backed by a tenant rated AA- or better, financed 95% of project cost at T+165, which Hut 8 calls the highest loan to cost for an HPC data center bond. Oracle's Saline Township campus raised about $14bn of bonds against $16.3bn of cost, or roughly 15% equity. Stabilized campuses are sized on value, and S&amp;P has put senior notes in Aligned's ABS master trust, which added $1.18bn in July, at about 70% of appraised value in past series. GPU lenders lend less against depreciating collateral, and Apollo's $3.5bn for the xAI chip leasing vehicle equals about 65% of a $5.4bn purchase. KBRA cut the cash flow on the single tenant campus behind BX 2026 VLT10 to 18.9% below the issuer's figure and its value to 27.2% below appraisal, lifting leverage on the $1.26bn loan to 108.4%.</w:t>
      </w:r>
    </w:p>
    <w:p>
      <w:pPr>
        <w:pStyle w:val="Heading2"/>
        <w:spacing w:after="60" w:before="160"/>
      </w:pPr>
      <w:r>
        <w:rPr>
          <w:rFonts w:ascii="Times New Roman" w:cs="Times New Roman" w:eastAsia="Times New Roman" w:hAnsi="Times New Roman"/>
          <w:sz w:val="40"/>
          <w:szCs w:val="40"/>
        </w:rPr>
        <w:t xml:space="preserve">Why It Matters for Credit</w:t>
      </w:r>
    </w:p>
    <w:p>
      <w:pPr>
        <w:spacing w:after="120" w:line="252"/>
        <w:jc w:val="both"/>
      </w:pPr>
      <w:r>
        <w:rPr>
          <w:rFonts w:ascii="Times New Roman" w:cs="Times New Roman" w:eastAsia="Times New Roman" w:hAnsi="Times New Roman"/>
          <w:sz w:val="21"/>
          <w:szCs w:val="21"/>
        </w:rPr>
        <w:t xml:space="preserve">The debt is only as long as the lease behind it, and hyperscaler leases are short. Hyperion and El Paso carry four year initial terms against bonds amortizing to 2049 and 2048, and Meta's residual value guarantee on Hyperion, capped at about $28bn and covering the first 16 years, bridges most of the gap. Moody's counted $662bn of hyperscaler data center leases not yet commenced at end 2025, held off balance sheet and equal to 113% of their adjusted debt, and says it will treat part as debt, while S&amp;P accepted Hyperion as off balance sheet for Meta. The divergence is that one obligation is a lease to one agency and debt to another, so a tenant downgrade passes through.</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Leverage by Financing Route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Hyperscaler Bond Issuance ($bn)</w:t>
            </w:r>
          </w:p>
        </w:tc>
      </w:tr>
      <w:tr>
        <w:trPr>
          <w:trHeight w:val="27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Beacon Point, Saline, Aligned ABS, xAI chip vehicle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2025 actual, 2026 to date, 2026E, 2027E</w:t>
            </w:r>
          </w:p>
        </w:tc>
      </w:tr>
    </w:tbl>
    <w:p>
      <w:pPr>
        <w:sectPr>
          <w:headerReference w:type="default" r:id="rId6"/>
          <w:footerReference w:type="default" r:id="rId7"/>
          <w:pgSz w:w="10800" w:h="15600" w:orient="portrait"/>
          <w:pgMar w:top="1040" w:right="878" w:bottom="1250" w:left="878" w:header="280" w:footer="0" w:gutter="0"/>
          <w:pgNumType w:start="5"/>
          <w:docGrid w:linePitch="360"/>
        </w:sectPr>
      </w:pPr>
    </w:p>
    <w:p>
      <w:pPr>
        <w:pStyle w:val="Heading1"/>
        <w:spacing w:after="40" w:before="0"/>
      </w:pPr>
      <w:r>
        <w:rPr>
          <w:rFonts w:ascii="Times New Roman" w:cs="Times New Roman" w:eastAsia="Times New Roman" w:hAnsi="Times New Roman"/>
          <w:b/>
          <w:bCs/>
          <w:sz w:val="52"/>
          <w:szCs w:val="52"/>
        </w:rPr>
        <w:t xml:space="preserve">Pricing AI Credit</w:t>
      </w:r>
    </w:p>
    <w:p>
      <w:pPr>
        <w:pStyle w:val="Heading2"/>
        <w:spacing w:after="60" w:before="160"/>
      </w:pPr>
      <w:r>
        <w:rPr>
          <w:rFonts w:ascii="Times New Roman" w:cs="Times New Roman" w:eastAsia="Times New Roman" w:hAnsi="Times New Roman"/>
          <w:sz w:val="40"/>
          <w:szCs w:val="40"/>
        </w:rPr>
        <w:t xml:space="preserve">Market Activity</w:t>
      </w:r>
    </w:p>
    <w:p>
      <w:pPr>
        <w:spacing w:after="120" w:line="252"/>
        <w:jc w:val="both"/>
      </w:pPr>
      <w:r>
        <w:rPr>
          <w:rFonts w:ascii="Times New Roman" w:cs="Times New Roman" w:eastAsia="Times New Roman" w:hAnsi="Times New Roman"/>
          <w:sz w:val="21"/>
          <w:szCs w:val="21"/>
        </w:rPr>
        <w:t xml:space="preserve">Investors keep funding the buildout but charging more for it. Apollo estimates order cover on hyperscaler bonds fell from about five times in February to below two times by July. Meta's El Paso joint venture priced $12.5bn of A+ rated amortizing notes on July 27 at 7.534%, or T+287.5, with orders peaking near $20bn, about 1.6 times the deal, while the average bond sale this year drew close to four times. That was 62.5bps wider than Hyperion's T+225 in October 2025 on the same tenant, rating, and template. On September 23 a Blue Owl affiliated campus in Virginia leased to CoreWeave sold $1.1bn of BB- rated five year notes at 98.5 to yield 9.25%, about 270bps above similarly rated debt. GPU loans split the same way. CoreWeave borrowed at SOFR plus 225 in March on an A3 rated facility backed by its Meta contract, then paid SOFR plus 550 in August on a Ba2 facility, 100bps wider than its May loan at the same ratings.</w:t>
      </w:r>
    </w:p>
    <w:p>
      <w:pPr>
        <w:spacing w:after="60" w:before="120"/>
        <w:jc w:val="center"/>
      </w:pPr>
      <w:r>
        <w:rPr>
          <w:rFonts w:ascii="Times New Roman" w:cs="Times New Roman" w:eastAsia="Times New Roman" w:hAnsi="Times New Roman"/>
          <w:b/>
          <w:bCs/>
          <w:sz w:val="22"/>
          <w:szCs w:val="22"/>
        </w:rPr>
        <w:t xml:space="preserve">AI Infrastructure Deal Pricing and Leverage</w:t>
      </w:r>
    </w:p>
    <w:tbl>
      <w:tblPr>
        <w:tblW w:type="dxa" w:w="904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0"/>
        <w:gridCol w:w="900"/>
        <w:gridCol w:w="900"/>
        <w:gridCol w:w="1150"/>
        <w:gridCol w:w="1450"/>
        <w:gridCol w:w="700"/>
        <w:gridCol w:w="1694"/>
      </w:tblGrid>
      <w:tr>
        <w:trPr>
          <w:tblHeader/>
        </w:trPr>
        <w:tc>
          <w:tcPr>
            <w:tcW w:type="dxa" w:w="22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Deal</w:t>
            </w:r>
          </w:p>
        </w:tc>
        <w:tc>
          <w:tcPr>
            <w:tcW w:type="dxa" w:w="9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Priced</w:t>
            </w:r>
          </w:p>
        </w:tc>
        <w:tc>
          <w:tcPr>
            <w:tcW w:type="dxa" w:w="9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Size</w:t>
            </w:r>
          </w:p>
        </w:tc>
        <w:tc>
          <w:tcPr>
            <w:tcW w:type="dxa" w:w="1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Rating</w:t>
            </w:r>
          </w:p>
        </w:tc>
        <w:tc>
          <w:tcPr>
            <w:tcW w:type="dxa" w:w="14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Pricing</w:t>
            </w:r>
          </w:p>
        </w:tc>
        <w:tc>
          <w:tcPr>
            <w:tcW w:type="dxa" w:w="7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Final</w:t>
            </w:r>
          </w:p>
        </w:tc>
        <w:tc>
          <w:tcPr>
            <w:tcW w:type="dxa" w:w="169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Leverage or collateral</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Jun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$4.25bn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Baa2</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6.129%, T+165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2042</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95% LTC</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Saline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Apr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~$14bn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 at 98.75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2045</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~85% LTC (derived)</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Hyperion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Oct 2025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$27.3bn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6.581%, T+225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2049</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Lease, ~$28bn RVG</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El Paso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 / AA-</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T+287.5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2048</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lease and RVG</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Digital Drive (CoreWeave)</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BB-</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yield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 yr</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lease</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data center ABS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$1.18bn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 senior</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 yr ARD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~70% LTV (past series)</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BX 2026 VLT10 CMBS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Jun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$1.26bn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KBRA rated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10 yr ARD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108% KBRA LTV</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Mar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$8.5bn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A3</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SOFR+225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2032</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Meta contract</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Aug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$2.6bn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Ba2 / BB+</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SOFR+550</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2031</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~3 yr contracts</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term loan B</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Aug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$926m</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Baa2</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SOFR+300</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2030</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IG offtaker</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Jupiter loan</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~$18bn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Quoted 89 to 91</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n/a</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lease (BBB-)</w:t>
            </w:r>
          </w:p>
        </w:tc>
      </w:tr>
    </w:tbl>
    <w:p>
      <w:pPr>
        <w:spacing w:after="60" w:before="60"/>
      </w:pPr>
      <w:r>
        <w:rPr>
          <w:rFonts w:ascii="Times New Roman" w:cs="Times New Roman" w:eastAsia="Times New Roman" w:hAnsi="Times New Roman"/>
          <w:i/>
          <w:iCs/>
          <w:sz w:val="14"/>
          <w:szCs w:val="14"/>
        </w:rPr>
        <w:t xml:space="preserve">LTC is loan to cost and LTV is loan to value. Ratings are S&amp;P, Moody's, Fitch or KBRA as reported, and El Paso shows S&amp;P then Fitch. Saline LTC is derived from $14bn of bonds against $16.3bn of cost.</w:t>
      </w:r>
    </w:p>
    <w:p>
      <w:pPr>
        <w:pStyle w:val="Heading2"/>
        <w:spacing w:after="60" w:before="160"/>
      </w:pPr>
      <w:r>
        <w:rPr>
          <w:rFonts w:ascii="Times New Roman" w:cs="Times New Roman" w:eastAsia="Times New Roman" w:hAnsi="Times New Roman"/>
          <w:sz w:val="40"/>
          <w:szCs w:val="40"/>
        </w:rPr>
        <w:t xml:space="preserve">Spreads Follow the Tenant</w:t>
      </w:r>
    </w:p>
    <w:p>
      <w:pPr>
        <w:spacing w:after="120" w:line="252"/>
        <w:jc w:val="both"/>
      </w:pPr>
      <w:r>
        <w:rPr>
          <w:rFonts w:ascii="Times New Roman" w:cs="Times New Roman" w:eastAsia="Times New Roman" w:hAnsi="Times New Roman"/>
          <w:sz w:val="21"/>
          <w:szCs w:val="21"/>
        </w:rPr>
        <w:t xml:space="preserve">The tenant sets the starting point, and tenor and timing set the rest. Beacon Point, with a tenant rated AA- or better and bonds amortizing to 2042, priced at T+165 despite 95% leverage. El Paso, with A+ rated notes backed by Meta's lease and a 2048 final maturity, needed T+287.5 nine months after Hyperion, as order books thinned. Below investment grade the step is larger, and CoreWeave linked paper clears near 9.25% even when secured. Among corporates, Amazon paid a new issue concession of 10 to 12bps on its $25bn July deal against a 2026 average near 4bps, and Meta's $25bn April deal drew a $96bn book against $125bn for its October 2025 deal. Oracle's $25bn February deal drew a $129bn book, yet its 10 year priced near T+145 while TwentyFour Asset Management put the US BBB index near T+95. The divergence is between steady demand for the largest tickets and a rising price for every notch of tenant risk.</w:t>
      </w:r>
    </w:p>
    <w:p>
      <w:pPr>
        <w:sectPr>
          <w:headerReference w:type="default" r:id="rId8"/>
          <w:footerReference w:type="default" r:id="rId9"/>
          <w:pgSz w:w="10800" w:h="15600" w:orient="portrait"/>
          <w:pgMar w:top="1040" w:right="878" w:bottom="1250" w:left="878" w:header="28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Credit Under Strain</w:t>
      </w:r>
    </w:p>
    <w:p>
      <w:pPr>
        <w:pStyle w:val="Heading2"/>
        <w:spacing w:after="60" w:before="160"/>
      </w:pPr>
      <w:r>
        <w:rPr>
          <w:rFonts w:ascii="Times New Roman" w:cs="Times New Roman" w:eastAsia="Times New Roman" w:hAnsi="Times New Roman"/>
          <w:sz w:val="40"/>
          <w:szCs w:val="40"/>
        </w:rPr>
        <w:t xml:space="preserve">Oracle and Project Jupiter</w:t>
      </w:r>
    </w:p>
    <w:p>
      <w:pPr>
        <w:spacing w:after="120" w:line="252"/>
        <w:jc w:val="both"/>
      </w:pPr>
      <w:r>
        <w:rPr>
          <w:rFonts w:ascii="Times New Roman" w:cs="Times New Roman" w:eastAsia="Times New Roman" w:hAnsi="Times New Roman"/>
          <w:sz w:val="21"/>
          <w:szCs w:val="21"/>
        </w:rPr>
        <w:t xml:space="preserve">Oracle is the clearest test of what happens when the tenant weakens. S&amp;P cut Oracle to BBB- on July 9, citing OpenAI as about half of its contracted backlog and a projected fiscal 2027 free operating cash flow deficit of about $42bn, and said another downgrade is possible if leverage stays above 4.5x. Oracle's September 10 results showed remaining performance obligations of $664bn, quarterly capex of $28.5bn, and fiscal 2027 capex guidance of $90bn to $95bn. The strain has reached project debt. The $18bn construction loan on Project Jupiter, a 2.45 gigawatt New Mexico campus developed by a Blue Owl unit and leased to Oracle, was quoted at 89 to 91 cents in September, with syndicate banks holding more of it than planned. On September 24 Oracle sent the developer a force majeure notice after a gas pipeline slipped to February 2027, which could let it defer rent for up to three years. Oracle says the project is on schedule.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Project Bond Yields by Tenant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GPU Loan Spreads (bps over SOFR)</w:t>
            </w:r>
          </w:p>
        </w:tc>
      </w:tr>
      <w:tr>
        <w:trPr>
          <w:trHeight w:val="26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Beacon Point, Hyperion, El Paso, Digital Drive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CoreWeave DDTL 4.0, Lambda, DDTL 3.0, 5.0, 5.5</w:t>
            </w:r>
          </w:p>
        </w:tc>
      </w:tr>
    </w:tbl>
    <w:p>
      <w:pPr>
        <w:pStyle w:val="Heading2"/>
        <w:spacing w:after="60" w:before="160"/>
      </w:pPr>
      <w:r>
        <w:rPr>
          <w:rFonts w:ascii="Times New Roman" w:cs="Times New Roman" w:eastAsia="Times New Roman" w:hAnsi="Times New Roman"/>
          <w:sz w:val="40"/>
          <w:szCs w:val="40"/>
        </w:rPr>
        <w:t xml:space="preserve">Risk Considerations</w:t>
      </w:r>
    </w:p>
    <w:p>
      <w:pPr>
        <w:spacing w:after="120" w:line="252"/>
        <w:jc w:val="both"/>
      </w:pPr>
      <w:r>
        <w:rPr>
          <w:rFonts w:ascii="Times New Roman" w:cs="Times New Roman" w:eastAsia="Times New Roman" w:hAnsi="Times New Roman"/>
          <w:sz w:val="21"/>
          <w:szCs w:val="21"/>
        </w:rPr>
        <w:t xml:space="preserve">Three risks sit beneath the pricing. Duration is the first, since four year initial leases support bonds amortizing over more than 20 years, and CoreWeave's August facility runs about five years against customer contracts averaging about three. Construction is the second, because rent does not begin until a campus is finished, leaving lenders exposed to power, permitting, and local opposition. Concentration is the third, with OpenAI behind about half of Oracle's backlog and an OpenAI contract backing one of CoreWeave's GPU facilities, so one counterparty links bank loans, project bonds, and GPU debt. The key divergence is that structures rated on a strong tenant now carry spreads that price a weaker one.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Meta SPVs Reprice</w:t>
            </w:r>
          </w:p>
          <w:p>
            <w:pPr>
              <w:spacing w:after="120" w:line="252"/>
              <w:jc w:val="both"/>
            </w:pPr>
            <w:r>
              <w:rPr>
                <w:rFonts w:ascii="Times New Roman" w:cs="Times New Roman" w:eastAsia="Times New Roman" w:hAnsi="Times New Roman"/>
                <w:sz w:val="21"/>
                <w:szCs w:val="21"/>
              </w:rPr>
              <w:t xml:space="preserve">Meta's two joint ventures share one template, a four year initial lease, a residual value guarantee covering the first 16 years, and A+ rated amortizing bonds. On Hyperion the guarantee totals about $28bn against $27.3bn of bonds, and rent begins in 2029. Hyperion priced at 6.581%, or T+225, in October 2025. El Paso priced $12.5bn at 7.534%, or T+287.5, in July, with Fitch one notch higher at AA-. The 62.5bps wider spread on the same tenant suggests that investors now price supply and timing on top of Meta's credit.</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CoreWeave's Credit Curve</w:t>
            </w:r>
          </w:p>
          <w:p>
            <w:pPr>
              <w:spacing w:after="120" w:line="252"/>
              <w:jc w:val="both"/>
            </w:pPr>
            <w:r>
              <w:rPr>
                <w:rFonts w:ascii="Times New Roman" w:cs="Times New Roman" w:eastAsia="Times New Roman" w:hAnsi="Times New Roman"/>
                <w:sz w:val="21"/>
                <w:szCs w:val="21"/>
              </w:rPr>
              <w:t xml:space="preserve">CoreWeave's pricing depends on who pays. Its $8.5bn DDTL 4.0, backed by GPUs serving Meta, is rated A3 by Moody's and priced at SOFR plus 225. DDTL 3.0, tied to OpenAI, priced at SOFR plus 400. The $3.1bn DDTL 5.0 in May priced at SOFR plus 450 with Ba2 and BB+ ratings, and the $2.6bn DDTL 5.5 in August priced at SOFR plus 550 at the same ratings. The 325bps gap between its A3 and Ba2 facilities mostly prices counterparty risk, though the 100bps step from May to August, on shorter customer contracts, shows contract length and timing matter too.</w:t>
            </w:r>
          </w:p>
        </w:tc>
      </w:tr>
    </w:tbl>
    <w:p>
      <w:pPr>
        <w:sectPr>
          <w:headerReference w:type="default" r:id="rId10"/>
          <w:footerReference w:type="default" r:id="rId11"/>
          <w:pgSz w:w="10800" w:h="15600" w:orient="portrait"/>
          <w:pgMar w:top="1040" w:right="878" w:bottom="1250" w:left="878" w:header="280" w:footer="0" w:gutter="0"/>
          <w:pgNumType/>
          <w:docGrid w:linePitch="360"/>
        </w:sectPr>
      </w:pPr>
    </w:p>
    <w:p>
      <w:pPr>
        <w:pStyle w:val="Heading1"/>
        <w:spacing w:after="80" w:before="0"/>
      </w:pPr>
      <w:r>
        <w:rPr>
          <w:rFonts w:ascii="Times New Roman" w:cs="Times New Roman" w:eastAsia="Times New Roman" w:hAnsi="Times New Roman"/>
          <w:b/>
          <w:bCs/>
          <w:color w:val="5A2020"/>
          <w:sz w:val="40"/>
          <w:szCs w:val="40"/>
        </w:rPr>
        <w:t xml:space="preserve">Chart Ideas and Links</w:t>
      </w:r>
    </w:p>
    <w:p>
      <w:pPr>
        <w:spacing w:after="100" w:line="252"/>
      </w:pPr>
      <w:r>
        <w:rPr>
          <w:rFonts w:ascii="Times New Roman" w:cs="Times New Roman" w:eastAsia="Times New Roman" w:hAnsi="Times New Roman"/>
          <w:sz w:val="21"/>
          <w:szCs w:val="21"/>
        </w:rPr>
        <w:t xml:space="preserve">Chart ideas with the data points found so far and where to pull them. Charts D and B fill the two placeholders on page 5, and C and A fill the two on page 7. E and F are optional swaps. In the PowerPoint, native charts draw automatically once a chart is marked verified in data/chart_data.json. In this Word file the charts are placeholders to paste into.</w:t>
      </w:r>
    </w:p>
    <w:p>
      <w:pPr>
        <w:pStyle w:val="Heading2"/>
        <w:spacing w:after="60" w:before="220"/>
      </w:pPr>
      <w:r>
        <w:rPr>
          <w:rFonts w:ascii="Times New Roman" w:cs="Times New Roman" w:eastAsia="Times New Roman" w:hAnsi="Times New Roman"/>
          <w:b/>
          <w:bCs/>
          <w:color w:val="5A2020"/>
          <w:sz w:val="26"/>
          <w:szCs w:val="26"/>
        </w:rPr>
        <w:t xml:space="preserve">Chart D, Leverage by Financing Route (%)</w:t>
      </w:r>
    </w:p>
    <w:p>
      <w:pPr>
        <w:spacing w:after="60"/>
      </w:pPr>
      <w:r>
        <w:rPr>
          <w:rFonts w:ascii="Times New Roman" w:cs="Times New Roman" w:eastAsia="Times New Roman" w:hAnsi="Times New Roman"/>
          <w:sz w:val="21"/>
          <w:szCs w:val="21"/>
        </w:rPr>
        <w:t xml:space="preserve">Page 5, left. Horizontal bar, maroon shades, highest leverage on top.</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bonds,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and counsel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Saline SPV bonds,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85 (derived from 15% equity)</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Related Digital and Blackstone releases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ABS master trust, senior LTV</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70 (S&amp;P wording on past series)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via trade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xAI chip vehicle, advance on purchase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65 (derived, $3.5bn of $5.4bn)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Apollo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Stargate Abilene bank loans,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64 (derived, $9.6bn of about $15bn)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Trade press</w:t>
            </w:r>
          </w:p>
        </w:tc>
      </w:tr>
    </w:tbl>
    <w:p>
      <w:pPr>
        <w:spacing w:after="60" w:before="80"/>
      </w:pPr>
      <w:r>
        <w:rPr>
          <w:rFonts w:ascii="Times New Roman" w:cs="Times New Roman" w:eastAsia="Times New Roman" w:hAnsi="Times New Roman"/>
          <w:i/>
          <w:iCs/>
          <w:sz w:val="20"/>
          <w:szCs w:val="20"/>
        </w:rPr>
        <w:t xml:space="preserve">Three of five bars are derived. Keep the footnote that says so, or swap them for bars with a stated ratio (for example Vantage UK ABS at 53.6% LTV).</w:t>
      </w:r>
    </w:p>
    <w:p>
      <w:pPr>
        <w:pStyle w:val="ListParagraph"/>
        <w:numPr>
          <w:ilvl w:val="0"/>
          <w:numId w:val="2"/>
        </w:numPr>
        <w:spacing w:after="50" w:before="0"/>
      </w:pPr>
      <w:hyperlink w:history="1" r:id="rIdeemcc7evgonbkrdupt_s_">
        <w:r>
          <w:rPr>
            <w:rFonts w:ascii="Times New Roman" w:cs="Times New Roman" w:eastAsia="Times New Roman" w:hAnsi="Times New Roman"/>
            <w:color w:val="9B3739"/>
            <w:sz w:val="20"/>
            <w:szCs w:val="20"/>
            <w:u w:val="single"/>
          </w:rPr>
          <w:t xml:space="preserve">Beacon Point 95% loan to cost</w:t>
        </w:r>
      </w:hyperlink>
    </w:p>
    <w:p>
      <w:pPr>
        <w:pStyle w:val="ListParagraph"/>
        <w:numPr>
          <w:ilvl w:val="0"/>
          <w:numId w:val="2"/>
        </w:numPr>
        <w:spacing w:after="50" w:before="0"/>
      </w:pPr>
      <w:hyperlink w:history="1" r:id="rIdvd4rs5y26ufpsm1hjnz11">
        <w:r>
          <w:rPr>
            <w:rFonts w:ascii="Times New Roman" w:cs="Times New Roman" w:eastAsia="Times New Roman" w:hAnsi="Times New Roman"/>
            <w:color w:val="9B3739"/>
            <w:sz w:val="20"/>
            <w:szCs w:val="20"/>
            <w:u w:val="single"/>
          </w:rPr>
          <w:t xml:space="preserve">Saline financing</w:t>
        </w:r>
      </w:hyperlink>
    </w:p>
    <w:p>
      <w:pPr>
        <w:pStyle w:val="ListParagraph"/>
        <w:numPr>
          <w:ilvl w:val="0"/>
          <w:numId w:val="2"/>
        </w:numPr>
        <w:spacing w:after="50" w:before="0"/>
      </w:pPr>
      <w:hyperlink w:history="1" r:id="rId62tt8rdzwprqfv0z2dt4u">
        <w:r>
          <w:rPr>
            <w:rFonts w:ascii="Times New Roman" w:cs="Times New Roman" w:eastAsia="Times New Roman" w:hAnsi="Times New Roman"/>
            <w:color w:val="9B3739"/>
            <w:sz w:val="20"/>
            <w:szCs w:val="20"/>
            <w:u w:val="single"/>
          </w:rPr>
          <w:t xml:space="preserve">Aligned ABS</w:t>
        </w:r>
      </w:hyperlink>
    </w:p>
    <w:p>
      <w:pPr>
        <w:pStyle w:val="ListParagraph"/>
        <w:numPr>
          <w:ilvl w:val="0"/>
          <w:numId w:val="2"/>
        </w:numPr>
        <w:spacing w:after="50" w:before="0"/>
      </w:pPr>
      <w:hyperlink w:history="1" r:id="rIdfbfain0xspt9q3syczt4u">
        <w:r>
          <w:rPr>
            <w:rFonts w:ascii="Times New Roman" w:cs="Times New Roman" w:eastAsia="Times New Roman" w:hAnsi="Times New Roman"/>
            <w:color w:val="9B3739"/>
            <w:sz w:val="20"/>
            <w:szCs w:val="20"/>
            <w:u w:val="single"/>
          </w:rPr>
          <w:t xml:space="preserve">Apollo and Valor xAI financing</w:t>
        </w:r>
      </w:hyperlink>
    </w:p>
    <w:p>
      <w:pPr>
        <w:pStyle w:val="ListParagraph"/>
        <w:numPr>
          <w:ilvl w:val="0"/>
          <w:numId w:val="2"/>
        </w:numPr>
        <w:spacing w:after="50" w:before="0"/>
      </w:pPr>
      <w:hyperlink w:history="1" r:id="rIdhibq5iuujik-pswnw2vnt">
        <w:r>
          <w:rPr>
            <w:rFonts w:ascii="Times New Roman" w:cs="Times New Roman" w:eastAsia="Times New Roman" w:hAnsi="Times New Roman"/>
            <w:color w:val="9B3739"/>
            <w:sz w:val="20"/>
            <w:szCs w:val="20"/>
            <w:u w:val="single"/>
          </w:rPr>
          <w:t xml:space="preserve">Abilene construction loan</w:t>
        </w:r>
      </w:hyperlink>
    </w:p>
    <w:p>
      <w:pPr>
        <w:pStyle w:val="ListParagraph"/>
        <w:numPr>
          <w:ilvl w:val="0"/>
          <w:numId w:val="2"/>
        </w:numPr>
        <w:spacing w:after="50" w:before="0"/>
      </w:pPr>
      <w:hyperlink w:history="1" r:id="rIdpkebar3rqcxnpmrezr-pk">
        <w:r>
          <w:rPr>
            <w:rFonts w:ascii="Times New Roman" w:cs="Times New Roman" w:eastAsia="Times New Roman" w:hAnsi="Times New Roman"/>
            <w:color w:val="9B3739"/>
            <w:sz w:val="20"/>
            <w:szCs w:val="20"/>
            <w:u w:val="single"/>
          </w:rPr>
          <w:t xml:space="preserve">KBRA on BX 2026 VLT10 (108.4% KBRA LTV)</w:t>
        </w:r>
      </w:hyperlink>
    </w:p>
    <w:p>
      <w:pPr>
        <w:pStyle w:val="Heading2"/>
        <w:spacing w:after="60" w:before="220"/>
      </w:pPr>
      <w:r>
        <w:rPr>
          <w:rFonts w:ascii="Times New Roman" w:cs="Times New Roman" w:eastAsia="Times New Roman" w:hAnsi="Times New Roman"/>
          <w:b/>
          <w:bCs/>
          <w:color w:val="5A2020"/>
          <w:sz w:val="26"/>
          <w:szCs w:val="26"/>
        </w:rPr>
        <w:t xml:space="preserve">Chart B, Hyperscaler Bond Issuance ($bn)</w:t>
      </w:r>
    </w:p>
    <w:p>
      <w:pPr>
        <w:spacing w:after="60"/>
      </w:pPr>
      <w:r>
        <w:rPr>
          <w:rFonts w:ascii="Times New Roman" w:cs="Times New Roman" w:eastAsia="Times New Roman" w:hAnsi="Times New Roman"/>
          <w:sz w:val="21"/>
          <w:szCs w:val="21"/>
        </w:rPr>
        <w:t xml:space="preserve">Page 5, right. Column chart, estimate bars shaded lighter.</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2025 full year (Amazon, Alphabet, Meta, Oracle)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108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to date (same four issuers)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223</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LSEG via CNBC</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via Reuters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2027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via Reuters</w:t>
            </w:r>
          </w:p>
        </w:tc>
      </w:tr>
    </w:tbl>
    <w:p>
      <w:pPr>
        <w:spacing w:after="60" w:before="80"/>
      </w:pPr>
      <w:r>
        <w:rPr>
          <w:rFonts w:ascii="Times New Roman" w:cs="Times New Roman" w:eastAsia="Times New Roman" w:hAnsi="Times New Roman"/>
          <w:i/>
          <w:iCs/>
          <w:sz w:val="20"/>
          <w:szCs w:val="20"/>
        </w:rPr>
        <w:t xml:space="preserve">The to date figure runs through late August. Morgan Stanley reported no hyperscaler USD IG deals in September, but only through an aggregator. Refresh with an LSEG pull before publishing.</w:t>
      </w:r>
    </w:p>
    <w:p>
      <w:pPr>
        <w:pStyle w:val="ListParagraph"/>
        <w:numPr>
          <w:ilvl w:val="0"/>
          <w:numId w:val="2"/>
        </w:numPr>
        <w:spacing w:after="50" w:before="0"/>
      </w:pPr>
      <w:hyperlink w:history="1" r:id="rIde9korhnlrqomdccaukns_">
        <w:r>
          <w:rPr>
            <w:rFonts w:ascii="Times New Roman" w:cs="Times New Roman" w:eastAsia="Times New Roman" w:hAnsi="Times New Roman"/>
            <w:color w:val="9B3739"/>
            <w:sz w:val="20"/>
            <w:szCs w:val="20"/>
            <w:u w:val="single"/>
          </w:rPr>
          <w:t xml:space="preserve">Reuters analysis of LSEG data</w:t>
        </w:r>
      </w:hyperlink>
    </w:p>
    <w:p>
      <w:pPr>
        <w:pStyle w:val="ListParagraph"/>
        <w:numPr>
          <w:ilvl w:val="0"/>
          <w:numId w:val="2"/>
        </w:numPr>
        <w:spacing w:after="50" w:before="0"/>
      </w:pPr>
      <w:hyperlink w:history="1" r:id="rId8jpakr153z-mfyzjyvetn">
        <w:r>
          <w:rPr>
            <w:rFonts w:ascii="Times New Roman" w:cs="Times New Roman" w:eastAsia="Times New Roman" w:hAnsi="Times New Roman"/>
            <w:color w:val="9B3739"/>
            <w:sz w:val="20"/>
            <w:szCs w:val="20"/>
            <w:u w:val="single"/>
          </w:rPr>
          <w:t xml:space="preserve">CNBC on data center bond yields</w:t>
        </w:r>
      </w:hyperlink>
    </w:p>
    <w:p>
      <w:pPr>
        <w:pStyle w:val="Heading2"/>
        <w:spacing w:after="60" w:before="220"/>
      </w:pPr>
      <w:r>
        <w:rPr>
          <w:rFonts w:ascii="Times New Roman" w:cs="Times New Roman" w:eastAsia="Times New Roman" w:hAnsi="Times New Roman"/>
          <w:b/>
          <w:bCs/>
          <w:color w:val="5A2020"/>
          <w:sz w:val="26"/>
          <w:szCs w:val="26"/>
        </w:rPr>
        <w:t xml:space="preserve">Chart C, Project Bond Yields by Tenant (%)</w:t>
      </w:r>
    </w:p>
    <w:p>
      <w:pPr>
        <w:spacing w:after="60"/>
      </w:pPr>
      <w:r>
        <w:rPr>
          <w:rFonts w:ascii="Times New Roman" w:cs="Times New Roman" w:eastAsia="Times New Roman" w:hAnsi="Times New Roman"/>
          <w:sz w:val="21"/>
          <w:szCs w:val="21"/>
        </w:rPr>
        <w:t xml:space="preserve">Page 7, left. Horizontal bar, tenant and pricing month in each label.</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AA- or better tenant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6.129 (T+165), Jun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Hyperion,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6.581 (T+225), Oct 2025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IFR</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El Paso,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(T+287.5), Jul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PitchBook</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Digital Drive, CoreWeave tenant,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yield at 98.5, Sep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bl>
    <w:p>
      <w:pPr>
        <w:spacing w:after="60" w:before="80"/>
      </w:pPr>
      <w:r>
        <w:rPr>
          <w:rFonts w:ascii="Times New Roman" w:cs="Times New Roman" w:eastAsia="Times New Roman" w:hAnsi="Times New Roman"/>
          <w:i/>
          <w:iCs/>
          <w:sz w:val="20"/>
          <w:szCs w:val="20"/>
        </w:rPr>
        <w:t xml:space="preserve">Pricing dates differ, so the spreads are the cleaner comparison. Digital Drive has no Treasury spread on record, only about 270bps over similarly rated debt.</w:t>
      </w:r>
    </w:p>
    <w:p>
      <w:pPr>
        <w:pStyle w:val="ListParagraph"/>
        <w:numPr>
          <w:ilvl w:val="0"/>
          <w:numId w:val="2"/>
        </w:numPr>
        <w:spacing w:after="50" w:before="0"/>
      </w:pPr>
      <w:hyperlink w:history="1" r:id="rIdjxfqdw3hf3bygphtodc4l">
        <w:r>
          <w:rPr>
            <w:rFonts w:ascii="Times New Roman" w:cs="Times New Roman" w:eastAsia="Times New Roman" w:hAnsi="Times New Roman"/>
            <w:color w:val="9B3739"/>
            <w:sz w:val="20"/>
            <w:szCs w:val="20"/>
            <w:u w:val="single"/>
          </w:rPr>
          <w:t xml:space="preserve">El Paso pricing</w:t>
        </w:r>
      </w:hyperlink>
    </w:p>
    <w:p>
      <w:pPr>
        <w:pStyle w:val="ListParagraph"/>
        <w:numPr>
          <w:ilvl w:val="0"/>
          <w:numId w:val="2"/>
        </w:numPr>
        <w:spacing w:after="50" w:before="0"/>
      </w:pPr>
      <w:hyperlink w:history="1" r:id="rIdcgfl-lurumnx7ak9o8rfk">
        <w:r>
          <w:rPr>
            <w:rFonts w:ascii="Times New Roman" w:cs="Times New Roman" w:eastAsia="Times New Roman" w:hAnsi="Times New Roman"/>
            <w:color w:val="9B3739"/>
            <w:sz w:val="20"/>
            <w:szCs w:val="20"/>
            <w:u w:val="single"/>
          </w:rPr>
          <w:t xml:space="preserve">Hyperion structure and pricing</w:t>
        </w:r>
      </w:hyperlink>
    </w:p>
    <w:p>
      <w:pPr>
        <w:pStyle w:val="ListParagraph"/>
        <w:numPr>
          <w:ilvl w:val="0"/>
          <w:numId w:val="2"/>
        </w:numPr>
        <w:spacing w:after="50" w:before="0"/>
      </w:pPr>
      <w:hyperlink w:history="1" r:id="rIdpjpqvahni0inugf9zod7p">
        <w:r>
          <w:rPr>
            <w:rFonts w:ascii="Times New Roman" w:cs="Times New Roman" w:eastAsia="Times New Roman" w:hAnsi="Times New Roman"/>
            <w:color w:val="9B3739"/>
            <w:sz w:val="20"/>
            <w:szCs w:val="20"/>
            <w:u w:val="single"/>
          </w:rPr>
          <w:t xml:space="preserve">Digital Drive notes</w:t>
        </w:r>
      </w:hyperlink>
    </w:p>
    <w:p>
      <w:pPr>
        <w:pStyle w:val="ListParagraph"/>
        <w:numPr>
          <w:ilvl w:val="0"/>
          <w:numId w:val="2"/>
        </w:numPr>
        <w:spacing w:after="50" w:before="0"/>
      </w:pPr>
      <w:hyperlink w:history="1" r:id="rIdfoqd99segm7i4ajp9jzac">
        <w:r>
          <w:rPr>
            <w:rFonts w:ascii="Times New Roman" w:cs="Times New Roman" w:eastAsia="Times New Roman" w:hAnsi="Times New Roman"/>
            <w:color w:val="9B3739"/>
            <w:sz w:val="20"/>
            <w:szCs w:val="20"/>
            <w:u w:val="single"/>
          </w:rPr>
          <w:t xml:space="preserve">Beacon Point notes</w:t>
        </w:r>
      </w:hyperlink>
    </w:p>
    <w:p>
      <w:pPr>
        <w:pStyle w:val="Heading2"/>
        <w:spacing w:after="60" w:before="220"/>
      </w:pPr>
      <w:r>
        <w:rPr>
          <w:rFonts w:ascii="Times New Roman" w:cs="Times New Roman" w:eastAsia="Times New Roman" w:hAnsi="Times New Roman"/>
          <w:b/>
          <w:bCs/>
          <w:color w:val="5A2020"/>
          <w:sz w:val="26"/>
          <w:szCs w:val="26"/>
        </w:rPr>
        <w:t xml:space="preserve">Chart A, GPU Loan Spreads (bps over SOFR)</w:t>
      </w:r>
    </w:p>
    <w:p>
      <w:pPr>
        <w:spacing w:after="60"/>
      </w:pPr>
      <w:r>
        <w:rPr>
          <w:rFonts w:ascii="Times New Roman" w:cs="Times New Roman" w:eastAsia="Times New Roman" w:hAnsi="Times New Roman"/>
          <w:sz w:val="21"/>
          <w:szCs w:val="21"/>
        </w:rPr>
        <w:t xml:space="preserve">Page 7, right. Horizontal bar, counterparty and rating in each label.</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 Meta contract, A3</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term loan B, IG offtaker, Baa2</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300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3.0, OpenAI contract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5.0, Ba2 and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5.5, Ba2 and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8-K exhibit</w:t>
            </w:r>
          </w:p>
        </w:tc>
      </w:tr>
    </w:tbl>
    <w:p>
      <w:pPr>
        <w:spacing w:after="60" w:before="80"/>
      </w:pPr>
      <w:r>
        <w:rPr>
          <w:rFonts w:ascii="Times New Roman" w:cs="Times New Roman" w:eastAsia="Times New Roman" w:hAnsi="Times New Roman"/>
          <w:i/>
          <w:iCs/>
          <w:sz w:val="20"/>
          <w:szCs w:val="20"/>
        </w:rPr>
        <w:t xml:space="preserve">All five margins confirmed against company releases and filings in reviews/fact-check-v2.md. DDTL 5.5 also reflects shorter customer contracts, not only timing.</w:t>
      </w:r>
    </w:p>
    <w:p>
      <w:pPr>
        <w:pStyle w:val="ListParagraph"/>
        <w:numPr>
          <w:ilvl w:val="0"/>
          <w:numId w:val="2"/>
        </w:numPr>
        <w:spacing w:after="50" w:before="0"/>
      </w:pPr>
      <w:hyperlink w:history="1" r:id="rIdfiyw9yeptcg21kmhhsfyb">
        <w:r>
          <w:rPr>
            <w:rFonts w:ascii="Times New Roman" w:cs="Times New Roman" w:eastAsia="Times New Roman" w:hAnsi="Times New Roman"/>
            <w:color w:val="9B3739"/>
            <w:sz w:val="20"/>
            <w:szCs w:val="20"/>
            <w:u w:val="single"/>
          </w:rPr>
          <w:t xml:space="preserve">DDTL 3.0</w:t>
        </w:r>
      </w:hyperlink>
    </w:p>
    <w:p>
      <w:pPr>
        <w:pStyle w:val="ListParagraph"/>
        <w:numPr>
          <w:ilvl w:val="0"/>
          <w:numId w:val="2"/>
        </w:numPr>
        <w:spacing w:after="50" w:before="0"/>
      </w:pPr>
      <w:hyperlink w:history="1" r:id="rIdhls-xggkfnv43adgxjexe">
        <w:r>
          <w:rPr>
            <w:rFonts w:ascii="Times New Roman" w:cs="Times New Roman" w:eastAsia="Times New Roman" w:hAnsi="Times New Roman"/>
            <w:color w:val="9B3739"/>
            <w:sz w:val="20"/>
            <w:szCs w:val="20"/>
            <w:u w:val="single"/>
          </w:rPr>
          <w:t xml:space="preserve">DDTL 4.0</w:t>
        </w:r>
      </w:hyperlink>
    </w:p>
    <w:p>
      <w:pPr>
        <w:pStyle w:val="ListParagraph"/>
        <w:numPr>
          <w:ilvl w:val="0"/>
          <w:numId w:val="2"/>
        </w:numPr>
        <w:spacing w:after="50" w:before="0"/>
      </w:pPr>
      <w:hyperlink w:history="1" r:id="rIdesbads_gwkifsv2_8n1i9">
        <w:r>
          <w:rPr>
            <w:rFonts w:ascii="Times New Roman" w:cs="Times New Roman" w:eastAsia="Times New Roman" w:hAnsi="Times New Roman"/>
            <w:color w:val="9B3739"/>
            <w:sz w:val="20"/>
            <w:szCs w:val="20"/>
            <w:u w:val="single"/>
          </w:rPr>
          <w:t xml:space="preserve">DDTL 5.0</w:t>
        </w:r>
      </w:hyperlink>
    </w:p>
    <w:p>
      <w:pPr>
        <w:pStyle w:val="ListParagraph"/>
        <w:numPr>
          <w:ilvl w:val="0"/>
          <w:numId w:val="2"/>
        </w:numPr>
        <w:spacing w:after="50" w:before="0"/>
      </w:pPr>
      <w:hyperlink w:history="1" r:id="rIdwid3laacobfew7yrtjnju">
        <w:r>
          <w:rPr>
            <w:rFonts w:ascii="Times New Roman" w:cs="Times New Roman" w:eastAsia="Times New Roman" w:hAnsi="Times New Roman"/>
            <w:color w:val="9B3739"/>
            <w:sz w:val="20"/>
            <w:szCs w:val="20"/>
            <w:u w:val="single"/>
          </w:rPr>
          <w:t xml:space="preserve">DDTL 5.5</w:t>
        </w:r>
      </w:hyperlink>
    </w:p>
    <w:p>
      <w:pPr>
        <w:pStyle w:val="ListParagraph"/>
        <w:numPr>
          <w:ilvl w:val="0"/>
          <w:numId w:val="2"/>
        </w:numPr>
        <w:spacing w:after="50" w:before="0"/>
      </w:pPr>
      <w:hyperlink w:history="1" r:id="rIdoqeoolde40nqg5wnh0kob">
        <w:r>
          <w:rPr>
            <w:rFonts w:ascii="Times New Roman" w:cs="Times New Roman" w:eastAsia="Times New Roman" w:hAnsi="Times New Roman"/>
            <w:color w:val="9B3739"/>
            <w:sz w:val="20"/>
            <w:szCs w:val="20"/>
            <w:u w:val="single"/>
          </w:rPr>
          <w:t xml:space="preserve">Lambda TLB</w:t>
        </w:r>
      </w:hyperlink>
    </w:p>
    <w:p>
      <w:pPr>
        <w:pStyle w:val="Heading2"/>
        <w:spacing w:after="60" w:before="220"/>
      </w:pPr>
      <w:r>
        <w:rPr>
          <w:rFonts w:ascii="Times New Roman" w:cs="Times New Roman" w:eastAsia="Times New Roman" w:hAnsi="Times New Roman"/>
          <w:b/>
          <w:bCs/>
          <w:color w:val="5A2020"/>
          <w:sz w:val="26"/>
          <w:szCs w:val="26"/>
        </w:rPr>
        <w:t xml:space="preserve">Chart E, Oracle Project Jupiter Timeline</w:t>
      </w:r>
    </w:p>
    <w:p>
      <w:pPr>
        <w:spacing w:after="60"/>
      </w:pPr>
      <w:r>
        <w:rPr>
          <w:rFonts w:ascii="Times New Roman" w:cs="Times New Roman" w:eastAsia="Times New Roman" w:hAnsi="Times New Roman"/>
          <w:sz w:val="21"/>
          <w:szCs w:val="21"/>
        </w:rPr>
        <w:t xml:space="preserve">Optional, page 7 swap. Simple dated timeline.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$18bn construction loan from about 20 banks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9,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cuts Oracle to BBB-</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10,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Q1 FY27, RPO $664bn, FCF negative $5.4bn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Mid Sep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Loan quoted at 89 to 91 cents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24,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Force majeure notice to the Blue Owl developer</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Feb 1, 2027</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Gas pipeline in service date</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bl>
    <w:p>
      <w:pPr>
        <w:spacing w:after="60" w:before="80"/>
      </w:pPr>
      <w:r>
        <w:rPr>
          <w:rFonts w:ascii="Times New Roman" w:cs="Times New Roman" w:eastAsia="Times New Roman" w:hAnsi="Times New Roman"/>
          <w:i/>
          <w:iCs/>
          <w:sz w:val="20"/>
          <w:szCs w:val="20"/>
        </w:rPr>
        <w:t xml:space="preserve">Useful if the Oracle section needs a visual in place of chart C.</w:t>
      </w:r>
    </w:p>
    <w:p>
      <w:pPr>
        <w:pStyle w:val="ListParagraph"/>
        <w:numPr>
          <w:ilvl w:val="0"/>
          <w:numId w:val="2"/>
        </w:numPr>
        <w:spacing w:after="50" w:before="0"/>
      </w:pPr>
      <w:hyperlink w:history="1" r:id="rIdbhgleyc-t6hnaesq2ercv">
        <w:r>
          <w:rPr>
            <w:rFonts w:ascii="Times New Roman" w:cs="Times New Roman" w:eastAsia="Times New Roman" w:hAnsi="Times New Roman"/>
            <w:color w:val="9B3739"/>
            <w:sz w:val="20"/>
            <w:szCs w:val="20"/>
            <w:u w:val="single"/>
          </w:rPr>
          <w:t xml:space="preserve">Oracle Q1 FY27 slides</w:t>
        </w:r>
      </w:hyperlink>
    </w:p>
    <w:p>
      <w:pPr>
        <w:pStyle w:val="ListParagraph"/>
        <w:numPr>
          <w:ilvl w:val="0"/>
          <w:numId w:val="2"/>
        </w:numPr>
        <w:spacing w:after="50" w:before="0"/>
      </w:pPr>
      <w:hyperlink w:history="1" r:id="rIdaqgvnlhf1alvl4mvswgfw">
        <w:r>
          <w:rPr>
            <w:rFonts w:ascii="Times New Roman" w:cs="Times New Roman" w:eastAsia="Times New Roman" w:hAnsi="Times New Roman"/>
            <w:color w:val="9B3739"/>
            <w:sz w:val="20"/>
            <w:szCs w:val="20"/>
            <w:u w:val="single"/>
          </w:rPr>
          <w:t xml:space="preserve">Force majeure notice</w:t>
        </w:r>
      </w:hyperlink>
    </w:p>
    <w:p>
      <w:pPr>
        <w:pStyle w:val="ListParagraph"/>
        <w:numPr>
          <w:ilvl w:val="0"/>
          <w:numId w:val="2"/>
        </w:numPr>
        <w:spacing w:after="50" w:before="0"/>
      </w:pPr>
      <w:hyperlink w:history="1" r:id="rIdc1qmtkjt3ujoo098dbkgt">
        <w:r>
          <w:rPr>
            <w:rFonts w:ascii="Times New Roman" w:cs="Times New Roman" w:eastAsia="Times New Roman" w:hAnsi="Times New Roman"/>
            <w:color w:val="9B3739"/>
            <w:sz w:val="20"/>
            <w:szCs w:val="20"/>
            <w:u w:val="single"/>
          </w:rPr>
          <w:t xml:space="preserve">FT on loan prices</w:t>
        </w:r>
      </w:hyperlink>
    </w:p>
    <w:p>
      <w:pPr>
        <w:pStyle w:val="Heading2"/>
        <w:spacing w:after="60" w:before="220"/>
      </w:pPr>
      <w:r>
        <w:rPr>
          <w:rFonts w:ascii="Times New Roman" w:cs="Times New Roman" w:eastAsia="Times New Roman" w:hAnsi="Times New Roman"/>
          <w:b/>
          <w:bCs/>
          <w:color w:val="5A2020"/>
          <w:sz w:val="26"/>
          <w:szCs w:val="26"/>
        </w:rPr>
        <w:t xml:space="preserve">Chart F, Off Balance Sheet Lease Commitments</w:t>
      </w:r>
    </w:p>
    <w:p>
      <w:pPr>
        <w:spacing w:after="60"/>
      </w:pPr>
      <w:r>
        <w:rPr>
          <w:rFonts w:ascii="Times New Roman" w:cs="Times New Roman" w:eastAsia="Times New Roman" w:hAnsi="Times New Roman"/>
          <w:sz w:val="21"/>
          <w:szCs w:val="21"/>
        </w:rPr>
        <w:t xml:space="preserve">Optional. Single bar or stat callout.</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yet commenced hyperscaler data center leases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$662bn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Moody's via Fortune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As a share of adjusted debt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113%</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Moody's via Fortune</w:t>
            </w:r>
          </w:p>
        </w:tc>
      </w:tr>
    </w:tbl>
    <w:p>
      <w:pPr>
        <w:spacing w:after="60" w:before="80"/>
      </w:pPr>
      <w:r>
        <w:rPr>
          <w:rFonts w:ascii="Times New Roman" w:cs="Times New Roman" w:eastAsia="Times New Roman" w:hAnsi="Times New Roman"/>
          <w:i/>
          <w:iCs/>
          <w:sz w:val="20"/>
          <w:szCs w:val="20"/>
        </w:rPr>
        <w:t xml:space="preserve">Pairs with the S&amp;P versus Moody's divergence on page 5.</w:t>
      </w:r>
    </w:p>
    <w:p>
      <w:pPr>
        <w:pStyle w:val="ListParagraph"/>
        <w:numPr>
          <w:ilvl w:val="0"/>
          <w:numId w:val="2"/>
        </w:numPr>
        <w:spacing w:after="50" w:before="0"/>
      </w:pPr>
      <w:hyperlink w:history="1" r:id="rIdgozhut1p35uyde7i_lqr-">
        <w:r>
          <w:rPr>
            <w:rFonts w:ascii="Times New Roman" w:cs="Times New Roman" w:eastAsia="Times New Roman" w:hAnsi="Times New Roman"/>
            <w:color w:val="9B3739"/>
            <w:sz w:val="20"/>
            <w:szCs w:val="20"/>
            <w:u w:val="single"/>
          </w:rPr>
          <w:t xml:space="preserve">Moody's lease analysis</w:t>
        </w:r>
      </w:hyperlink>
    </w:p>
    <w:p>
      <w:pPr>
        <w:pStyle w:val="ListParagraph"/>
        <w:numPr>
          <w:ilvl w:val="0"/>
          <w:numId w:val="2"/>
        </w:numPr>
        <w:spacing w:after="50" w:before="0"/>
      </w:pPr>
      <w:hyperlink w:history="1" r:id="rIdbvswuexcy8ukg4ymrmftb">
        <w:r>
          <w:rPr>
            <w:rFonts w:ascii="Times New Roman" w:cs="Times New Roman" w:eastAsia="Times New Roman" w:hAnsi="Times New Roman"/>
            <w:color w:val="9B3739"/>
            <w:sz w:val="20"/>
            <w:szCs w:val="20"/>
            <w:u w:val="single"/>
          </w:rPr>
          <w:t xml:space="preserve">BBB spread, FRED</w:t>
        </w:r>
      </w:hyperlink>
    </w:p>
    <w:p>
      <w:pPr>
        <w:pageBreakBefore/>
      </w:pPr>
    </w:p>
    <w:p>
      <w:pPr>
        <w:pStyle w:val="Heading1"/>
        <w:spacing w:after="80" w:before="0"/>
      </w:pPr>
      <w:r>
        <w:rPr>
          <w:rFonts w:ascii="Times New Roman" w:cs="Times New Roman" w:eastAsia="Times New Roman" w:hAnsi="Times New Roman"/>
          <w:b/>
          <w:bCs/>
          <w:color w:val="5A2020"/>
          <w:sz w:val="40"/>
          <w:szCs w:val="40"/>
        </w:rPr>
        <w:t xml:space="preserve">Verification Checklist</w:t>
      </w:r>
    </w:p>
    <w:p>
      <w:pPr>
        <w:spacing w:after="100" w:line="252"/>
      </w:pPr>
      <w:r>
        <w:rPr>
          <w:rFonts w:ascii="Times New Roman" w:cs="Times New Roman" w:eastAsia="Times New Roman" w:hAnsi="Times New Roman"/>
          <w:sz w:val="21"/>
          <w:szCs w:val="21"/>
        </w:rPr>
        <w:t xml:space="preserve">Check these before the report goes out. Several figures reached me through aggregator reposts of Bloomberg, Reuters and the FT, so the primary source should replace them.</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730"/>
        <w:gridCol w:w="2150"/>
      </w:tblGrid>
      <w:tr>
        <w:trPr>
          <w:tblHeader/>
        </w:trPr>
        <w:tc>
          <w:tcPr>
            <w:tcW w:type="dxa" w:w="172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Item</w:t>
            </w:r>
          </w:p>
        </w:tc>
        <w:tc>
          <w:tcPr>
            <w:tcW w:type="dxa" w:w="473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What to check</w:t>
            </w:r>
          </w:p>
        </w:tc>
        <w:tc>
          <w:tcPr>
            <w:tcW w:type="dxa" w:w="2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Where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Source access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Every research and fact check pass ran on search result text. The proxy blocked opening pages, so no figure has been read at its source. Click through each chart and table value before publishing.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Links in charts.js and reviews/research-*.md</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secondary price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low 90s price and about T+230 spread in late September come from aggregators. Another aggregator gives a 94.4 low in July or August.</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or TRACE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launch spread</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T+225 per IFR. One aggregator says 185bps.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IFR,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Saline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$14bn of bonds and 15% equity are from the Related and Blackstone releases. The 7.5% is price guidance, not a final coupon.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Offering memorandum or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Abilene and xAI leverage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Both ratios are derived from reported debt and cost or purchase price, not stated by the lenders.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Deal documents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 pricing</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 plus 225 is in one research file as a company release and in another as aggregator only.</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 and 10-Q</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long bond yield</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Above 8% for the first time, from Bloomberg via Yahoo. Pin the date and bond.</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Issuance to date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$223bn for four issuers runs through late August. Alphabet priced a jumbo deal in early August that may or may not be inside that figure. Refresh before publishing.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LSEG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Amazon and Meta deal terms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Amazon's July NIC of 10 to 12bps and Meta's April 2066 at T+147 come from Bloomberg syndications and Fortune.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Page numbers and cover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cover is assumed to be page 4 and the case study pages 5 to 7. The cover photo is a stand in.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Final report file</w:t>
            </w:r>
          </w:p>
        </w:tc>
      </w:tr>
    </w:tbl>
    <w:p>
      <w:pPr>
        <w:pageBreakBefore/>
      </w:pPr>
    </w:p>
    <w:p>
      <w:pPr>
        <w:pStyle w:val="Heading1"/>
        <w:spacing w:after="80" w:before="0"/>
      </w:pPr>
      <w:r>
        <w:rPr>
          <w:rFonts w:ascii="Times New Roman" w:cs="Times New Roman" w:eastAsia="Times New Roman" w:hAnsi="Times New Roman"/>
          <w:b/>
          <w:bCs/>
          <w:color w:val="5A2020"/>
          <w:sz w:val="40"/>
          <w:szCs w:val="40"/>
        </w:rPr>
        <w:t xml:space="preserve">Additional Facts Not on the Pages</w:t>
      </w:r>
    </w:p>
    <w:p>
      <w:pPr>
        <w:spacing w:after="100" w:line="252"/>
      </w:pPr>
      <w:r>
        <w:rPr>
          <w:rFonts w:ascii="Times New Roman" w:cs="Times New Roman" w:eastAsia="Times New Roman" w:hAnsi="Times New Roman"/>
          <w:sz w:val="21"/>
          <w:szCs w:val="21"/>
        </w:rPr>
        <w:t xml:space="preserve">In depth detail that did not fit in the three page layout. Pull from here if you want to lengthen a callout, add a footnote, or prepare for questions. Tags in parentheses show where each fact came from.</w:t>
      </w:r>
    </w:p>
    <w:p>
      <w:pPr>
        <w:pStyle w:val="Heading2"/>
        <w:spacing w:after="60" w:before="220"/>
      </w:pPr>
      <w:r>
        <w:rPr>
          <w:rFonts w:ascii="Times New Roman" w:cs="Times New Roman" w:eastAsia="Times New Roman" w:hAnsi="Times New Roman"/>
          <w:b/>
          <w:bCs/>
          <w:color w:val="5A2020"/>
          <w:sz w:val="26"/>
          <w:szCs w:val="26"/>
        </w:rPr>
        <w:t xml:space="preserve">Deal detail</w:t>
      </w:r>
    </w:p>
    <w:p>
      <w:pPr>
        <w:pStyle w:val="ListParagraph"/>
        <w:numPr>
          <w:ilvl w:val="0"/>
          <w:numId w:val="2"/>
        </w:numPr>
        <w:spacing w:after="50" w:before="0"/>
      </w:pPr>
      <w:r>
        <w:rPr>
          <w:rFonts w:ascii="Times New Roman" w:cs="Times New Roman" w:eastAsia="Times New Roman" w:hAnsi="Times New Roman"/>
          <w:sz w:val="20"/>
          <w:szCs w:val="20"/>
        </w:rPr>
        <w:t xml:space="preserve">El Paso notes are amortizing, due November 30, 2048, sold by Sopaipilla Investor LLC. BlackRock holds 80% of the joint venture and Meta 20% (PitchBook).</w:t>
      </w:r>
    </w:p>
    <w:p>
      <w:pPr>
        <w:pStyle w:val="ListParagraph"/>
        <w:numPr>
          <w:ilvl w:val="0"/>
          <w:numId w:val="2"/>
        </w:numPr>
        <w:spacing w:after="50" w:before="0"/>
      </w:pPr>
      <w:r>
        <w:rPr>
          <w:rFonts w:ascii="Times New Roman" w:cs="Times New Roman" w:eastAsia="Times New Roman" w:hAnsi="Times New Roman"/>
          <w:sz w:val="20"/>
          <w:szCs w:val="20"/>
        </w:rPr>
        <w:t xml:space="preserve">Meta's El Paso residual value guarantee reportedly has an aggregate threshold of about $13bn that steps down over time (aggregator).</w:t>
      </w:r>
    </w:p>
    <w:p>
      <w:pPr>
        <w:pStyle w:val="ListParagraph"/>
        <w:numPr>
          <w:ilvl w:val="0"/>
          <w:numId w:val="2"/>
        </w:numPr>
        <w:spacing w:after="50" w:before="0"/>
      </w:pPr>
      <w:r>
        <w:rPr>
          <w:rFonts w:ascii="Times New Roman" w:cs="Times New Roman" w:eastAsia="Times New Roman" w:hAnsi="Times New Roman"/>
          <w:sz w:val="20"/>
          <w:szCs w:val="20"/>
        </w:rPr>
        <w:t xml:space="preserve">Saline bonds have a 19.5 year maturity, 14 year weighted average life, six years of interest only, then 13 years of amortization, with Pimco anchoring about $10bn (Bloomberg).</w:t>
      </w:r>
    </w:p>
    <w:p>
      <w:pPr>
        <w:pStyle w:val="ListParagraph"/>
        <w:numPr>
          <w:ilvl w:val="0"/>
          <w:numId w:val="2"/>
        </w:numPr>
        <w:spacing w:after="50" w:before="0"/>
      </w:pPr>
      <w:r>
        <w:rPr>
          <w:rFonts w:ascii="Times New Roman" w:cs="Times New Roman" w:eastAsia="Times New Roman" w:hAnsi="Times New Roman"/>
          <w:sz w:val="20"/>
          <w:szCs w:val="20"/>
        </w:rPr>
        <w:t xml:space="preserve">CloudHQ's $1.4bn data center ABS earned Fitch's first AAA in the sector, yet Fitch's stressed view showed 0.71x DSCR and 125.6% LTV (trade press).</w:t>
      </w:r>
    </w:p>
    <w:p>
      <w:pPr>
        <w:pStyle w:val="ListParagraph"/>
        <w:numPr>
          <w:ilvl w:val="0"/>
          <w:numId w:val="2"/>
        </w:numPr>
        <w:spacing w:after="50" w:before="0"/>
      </w:pPr>
      <w:r>
        <w:rPr>
          <w:rFonts w:ascii="Times New Roman" w:cs="Times New Roman" w:eastAsia="Times New Roman" w:hAnsi="Times New Roman"/>
          <w:sz w:val="20"/>
          <w:szCs w:val="20"/>
        </w:rPr>
        <w:t xml:space="preserve">Vantage's UK ABS class A-2 carries a 53.6% LTV and a 6.172% coupon (Scope and S&amp;P).</w:t>
      </w:r>
    </w:p>
    <w:p>
      <w:pPr>
        <w:pStyle w:val="ListParagraph"/>
        <w:numPr>
          <w:ilvl w:val="0"/>
          <w:numId w:val="2"/>
        </w:numPr>
        <w:spacing w:after="50" w:before="0"/>
      </w:pPr>
      <w:r>
        <w:rPr>
          <w:rFonts w:ascii="Times New Roman" w:cs="Times New Roman" w:eastAsia="Times New Roman" w:hAnsi="Times New Roman"/>
          <w:sz w:val="20"/>
          <w:szCs w:val="20"/>
        </w:rPr>
        <w:t xml:space="preserve">Data center ABS class A deals typically trap cash below 1.45x DSCR and begin amortizing below 1.25x (trade press on CloudHQ).</w:t>
      </w:r>
    </w:p>
    <w:p>
      <w:pPr>
        <w:pStyle w:val="Heading2"/>
        <w:spacing w:after="60" w:before="220"/>
      </w:pPr>
      <w:r>
        <w:rPr>
          <w:rFonts w:ascii="Times New Roman" w:cs="Times New Roman" w:eastAsia="Times New Roman" w:hAnsi="Times New Roman"/>
          <w:b/>
          <w:bCs/>
          <w:color w:val="5A2020"/>
          <w:sz w:val="26"/>
          <w:szCs w:val="26"/>
        </w:rPr>
        <w:t xml:space="preserve">GPU lending</w:t>
      </w:r>
    </w:p>
    <w:p>
      <w:pPr>
        <w:pStyle w:val="ListParagraph"/>
        <w:numPr>
          <w:ilvl w:val="0"/>
          <w:numId w:val="2"/>
        </w:numPr>
        <w:spacing w:after="50" w:before="0"/>
      </w:pPr>
      <w:r>
        <w:rPr>
          <w:rFonts w:ascii="Times New Roman" w:cs="Times New Roman" w:eastAsia="Times New Roman" w:hAnsi="Times New Roman"/>
          <w:sz w:val="20"/>
          <w:szCs w:val="20"/>
        </w:rPr>
        <w:t xml:space="preserve">CoreWeave repays its DDTLs from the greater of contracted cash flow or the depreciated GPU cost (S-1).</w:t>
      </w:r>
    </w:p>
    <w:p>
      <w:pPr>
        <w:pStyle w:val="ListParagraph"/>
        <w:numPr>
          <w:ilvl w:val="0"/>
          <w:numId w:val="2"/>
        </w:numPr>
        <w:spacing w:after="50" w:before="0"/>
      </w:pPr>
      <w:r>
        <w:rPr>
          <w:rFonts w:ascii="Times New Roman" w:cs="Times New Roman" w:eastAsia="Times New Roman" w:hAnsi="Times New Roman"/>
          <w:sz w:val="20"/>
          <w:szCs w:val="20"/>
        </w:rPr>
        <w:t xml:space="preserve">CoreWeave depreciates equipment over six years. Amazon cut some servers to five years and Meta moved to 5.5 (company filings via research notes).</w:t>
      </w:r>
    </w:p>
    <w:p>
      <w:pPr>
        <w:pStyle w:val="ListParagraph"/>
        <w:numPr>
          <w:ilvl w:val="0"/>
          <w:numId w:val="2"/>
        </w:numPr>
        <w:spacing w:after="50" w:before="0"/>
      </w:pPr>
      <w:r>
        <w:rPr>
          <w:rFonts w:ascii="Times New Roman" w:cs="Times New Roman" w:eastAsia="Times New Roman" w:hAnsi="Times New Roman"/>
          <w:sz w:val="20"/>
          <w:szCs w:val="20"/>
        </w:rPr>
        <w:t xml:space="preserve">CoreWeave priced $3.7bn of 2.875% convertible notes due 2033 on September 18 (SEC exhibit).</w:t>
      </w:r>
    </w:p>
    <w:p>
      <w:pPr>
        <w:pStyle w:val="ListParagraph"/>
        <w:numPr>
          <w:ilvl w:val="0"/>
          <w:numId w:val="2"/>
        </w:numPr>
        <w:spacing w:after="50" w:before="0"/>
      </w:pPr>
      <w:r>
        <w:rPr>
          <w:rFonts w:ascii="Times New Roman" w:cs="Times New Roman" w:eastAsia="Times New Roman" w:hAnsi="Times New Roman"/>
          <w:sz w:val="20"/>
          <w:szCs w:val="20"/>
        </w:rPr>
        <w:t xml:space="preserve">No 2026 neocloud default was found in research.</w:t>
      </w:r>
    </w:p>
    <w:p>
      <w:pPr>
        <w:pStyle w:val="Heading2"/>
        <w:spacing w:after="60" w:before="220"/>
      </w:pPr>
      <w:r>
        <w:rPr>
          <w:rFonts w:ascii="Times New Roman" w:cs="Times New Roman" w:eastAsia="Times New Roman" w:hAnsi="Times New Roman"/>
          <w:b/>
          <w:bCs/>
          <w:color w:val="5A2020"/>
          <w:sz w:val="26"/>
          <w:szCs w:val="26"/>
        </w:rPr>
        <w:t xml:space="preserve">Oracle and Jupiter</w:t>
      </w:r>
    </w:p>
    <w:p>
      <w:pPr>
        <w:pStyle w:val="ListParagraph"/>
        <w:numPr>
          <w:ilvl w:val="0"/>
          <w:numId w:val="2"/>
        </w:numPr>
        <w:spacing w:after="50" w:before="0"/>
      </w:pPr>
      <w:r>
        <w:rPr>
          <w:rFonts w:ascii="Times New Roman" w:cs="Times New Roman" w:eastAsia="Times New Roman" w:hAnsi="Times New Roman"/>
          <w:sz w:val="20"/>
          <w:szCs w:val="20"/>
        </w:rPr>
        <w:t xml:space="preserve">Moody's rates Oracle Baa2 with a negative outlook and Fitch rates it BBB (press).</w:t>
      </w:r>
    </w:p>
    <w:p>
      <w:pPr>
        <w:pStyle w:val="ListParagraph"/>
        <w:numPr>
          <w:ilvl w:val="0"/>
          <w:numId w:val="2"/>
        </w:numPr>
        <w:spacing w:after="50" w:before="0"/>
      </w:pPr>
      <w:r>
        <w:rPr>
          <w:rFonts w:ascii="Times New Roman" w:cs="Times New Roman" w:eastAsia="Times New Roman" w:hAnsi="Times New Roman"/>
          <w:sz w:val="20"/>
          <w:szCs w:val="20"/>
        </w:rPr>
        <w:t xml:space="preserve">A downgrade to high yield would push about $120bn of Oracle bonds out of investment grade indexes (Bloomberg via Yahoo).</w:t>
      </w:r>
    </w:p>
    <w:p>
      <w:pPr>
        <w:pStyle w:val="ListParagraph"/>
        <w:numPr>
          <w:ilvl w:val="0"/>
          <w:numId w:val="2"/>
        </w:numPr>
        <w:spacing w:after="50" w:before="0"/>
      </w:pPr>
      <w:r>
        <w:rPr>
          <w:rFonts w:ascii="Times New Roman" w:cs="Times New Roman" w:eastAsia="Times New Roman" w:hAnsi="Times New Roman"/>
          <w:sz w:val="20"/>
          <w:szCs w:val="20"/>
        </w:rPr>
        <w:t xml:space="preserve">On September 17 the New Mexico Supreme Court lifted stays on the Jupiter air permit hearing and water use (press).</w:t>
      </w:r>
    </w:p>
    <w:p>
      <w:pPr>
        <w:pStyle w:val="Heading2"/>
        <w:spacing w:after="60" w:before="220"/>
      </w:pPr>
      <w:r>
        <w:rPr>
          <w:rFonts w:ascii="Times New Roman" w:cs="Times New Roman" w:eastAsia="Times New Roman" w:hAnsi="Times New Roman"/>
          <w:b/>
          <w:bCs/>
          <w:color w:val="5A2020"/>
          <w:sz w:val="26"/>
          <w:szCs w:val="26"/>
        </w:rPr>
        <w:t xml:space="preserve">Market wide</w:t>
      </w:r>
    </w:p>
    <w:p>
      <w:pPr>
        <w:pStyle w:val="ListParagraph"/>
        <w:numPr>
          <w:ilvl w:val="0"/>
          <w:numId w:val="2"/>
        </w:numPr>
        <w:spacing w:after="50" w:before="0"/>
      </w:pPr>
      <w:r>
        <w:rPr>
          <w:rFonts w:ascii="Times New Roman" w:cs="Times New Roman" w:eastAsia="Times New Roman" w:hAnsi="Times New Roman"/>
          <w:sz w:val="20"/>
          <w:szCs w:val="20"/>
        </w:rPr>
        <w:t xml:space="preserve">Bank of England's Financial Policy Committee flagged rising risk of AI linked debt stress on September 30.</w:t>
      </w:r>
    </w:p>
    <w:p>
      <w:pPr>
        <w:pStyle w:val="ListParagraph"/>
        <w:numPr>
          <w:ilvl w:val="0"/>
          <w:numId w:val="2"/>
        </w:numPr>
        <w:spacing w:after="50" w:before="0"/>
      </w:pPr>
      <w:r>
        <w:rPr>
          <w:rFonts w:ascii="Times New Roman" w:cs="Times New Roman" w:eastAsia="Times New Roman" w:hAnsi="Times New Roman"/>
          <w:sz w:val="20"/>
          <w:szCs w:val="20"/>
        </w:rPr>
        <w:t xml:space="preserve">Hyperscalers, data center SPVs and neoclouds raised about $346bn across IG, HY and equity so far in 2026, against $172bn in 2025 (The Real Deal, likely citing Bloomberg).</w:t>
      </w:r>
    </w:p>
    <w:p>
      <w:pPr>
        <w:pStyle w:val="ListParagraph"/>
        <w:numPr>
          <w:ilvl w:val="0"/>
          <w:numId w:val="2"/>
        </w:numPr>
        <w:spacing w:after="50" w:before="0"/>
      </w:pPr>
      <w:r>
        <w:rPr>
          <w:rFonts w:ascii="Times New Roman" w:cs="Times New Roman" w:eastAsia="Times New Roman" w:hAnsi="Times New Roman"/>
          <w:sz w:val="20"/>
          <w:szCs w:val="20"/>
        </w:rPr>
        <w:t xml:space="preserve">Hyperscaler data center ABS traded about 150bps over five year Treasuries in September, 16bps wider than a year earlier (Barclays via The Real Deal).</w:t>
      </w:r>
    </w:p>
    <w:p>
      <w:pPr>
        <w:pStyle w:val="Heading2"/>
        <w:spacing w:after="60" w:before="220"/>
      </w:pPr>
      <w:r>
        <w:rPr>
          <w:rFonts w:ascii="Times New Roman" w:cs="Times New Roman" w:eastAsia="Times New Roman" w:hAnsi="Times New Roman"/>
          <w:b/>
          <w:bCs/>
          <w:color w:val="5A2020"/>
          <w:sz w:val="26"/>
          <w:szCs w:val="26"/>
        </w:rPr>
        <w:t xml:space="preserve">Continuity With Prior Reports</w:t>
      </w:r>
    </w:p>
    <w:p>
      <w:pPr>
        <w:pStyle w:val="ListParagraph"/>
        <w:numPr>
          <w:ilvl w:val="0"/>
          <w:numId w:val="2"/>
        </w:numPr>
        <w:spacing w:after="50" w:before="0"/>
      </w:pPr>
      <w:r>
        <w:rPr>
          <w:rFonts w:ascii="Times New Roman" w:cs="Times New Roman" w:eastAsia="Times New Roman" w:hAnsi="Times New Roman"/>
          <w:sz w:val="20"/>
          <w:szCs w:val="20"/>
        </w:rPr>
        <w:t xml:space="preserve">August ABS case study. The esoteric ABS page covers data center securitization. This case study's ABS and CMBS figures (Aligned, BX 2026 VLT10) are deal level and do not repeat the August totals.</w:t>
      </w:r>
    </w:p>
    <w:p>
      <w:pPr>
        <w:pStyle w:val="ListParagraph"/>
        <w:numPr>
          <w:ilvl w:val="0"/>
          <w:numId w:val="2"/>
        </w:numPr>
        <w:spacing w:after="50" w:before="0"/>
      </w:pPr>
      <w:r>
        <w:rPr>
          <w:rFonts w:ascii="Times New Roman" w:cs="Times New Roman" w:eastAsia="Times New Roman" w:hAnsi="Times New Roman"/>
          <w:sz w:val="20"/>
          <w:szCs w:val="20"/>
        </w:rPr>
        <w:t xml:space="preserve">Add the September recap to reference/ so the continuity editor can check rates and spreads against it.</w:t>
      </w:r>
    </w:p>
    <w:sectPr>
      <w:headerReference w:type="default" r:id="rId12"/>
      <w:footerReference w:type="default" r:id="rId13"/>
      <w:pgSz w:w="10800" w:h="15600" w:orient="portrait"/>
      <w:pgMar w:top="1100" w:right="1100" w:bottom="1000" w:left="1100" w:header="500" w:footer="4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Meta, Moody's, S&amp;P Global Ratings, KBRA, Bloomberg, PitchBook, Apollo, Hut 8, Aligned, Related Digital</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Bloomberg, PitchBook, IFR, Reuters, S&amp;P Global Ratings, Moody's, Fitch, KBRA, CoreWeave, Lambda, Hut 8</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Oracle, S&amp;P Global Ratings, Moody's, Fitch, Financial Times, Bloomberg, Reuters, CoreWeave, PitchBook</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B3739"/>
        <w:sz w:val="18"/>
        <w:szCs w:val="18"/>
      </w:rPr>
      <w:t xml:space="preserve">LLC working notes, not for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0"/>
      <w:outlineLvl w:val="0"/>
    </w:pPr>
    <w:rPr>
      <w:rFonts w:ascii="Times New Roman" w:cs="Times New Roman" w:eastAsia="Times New Roman" w:hAnsi="Times New Roman"/>
      <w:b/>
      <w:bCs/>
      <w:sz w:val="52"/>
      <w:szCs w:val="52"/>
    </w:rPr>
  </w:style>
  <w:style w:type="paragraph" w:styleId="Heading2">
    <w:name w:val="Heading 2"/>
    <w:basedOn w:val="Normal"/>
    <w:next w:val="Normal"/>
    <w:qFormat/>
    <w:pPr>
      <w:spacing w:after="60" w:before="160"/>
      <w:outlineLvl w:val="1"/>
    </w:pPr>
    <w:rPr>
      <w:rFonts w:ascii="Times New Roman" w:cs="Times New Roman" w:eastAsia="Times New Roman" w:hAnsi="Times New Roman"/>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eemcc7evgonbkrdupt_s_" Type="http://schemas.openxmlformats.org/officeDocument/2006/relationships/hyperlink" Target="https://investingnews.com/hut-8-closes-4-25-billion-of-investment-grade-senior-secured-notes-for-beacon-point-data-center-project/" TargetMode="External"/><Relationship Id="rIdvd4rs5y26ufpsm1hjnz11" Type="http://schemas.openxmlformats.org/officeDocument/2006/relationships/hyperlink" Target="https://www.related.com/press-releases/2026-04-24/related-digital-announces-financing-16-billion-oracle-data-center-project" TargetMode="External"/><Relationship Id="rId62tt8rdzwprqfv0z2dt4u" Type="http://schemas.openxmlformats.org/officeDocument/2006/relationships/hyperlink" Target="https://www.globenewswire.com/news-release/2026/07/28/3334210/0/en/Aligned-Data-Centers-Completes-1-18-Billion-Securitization-Financing.html" TargetMode="External"/><Relationship Id="rIdfbfain0xspt9q3syczt4u" Type="http://schemas.openxmlformats.org/officeDocument/2006/relationships/hyperlink" Target="https://www.apollo.com/insights-news/pressreleases/2026/01/apollo-backs-5-4-billion-valor-and-xai-data-center-compute-infrastructure-transaction-with-3-5-billion-capital-solution-3214463" TargetMode="External"/><Relationship Id="rIdhibq5iuujik-pswnw2vnt" Type="http://schemas.openxmlformats.org/officeDocument/2006/relationships/hyperlink" Target="https://www.costar.com/article/1387166843/first-stargate-data-center-project-lands-7-1-billion-construction-loan" TargetMode="External"/><Relationship Id="rIdpkebar3rqcxnpmrezr-pk" Type="http://schemas.openxmlformats.org/officeDocument/2006/relationships/hyperlink" Target="https://www.businesswire.com/news/home/20260603885897/en/KBRA-Assigns-Preliminary-Ratings-to-BX-2026-VLT10" TargetMode="External"/><Relationship Id="rIde9korhnlrqomdccaukns_" Type="http://schemas.openxmlformats.org/officeDocument/2006/relationships/hyperlink" Target="https://www.investing.com/news/stock-market-news/hyperscaler-debt-binge-pushes-yields-up-as-investor-demand-cools-4820617" TargetMode="External"/><Relationship Id="rId8jpakr153z-mfyzjyvetn" Type="http://schemas.openxmlformats.org/officeDocument/2006/relationships/hyperlink" Target="https://www.cnbc.com/2026/09/27/debt-hungry-data-center-companies-increased-risk-bond-yields-spike.html" TargetMode="External"/><Relationship Id="rIdjxfqdw3hf3bygphtodc4l" Type="http://schemas.openxmlformats.org/officeDocument/2006/relationships/hyperlink" Target="https://pitchbook.com/news/articles/investors-flock-to-12-5b-data-center-bond-deal-for-blackrock-sponsored-sopaipilla" TargetMode="External"/><Relationship Id="rIdcgfl-lurumnx7ak9o8rfk" Type="http://schemas.openxmlformats.org/officeDocument/2006/relationships/hyperlink" Target="https://www.ifre.com/ifr-awards/2340435/the-metablue-owl-deal-broken-down-off-balance-sheet-gymnastics-24-years-after-enron" TargetMode="External"/><Relationship Id="rIdpjpqvahni0inugf9zod7p" Type="http://schemas.openxmlformats.org/officeDocument/2006/relationships/hyperlink" Target="https://www.bloomberg.com/news/articles/2026-09-23/coreweave-tied-data-center-raises-1-1-billion-in-junk-bonds" TargetMode="External"/><Relationship Id="rIdfoqd99segm7i4ajp9jzac" Type="http://schemas.openxmlformats.org/officeDocument/2006/relationships/hyperlink" Target="https://investingnews.com/hut-8-closes-4-25-billion-of-investment-grade-senior-secured-notes-for-beacon-point-data-center-project/" TargetMode="External"/><Relationship Id="rIdfiyw9yeptcg21kmhhsfyb" Type="http://schemas.openxmlformats.org/officeDocument/2006/relationships/hyperlink" Target="https://investors.coreweave.com/news/news-details/2025/CoreWeave-Closes-2-6-Billion-Secured-Debt-Financing-Facility-Strengthening-Market-Position-as-AI-Cloud-Leader/default.aspx" TargetMode="External"/><Relationship Id="rIdhls-xggkfnv43adgxjexe" Type="http://schemas.openxmlformats.org/officeDocument/2006/relationships/hyperlink" Target="https://investors.coreweave.com/news/news-details/2026/CoreWeave-Closes-Landmark-8-5-Billion-Financing-Facility-Achieving-First-Investment-Grade-Rated-GPU-backed-Financing/default.aspx" TargetMode="External"/><Relationship Id="rIdesbads_gwkifsv2_8n1i9" Type="http://schemas.openxmlformats.org/officeDocument/2006/relationships/hyperlink" Target="https://www.businesswire.com/news/home/20260518337916/en/" TargetMode="External"/><Relationship Id="rIdwid3laacobfew7yrtjnju" Type="http://schemas.openxmlformats.org/officeDocument/2006/relationships/hyperlink" Target="https://www.sec.gov/Archives/edgar/data/1769628/000176962826000357/ex991pr.htm" TargetMode="External"/><Relationship Id="rIdoqeoolde40nqg5wnh0kob" Type="http://schemas.openxmlformats.org/officeDocument/2006/relationships/hyperlink" Target="https://lambda.ai/blog/lambda-prices-926-million-senior-secured-term-loan-b-facility" TargetMode="External"/><Relationship Id="rIdbhgleyc-t6hnaesq2ercv" Type="http://schemas.openxmlformats.org/officeDocument/2006/relationships/hyperlink" Target="https://s23.q4cdn.com/440135859/files/content_files/Q1-FY27-Oracle-Earnings-Slides.pdf" TargetMode="External"/><Relationship Id="rIdaqgvnlhf1alvl4mvswgfw" Type="http://schemas.openxmlformats.org/officeDocument/2006/relationships/hyperlink" Target="https://www.bloomberg.com/news/articles/2026-09-24/oracle-cites-force-majeure-to-shield-itself-on-controversial-data-center" TargetMode="External"/><Relationship Id="rIdc1qmtkjt3ujoo098dbkgt" Type="http://schemas.openxmlformats.org/officeDocument/2006/relationships/hyperlink" Target="https://www.thestar.com.my/tech/tech-news/2026/09/19/oracle039s-18-billion-data-center-debt-under-pressure-ft-reports" TargetMode="External"/><Relationship Id="rIdgozhut1p35uyde7i_lqr-" Type="http://schemas.openxmlformats.org/officeDocument/2006/relationships/hyperlink" Target="https://fortune.com/2026/02/25/hyperscaler-risk-off-balance-sheet-662-billion-data-center-commitments-meta-amazon-microsoft-oracle-alphabet/" TargetMode="External"/><Relationship Id="rIdbvswuexcy8ukg4ymrmftb" Type="http://schemas.openxmlformats.org/officeDocument/2006/relationships/hyperlink" Target="https://fred.stlouisfed.org/series/BAMLC0A4CBBB" TargetMode="External"/><Relationship Id="rId15" Type="http://schemas.openxmlformats.org/officeDocument/2006/relationships/image" Target="media/e5012b31453b43cd7c1776dde6a46598c0b1c7b3.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LLC Case Study, AI Infrastructure Financing</dc:title>
  <dc:creator>Leveraged Lion Capital</dc:creator>
  <cp:lastModifiedBy>Un-named</cp:lastModifiedBy>
  <cp:revision>1</cp:revision>
  <dcterms:created xsi:type="dcterms:W3CDTF">2026-10-06T03:44:57.054Z</dcterms:created>
  <dcterms:modified xsi:type="dcterms:W3CDTF">2026-10-06T03:44:57.054Z</dcterms:modified>
</cp:coreProperties>
</file>

<file path=docProps/custom.xml><?xml version="1.0" encoding="utf-8"?>
<Properties xmlns="http://schemas.openxmlformats.org/officeDocument/2006/custom-properties" xmlns:vt="http://schemas.openxmlformats.org/officeDocument/2006/docPropsVTypes"/>
</file>