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FC3EE4">
      <w:pPr>
        <w:pStyle w:val="2"/>
        <w:bidi w:val="0"/>
        <w:jc w:val="center"/>
        <w:rPr>
          <w:lang w:val="en-US" w:eastAsia="zh-CN"/>
        </w:rPr>
      </w:pPr>
      <w:r>
        <w:rPr>
          <w:rFonts w:hint="eastAsia"/>
          <w:lang w:val="en-US" w:eastAsia="zh-CN"/>
        </w:rPr>
        <w:t>专利技术申请交底书模板</w:t>
      </w:r>
    </w:p>
    <w:p w14:paraId="0C5B3679">
      <w:pPr>
        <w:pStyle w:val="2"/>
        <w:bidi w:val="0"/>
        <w:jc w:val="center"/>
        <w:rPr>
          <w:lang w:val="en-US" w:eastAsia="zh-CN"/>
        </w:rPr>
      </w:pPr>
      <w:r>
        <w:rPr>
          <w:lang w:val="en-US" w:eastAsia="zh-CN"/>
        </w:rPr>
        <w:t>基于评测尺度自校准与分阶段裁决的</w:t>
      </w:r>
      <w:r>
        <w:rPr>
          <w:rFonts w:hint="eastAsia"/>
          <w:lang w:val="en-US" w:eastAsia="zh-CN"/>
        </w:rPr>
        <w:t>大模型</w:t>
      </w:r>
      <w:r>
        <w:rPr>
          <w:lang w:val="en-US" w:eastAsia="zh-CN"/>
        </w:rPr>
        <w:t>对比评测方法及系统</w:t>
      </w:r>
    </w:p>
    <w:p w14:paraId="550BDEE1">
      <w:pPr>
        <w:keepNext/>
        <w:keepLines/>
        <w:widowControl w:val="0"/>
        <w:numPr>
          <w:ilvl w:val="0"/>
          <w:numId w:val="0"/>
        </w:numPr>
        <w:adjustRightInd w:val="0"/>
        <w:snapToGrid w:val="0"/>
        <w:spacing w:before="156" w:beforeLines="50" w:after="156" w:afterLines="50" w:line="400" w:lineRule="atLeast"/>
        <w:ind w:firstLine="200" w:firstLineChars="0"/>
        <w:jc w:val="left"/>
        <w:outlineLvl w:val="0"/>
        <w:rPr>
          <w:rFonts w:hint="eastAsia" w:ascii="Times New Roman" w:hAnsi="Times New Roman" w:eastAsia="宋体" w:cs="Times New Roman"/>
          <w:b/>
          <w:bCs/>
          <w:kern w:val="44"/>
          <w:sz w:val="28"/>
          <w:szCs w:val="44"/>
          <w:lang w:val="en-US" w:eastAsia="zh-CN" w:bidi="ar-SA"/>
        </w:rPr>
      </w:pPr>
      <w:r>
        <w:rPr>
          <w:rFonts w:hint="eastAsia" w:ascii="Times New Roman" w:hAnsi="Times New Roman" w:eastAsia="宋体" w:cs="Times New Roman"/>
          <w:b/>
          <w:bCs/>
          <w:kern w:val="44"/>
          <w:sz w:val="28"/>
          <w:szCs w:val="44"/>
          <w:lang w:val="en-US" w:eastAsia="zh-CN" w:bidi="ar-SA"/>
        </w:rPr>
        <w:t>初步检索结果</w:t>
      </w:r>
    </w:p>
    <w:p w14:paraId="4AFEB278">
      <w:pPr>
        <w:keepNext/>
        <w:keepLines/>
        <w:widowControl w:val="0"/>
        <w:numPr>
          <w:ilvl w:val="0"/>
          <w:numId w:val="0"/>
        </w:numPr>
        <w:adjustRightInd w:val="0"/>
        <w:snapToGrid w:val="0"/>
        <w:spacing w:before="156" w:beforeLines="50" w:after="156" w:afterLines="50" w:line="400" w:lineRule="atLeast"/>
        <w:ind w:firstLine="200" w:firstLineChars="0"/>
        <w:jc w:val="left"/>
        <w:outlineLvl w:val="0"/>
        <w:rPr>
          <w:rFonts w:hint="eastAsia" w:ascii="Times New Roman" w:hAnsi="Times New Roman" w:eastAsia="宋体" w:cs="Times New Roman"/>
          <w:b/>
          <w:bCs/>
          <w:kern w:val="44"/>
          <w:sz w:val="28"/>
          <w:szCs w:val="44"/>
          <w:lang w:val="en-US" w:eastAsia="zh-CN" w:bidi="ar-SA"/>
        </w:rPr>
      </w:pPr>
    </w:p>
    <w:p w14:paraId="6932D5DE">
      <w:pPr>
        <w:widowControl w:val="0"/>
        <w:adjustRightInd w:val="0"/>
        <w:snapToGrid w:val="0"/>
        <w:spacing w:after="0" w:line="400" w:lineRule="atLeast"/>
        <w:ind w:firstLine="480" w:firstLineChars="200"/>
        <w:jc w:val="both"/>
        <w:rPr>
          <w:rFonts w:ascii="Times New Roman" w:hAnsi="Times New Roman" w:eastAsia="宋体" w:cs="Times New Roman"/>
          <w:i/>
          <w:iCs/>
          <w:kern w:val="2"/>
          <w:sz w:val="24"/>
          <w:szCs w:val="22"/>
          <w:lang w:eastAsia="zh-CN"/>
        </w:rPr>
      </w:pPr>
      <w:r>
        <w:rPr>
          <w:rFonts w:hint="eastAsia" w:ascii="Times New Roman" w:hAnsi="Times New Roman" w:eastAsia="宋体" w:cs="Times New Roman"/>
          <w:kern w:val="2"/>
          <w:sz w:val="24"/>
          <w:szCs w:val="22"/>
          <w:lang w:eastAsia="zh-CN"/>
        </w:rPr>
        <w:t xml:space="preserve">检索关键词： </w:t>
      </w:r>
    </w:p>
    <w:p w14:paraId="62443560">
      <w:pPr>
        <w:widowControl w:val="0"/>
        <w:adjustRightInd w:val="0"/>
        <w:snapToGrid w:val="0"/>
        <w:spacing w:after="0" w:line="400" w:lineRule="atLeast"/>
        <w:ind w:firstLine="439" w:firstLineChars="183"/>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检索结果：</w:t>
      </w:r>
    </w:p>
    <w:p w14:paraId="3FE186A8">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组合1：(大模型评测 or LLM评估 or 语言模型评测) and (尺度校准 or 标准对齐 or 一致性)</w:t>
      </w:r>
    </w:p>
    <w:p w14:paraId="014B1DBE">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组合2：(模型对比评测 or 模型输出对比) and (裁判模型 or 评分模型 or 自动评测)</w:t>
      </w:r>
    </w:p>
    <w:p w14:paraId="01D911B9">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组合3：(评测方法 or 评估方法) and (分阶段 or 多阶段) and (人工智能 or 机器学习)</w:t>
      </w:r>
    </w:p>
    <w:p w14:paraId="1A5291DF">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组合4：(人工标注 or 精标数据) and (评测尺度 or 评分标准) and (学习 or 校准)</w:t>
      </w:r>
    </w:p>
    <w:p w14:paraId="6E87AEE3">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p>
    <w:p w14:paraId="39430333">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专利号（待检索确认） | 名称                     | 可能的区别点                                                                                                                                                         |</w:t>
      </w:r>
    </w:p>
    <w:p w14:paraId="69AA095B">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w:t>
      </w:r>
    </w:p>
    <w:p w14:paraId="3E4D8059">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CN20XXXXXXXXXX       | 大模型自动评测方法       | 区别点1：该类专利通常采用单一裁判模型直接输出评分，本提案采用分阶段裁决机制；区别点2：该类专利缺乏评测尺度自校准机制                                                 |</w:t>
      </w:r>
    </w:p>
    <w:p w14:paraId="64DB53B9">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CN20XXXXXXXXXX       | 基于多评委的模型评估系统 | 区别点1：该类专利依赖多个独立评委投票，本提案通过历史精标数据学习统一评测尺度；区别点2：本提案采用事实归档式对比，而非直接对比式评测                                 |</w:t>
      </w:r>
    </w:p>
    <w:p w14:paraId="0EC7D68E">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CN20XXXXXXXXXX       | 人工智能模型质量评价方法 | 区别点1：该类专利通常基于固定规则或指标评测，本提案的评测尺度可从人工标注数据中自动学习；区别点2：本提案将评测拆分为结构化标注、问题映射、事实归档、裁决推理四个阶段 |</w:t>
      </w:r>
    </w:p>
    <w:p w14:paraId="40A166F6">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p>
    <w:p w14:paraId="537CB26A">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缩略词</w:t>
      </w:r>
    </w:p>
    <w:p w14:paraId="00FBA63C">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p>
    <w:p w14:paraId="792E9D0D">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缩略词/术语 | 全称/解释                                  |</w:t>
      </w:r>
    </w:p>
    <w:p w14:paraId="4F834F7D">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w:t>
      </w:r>
    </w:p>
    <w:p w14:paraId="595A0EB1">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LLM         | Large Language Model（大语言模型）         |</w:t>
      </w:r>
    </w:p>
    <w:p w14:paraId="372EDE8F">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评测尺度    | 评测过程中对质量等级的判断标准             |</w:t>
      </w:r>
    </w:p>
    <w:p w14:paraId="280B53D2">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精标数据    | 由人工标注员高质量标注的评测数据           |</w:t>
      </w:r>
    </w:p>
    <w:p w14:paraId="68AE0285">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裁判模型    | 用于评估其他模型输出质量的评测模型         |</w:t>
      </w:r>
    </w:p>
    <w:p w14:paraId="548CFB4F">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结构化标注  | 将非结构化文本转化为结构化问题标签的过程   |</w:t>
      </w:r>
    </w:p>
    <w:p w14:paraId="1AD7F1B5">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事实归档    | 将对比分析结果以结构化形式记录的过程       |</w:t>
      </w:r>
    </w:p>
    <w:p w14:paraId="62F0E1AD">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尺度漂移    | 评测标准随时间或批次变化而产生的不一致现象 |</w:t>
      </w:r>
    </w:p>
    <w:p w14:paraId="2B8A2084">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 问题标签    | 用于描述模型输出问题类型的分类标签         |</w:t>
      </w:r>
    </w:p>
    <w:p w14:paraId="537E218F">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p>
    <w:p w14:paraId="5445BFE8">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r>
        <w:rPr>
          <w:rFonts w:hint="eastAsia" w:ascii="Times New Roman" w:hAnsi="Times New Roman" w:eastAsia="宋体" w:cs="Times New Roman"/>
          <w:kern w:val="2"/>
          <w:sz w:val="24"/>
          <w:szCs w:val="22"/>
          <w:lang w:eastAsia="zh-CN"/>
        </w:rPr>
        <w:t xml:space="preserve">  ---</w:t>
      </w:r>
    </w:p>
    <w:p w14:paraId="6BF4F620">
      <w:pPr>
        <w:widowControl w:val="0"/>
        <w:adjustRightInd w:val="0"/>
        <w:snapToGrid w:val="0"/>
        <w:spacing w:after="0" w:line="400" w:lineRule="atLeast"/>
        <w:jc w:val="both"/>
        <w:rPr>
          <w:rFonts w:hint="eastAsia" w:ascii="Times New Roman" w:hAnsi="Times New Roman" w:eastAsia="宋体" w:cs="Times New Roman"/>
          <w:kern w:val="2"/>
          <w:sz w:val="24"/>
          <w:szCs w:val="22"/>
          <w:highlight w:val="yellow"/>
          <w:lang w:eastAsia="zh-CN"/>
        </w:rPr>
      </w:pPr>
      <w:r>
        <w:rPr>
          <w:rFonts w:hint="eastAsia" w:ascii="Times New Roman" w:hAnsi="Times New Roman" w:eastAsia="宋体" w:cs="Times New Roman"/>
          <w:kern w:val="2"/>
          <w:sz w:val="24"/>
          <w:szCs w:val="22"/>
          <w:lang w:eastAsia="zh-CN"/>
        </w:rPr>
        <w:t xml:space="preserve"> </w:t>
      </w:r>
      <w:r>
        <w:rPr>
          <w:rFonts w:hint="eastAsia" w:ascii="Times New Roman" w:hAnsi="Times New Roman" w:eastAsia="宋体" w:cs="Times New Roman"/>
          <w:kern w:val="2"/>
          <w:sz w:val="24"/>
          <w:szCs w:val="22"/>
          <w:highlight w:val="yellow"/>
          <w:lang w:eastAsia="zh-CN"/>
        </w:rPr>
        <w:t>初步检索结果</w:t>
      </w:r>
    </w:p>
    <w:p w14:paraId="31EE7EDF">
      <w:pPr>
        <w:widowControl w:val="0"/>
        <w:adjustRightInd w:val="0"/>
        <w:snapToGrid w:val="0"/>
        <w:spacing w:after="0" w:line="400" w:lineRule="atLeast"/>
        <w:jc w:val="both"/>
        <w:rPr>
          <w:rFonts w:hint="eastAsia" w:ascii="Times New Roman" w:hAnsi="Times New Roman" w:eastAsia="宋体" w:cs="Times New Roman"/>
          <w:kern w:val="2"/>
          <w:sz w:val="24"/>
          <w:szCs w:val="22"/>
          <w:highlight w:val="yellow"/>
          <w:lang w:eastAsia="zh-CN"/>
        </w:rPr>
      </w:pPr>
      <w:r>
        <w:rPr>
          <w:rFonts w:hint="eastAsia" w:ascii="Times New Roman" w:hAnsi="Times New Roman" w:eastAsia="宋体" w:cs="Times New Roman"/>
          <w:kern w:val="2"/>
          <w:sz w:val="24"/>
          <w:szCs w:val="22"/>
          <w:highlight w:val="yellow"/>
          <w:lang w:eastAsia="zh-CN"/>
        </w:rPr>
        <w:t>检索关键词：(评测尺度自校准 or 自校准) and (分阶段裁决 or 分阶段) and (多模型对比 or 模型评测) and (大语言模型 or LLM)</w:t>
      </w:r>
    </w:p>
    <w:p w14:paraId="58BFF541">
      <w:pPr>
        <w:widowControl w:val="0"/>
        <w:adjustRightInd w:val="0"/>
        <w:snapToGrid w:val="0"/>
        <w:spacing w:after="0" w:line="400" w:lineRule="atLeast"/>
        <w:jc w:val="both"/>
        <w:rPr>
          <w:rFonts w:hint="eastAsia" w:ascii="Times New Roman" w:hAnsi="Times New Roman" w:eastAsia="宋体" w:cs="Times New Roman"/>
          <w:kern w:val="2"/>
          <w:sz w:val="24"/>
          <w:szCs w:val="22"/>
          <w:highlight w:val="yellow"/>
          <w:lang w:eastAsia="zh-CN"/>
        </w:rPr>
      </w:pPr>
      <w:r>
        <w:rPr>
          <w:rFonts w:hint="eastAsia" w:ascii="Times New Roman" w:hAnsi="Times New Roman" w:eastAsia="宋体" w:cs="Times New Roman"/>
          <w:kern w:val="2"/>
          <w:sz w:val="24"/>
          <w:szCs w:val="22"/>
          <w:highlight w:val="yellow"/>
          <w:lang w:eastAsia="zh-CN"/>
        </w:rPr>
        <w:t>检索结果：</w:t>
      </w:r>
    </w:p>
    <w:p w14:paraId="51145CBE">
      <w:pPr>
        <w:widowControl w:val="0"/>
        <w:adjustRightInd w:val="0"/>
        <w:snapToGrid w:val="0"/>
        <w:spacing w:after="0" w:line="400" w:lineRule="atLeast"/>
        <w:jc w:val="both"/>
        <w:rPr>
          <w:rFonts w:hint="eastAsia" w:ascii="Times New Roman" w:hAnsi="Times New Roman" w:eastAsia="宋体" w:cs="Times New Roman"/>
          <w:kern w:val="2"/>
          <w:sz w:val="24"/>
          <w:szCs w:val="22"/>
          <w:highlight w:val="yellow"/>
          <w:lang w:eastAsia="zh-CN"/>
        </w:rPr>
      </w:pPr>
      <w:r>
        <w:rPr>
          <w:rFonts w:hint="eastAsia" w:ascii="Times New Roman" w:hAnsi="Times New Roman" w:eastAsia="宋体" w:cs="Times New Roman"/>
          <w:kern w:val="2"/>
          <w:sz w:val="24"/>
          <w:szCs w:val="22"/>
          <w:highlight w:val="yellow"/>
          <w:lang w:eastAsia="zh-CN"/>
        </w:rPr>
        <w:t>CN202310528765.4 大语言模型输出质量评测方法、装置及电子设备</w:t>
      </w:r>
    </w:p>
    <w:p w14:paraId="6CFB2391">
      <w:pPr>
        <w:widowControl w:val="0"/>
        <w:adjustRightInd w:val="0"/>
        <w:snapToGrid w:val="0"/>
        <w:spacing w:after="0" w:line="400" w:lineRule="atLeast"/>
        <w:jc w:val="both"/>
        <w:rPr>
          <w:rFonts w:hint="eastAsia" w:ascii="Times New Roman" w:hAnsi="Times New Roman" w:eastAsia="宋体" w:cs="Times New Roman"/>
          <w:kern w:val="2"/>
          <w:sz w:val="24"/>
          <w:szCs w:val="22"/>
          <w:highlight w:val="yellow"/>
          <w:lang w:eastAsia="zh-CN"/>
        </w:rPr>
      </w:pPr>
      <w:r>
        <w:rPr>
          <w:rFonts w:hint="eastAsia" w:ascii="Times New Roman" w:hAnsi="Times New Roman" w:eastAsia="宋体" w:cs="Times New Roman"/>
          <w:kern w:val="2"/>
          <w:sz w:val="24"/>
          <w:szCs w:val="22"/>
          <w:highlight w:val="yellow"/>
          <w:lang w:eastAsia="zh-CN"/>
        </w:rPr>
        <w:t>区别点1：该专利未使用评测尺度自校准机制，而是采用固定的评测规则，缺乏与人类标注尺度的动态对齐能力；</w:t>
      </w:r>
    </w:p>
    <w:p w14:paraId="370C541F">
      <w:pPr>
        <w:widowControl w:val="0"/>
        <w:adjustRightInd w:val="0"/>
        <w:snapToGrid w:val="0"/>
        <w:spacing w:after="0" w:line="400" w:lineRule="atLeast"/>
        <w:jc w:val="both"/>
        <w:rPr>
          <w:rFonts w:hint="eastAsia" w:ascii="Times New Roman" w:hAnsi="Times New Roman" w:eastAsia="宋体" w:cs="Times New Roman"/>
          <w:kern w:val="2"/>
          <w:sz w:val="24"/>
          <w:szCs w:val="22"/>
          <w:highlight w:val="yellow"/>
          <w:lang w:eastAsia="zh-CN"/>
        </w:rPr>
      </w:pPr>
      <w:r>
        <w:rPr>
          <w:rFonts w:hint="eastAsia" w:ascii="Times New Roman" w:hAnsi="Times New Roman" w:eastAsia="宋体" w:cs="Times New Roman"/>
          <w:kern w:val="2"/>
          <w:sz w:val="24"/>
          <w:szCs w:val="22"/>
          <w:highlight w:val="yellow"/>
          <w:lang w:eastAsia="zh-CN"/>
        </w:rPr>
        <w:t>区别点2：该专利采用直接裁决方式，未实现分阶段的事实归档与决策分离机制，评测结果的可解释性较差；</w:t>
      </w:r>
    </w:p>
    <w:p w14:paraId="5447EDAE">
      <w:pPr>
        <w:widowControl w:val="0"/>
        <w:adjustRightInd w:val="0"/>
        <w:snapToGrid w:val="0"/>
        <w:spacing w:after="0" w:line="400" w:lineRule="atLeast"/>
        <w:jc w:val="both"/>
        <w:rPr>
          <w:rFonts w:hint="eastAsia" w:ascii="Times New Roman" w:hAnsi="Times New Roman" w:eastAsia="宋体" w:cs="Times New Roman"/>
          <w:kern w:val="2"/>
          <w:sz w:val="24"/>
          <w:szCs w:val="22"/>
          <w:lang w:eastAsia="zh-CN"/>
        </w:rPr>
      </w:pPr>
    </w:p>
    <w:p w14:paraId="0AFB618A">
      <w:pPr>
        <w:keepNext/>
        <w:keepLines/>
        <w:widowControl w:val="0"/>
        <w:numPr>
          <w:ilvl w:val="0"/>
          <w:numId w:val="0"/>
        </w:numPr>
        <w:adjustRightInd w:val="0"/>
        <w:snapToGrid w:val="0"/>
        <w:spacing w:before="156" w:beforeLines="50" w:after="156" w:afterLines="50" w:line="400" w:lineRule="atLeast"/>
        <w:ind w:firstLine="200" w:firstLineChars="0"/>
        <w:jc w:val="left"/>
        <w:outlineLvl w:val="0"/>
        <w:rPr>
          <w:rFonts w:hint="default" w:ascii="Times New Roman" w:hAnsi="Times New Roman" w:eastAsia="宋体" w:cs="Times New Roman"/>
          <w:kern w:val="2"/>
          <w:sz w:val="24"/>
          <w:szCs w:val="22"/>
          <w:lang w:val="en-US" w:eastAsia="zh-CN"/>
        </w:rPr>
      </w:pPr>
      <w:r>
        <w:rPr>
          <w:rFonts w:hint="eastAsia" w:ascii="Times New Roman" w:hAnsi="Times New Roman" w:eastAsia="宋体" w:cs="Times New Roman"/>
          <w:b/>
          <w:bCs/>
          <w:kern w:val="44"/>
          <w:sz w:val="28"/>
          <w:szCs w:val="44"/>
          <w:lang w:val="en-US" w:eastAsia="zh-CN" w:bidi="ar-SA"/>
        </w:rPr>
        <w:t>缩略词</w:t>
      </w:r>
    </w:p>
    <w:p w14:paraId="6F39BA39">
      <w:pPr>
        <w:widowControl w:val="0"/>
        <w:adjustRightInd w:val="0"/>
        <w:snapToGrid w:val="0"/>
        <w:spacing w:after="0" w:line="400" w:lineRule="atLeast"/>
        <w:jc w:val="both"/>
        <w:rPr>
          <w:rFonts w:hint="eastAsia" w:ascii="Times New Roman" w:hAnsi="Times New Roman" w:eastAsia="宋体" w:cs="Times New Roman"/>
          <w:b/>
          <w:bCs/>
          <w:color w:val="000000"/>
          <w:kern w:val="44"/>
          <w:sz w:val="28"/>
          <w:szCs w:val="44"/>
          <w:lang w:val="en-US" w:eastAsia="zh-CN" w:bidi="ar-SA"/>
        </w:rPr>
      </w:pPr>
      <w:r>
        <w:rPr>
          <w:rFonts w:hint="eastAsia" w:ascii="Times New Roman" w:hAnsi="Times New Roman" w:eastAsia="宋体" w:cs="Times New Roman"/>
          <w:b/>
          <w:bCs/>
          <w:color w:val="000000"/>
          <w:kern w:val="44"/>
          <w:sz w:val="28"/>
          <w:szCs w:val="44"/>
          <w:lang w:val="en-US" w:eastAsia="zh-CN" w:bidi="ar-SA"/>
        </w:rPr>
        <w:t>背景技术</w:t>
      </w:r>
    </w:p>
    <w:p w14:paraId="7F09ECFB">
      <w:pPr>
        <w:widowControl w:val="0"/>
        <w:adjustRightInd/>
        <w:snapToGrid/>
        <w:spacing w:after="200" w:line="240" w:lineRule="auto"/>
        <w:ind w:left="360" w:firstLine="0" w:firstLineChars="0"/>
        <w:jc w:val="both"/>
        <w:rPr>
          <w:rFonts w:ascii="Calibri" w:hAnsi="Calibri" w:eastAsia="宋体" w:cs="Times New Roman"/>
          <w:kern w:val="2"/>
          <w:sz w:val="21"/>
          <w:szCs w:val="22"/>
          <w:lang w:val="en-US" w:eastAsia="zh-CN" w:bidi="ar-SA"/>
        </w:rPr>
      </w:pPr>
      <w:r>
        <w:rPr>
          <w:rFonts w:hint="eastAsia" w:ascii="楷体_GB2312" w:hAnsi="Calibri" w:eastAsia="楷体_GB2312" w:cs="Times New Roman"/>
          <w:i/>
          <w:color w:val="0000FF"/>
          <w:kern w:val="2"/>
          <w:sz w:val="24"/>
          <w:szCs w:val="24"/>
          <w:lang w:val="en-US" w:eastAsia="zh-CN" w:bidi="ar-SA"/>
        </w:rPr>
        <w:t>（阐述与本发明最相关的现有技术，本发明一般是在此现有技术上的改进。背景技术部分应避免使用商业性宣传用语，如公司名称，产品型号等。背景技术部分不能公开本发明的发明点。）</w:t>
      </w:r>
    </w:p>
    <w:p w14:paraId="6426D33F">
      <w:pPr>
        <w:widowControl/>
        <w:adjustRightInd/>
        <w:snapToGrid/>
        <w:spacing w:after="0" w:line="240" w:lineRule="auto"/>
        <w:ind w:left="210" w:leftChars="100" w:firstLine="200" w:firstLineChars="100"/>
        <w:jc w:val="left"/>
        <w:rPr>
          <w:rFonts w:hint="default" w:ascii="Arial" w:hAnsi="Arial" w:eastAsia="宋体" w:cs="Arial"/>
          <w:kern w:val="2"/>
          <w:sz w:val="20"/>
          <w:szCs w:val="20"/>
          <w:shd w:val="clear" w:color="auto" w:fill="FFFFFF"/>
          <w:lang w:val="en-US" w:eastAsia="zh-CN"/>
        </w:rPr>
      </w:pPr>
      <w:bookmarkStart w:id="0" w:name="_GoBack"/>
      <w:bookmarkEnd w:id="0"/>
      <w:r>
        <w:rPr>
          <w:rFonts w:hint="default" w:ascii="Arial" w:hAnsi="Arial" w:eastAsia="宋体" w:cs="Arial"/>
          <w:kern w:val="2"/>
          <w:sz w:val="20"/>
          <w:szCs w:val="20"/>
          <w:shd w:val="clear" w:color="auto" w:fill="FFFFFF"/>
          <w:lang w:val="en-US" w:eastAsia="zh-CN"/>
        </w:rPr>
        <w:t>大语言模型在智能问答、日常闲聊、工作助理、内容生成等场景中的作用愈发重要。然而，不同的大模型在相同任务上的表现差异明显，这种差异直接影响用户体验与产品竞争力。因此，如何对多个大模型的输出质量进行长期、稳定、可解释、可复用的对比评测，成为行业普遍关注的技术问题。</w:t>
      </w:r>
    </w:p>
    <w:p w14:paraId="2E5E882A">
      <w:pPr>
        <w:widowControl/>
        <w:adjustRightInd/>
        <w:snapToGrid/>
        <w:spacing w:after="0" w:line="240" w:lineRule="auto"/>
        <w:ind w:left="210" w:leftChars="100" w:firstLine="200" w:firstLineChars="100"/>
        <w:jc w:val="left"/>
        <w:rPr>
          <w:rFonts w:hint="default" w:ascii="Arial" w:hAnsi="Arial" w:eastAsia="宋体" w:cs="Arial"/>
          <w:kern w:val="2"/>
          <w:sz w:val="20"/>
          <w:szCs w:val="20"/>
          <w:shd w:val="clear" w:color="auto" w:fill="FFFFFF"/>
          <w:lang w:val="en-US" w:eastAsia="zh-CN"/>
        </w:rPr>
      </w:pPr>
      <w:r>
        <w:rPr>
          <w:rFonts w:hint="default" w:ascii="Arial" w:hAnsi="Arial" w:eastAsia="宋体" w:cs="Arial"/>
          <w:kern w:val="2"/>
          <w:sz w:val="20"/>
          <w:szCs w:val="20"/>
          <w:shd w:val="clear" w:color="auto" w:fill="FFFFFF"/>
          <w:lang w:val="en-US" w:eastAsia="zh-CN"/>
        </w:rPr>
        <w:t>现有的大模型评测方法通常包括人工标注、固定规则自动判断、直接由裁判模型给出综合评分或胜负结论等。然而，人工标注受主观性影响大且成本高，固定规则易受任务分布变化影响而失效，直接裁判模型的黑箱式输出虽然方便，但缺乏可解释性和可追溯性，无法满足多模型长期评测的工程化要求。在实践中，这些方法普遍存在评测尺度漂移、裁决不可解释、对比偏置以及人工标注经验无法系统复用等问题。</w:t>
      </w:r>
    </w:p>
    <w:p w14:paraId="6F5C468A">
      <w:pPr>
        <w:widowControl/>
        <w:adjustRightInd/>
        <w:snapToGrid/>
        <w:spacing w:after="0" w:line="240" w:lineRule="auto"/>
        <w:ind w:left="210" w:leftChars="100" w:firstLine="200" w:firstLineChars="100"/>
        <w:jc w:val="left"/>
        <w:rPr>
          <w:rFonts w:hint="default" w:ascii="Arial" w:hAnsi="Arial" w:eastAsia="宋体" w:cs="Arial"/>
          <w:kern w:val="2"/>
          <w:sz w:val="20"/>
          <w:szCs w:val="20"/>
          <w:shd w:val="clear" w:color="auto" w:fill="FFFFFF"/>
          <w:lang w:val="en-US" w:eastAsia="zh-CN"/>
        </w:rPr>
      </w:pPr>
      <w:r>
        <w:rPr>
          <w:rFonts w:hint="default" w:ascii="Arial" w:hAnsi="Arial" w:eastAsia="宋体" w:cs="Arial"/>
          <w:kern w:val="2"/>
          <w:sz w:val="20"/>
          <w:szCs w:val="20"/>
          <w:shd w:val="clear" w:color="auto" w:fill="FFFFFF"/>
          <w:lang w:val="en-US" w:eastAsia="zh-CN"/>
        </w:rPr>
        <w:t>尤其是尺度漂移问题，表现为同一评测标准在不同时间或不同评测批次下会因数据特征变化或模型状态差异而不一致，导致评测结果缺乏稳定性。同时，直接裁决式方法无法提供中间判断依据和结构化的事实归档，使得结果在出现异常时缺乏回溯手段。此外，Prompt提示的顺序和表述方式容易干扰对比评测的公正性，人工标注员积累的高质量评测经验也难以在长期流程中持续应用。这些缺陷决定了亟需一种能够结合人工标注尺度、并具有分阶段可解释裁决能力的新型自动化评测方法。</w:t>
      </w:r>
    </w:p>
    <w:p w14:paraId="4B966E93">
      <w:pPr>
        <w:widowControl/>
        <w:adjustRightInd/>
        <w:snapToGrid/>
        <w:spacing w:after="0" w:line="240" w:lineRule="auto"/>
        <w:ind w:left="210" w:leftChars="100" w:firstLine="200" w:firstLineChars="100"/>
        <w:jc w:val="left"/>
        <w:rPr>
          <w:rFonts w:hint="default" w:ascii="Arial" w:hAnsi="Arial" w:eastAsia="宋体" w:cs="Arial"/>
          <w:kern w:val="2"/>
          <w:sz w:val="20"/>
          <w:szCs w:val="20"/>
          <w:shd w:val="clear" w:color="auto" w:fill="FFFFFF"/>
          <w:lang w:val="en-US" w:eastAsia="zh-CN"/>
        </w:rPr>
      </w:pPr>
    </w:p>
    <w:p w14:paraId="7CFD0EB4">
      <w:pPr>
        <w:widowControl/>
        <w:adjustRightInd/>
        <w:snapToGrid/>
        <w:spacing w:after="0" w:line="240" w:lineRule="auto"/>
        <w:ind w:left="210" w:leftChars="100" w:firstLine="200" w:firstLineChars="100"/>
        <w:jc w:val="left"/>
        <w:rPr>
          <w:rFonts w:hint="default" w:ascii="Arial" w:hAnsi="Arial" w:eastAsia="宋体" w:cs="Arial"/>
          <w:kern w:val="2"/>
          <w:sz w:val="20"/>
          <w:szCs w:val="20"/>
          <w:shd w:val="clear" w:color="auto" w:fill="FFFFFF"/>
          <w:lang w:val="en-US" w:eastAsia="zh-CN"/>
        </w:rPr>
      </w:pPr>
    </w:p>
    <w:p w14:paraId="5DC1208D">
      <w:pPr>
        <w:widowControl w:val="0"/>
        <w:adjustRightInd w:val="0"/>
        <w:snapToGrid w:val="0"/>
        <w:spacing w:after="0" w:line="400" w:lineRule="atLeast"/>
        <w:jc w:val="both"/>
        <w:rPr>
          <w:rFonts w:hint="eastAsia" w:ascii="Times New Roman" w:hAnsi="Times New Roman" w:eastAsia="宋体" w:cs="Times New Roman"/>
          <w:b/>
          <w:bCs/>
          <w:color w:val="000000"/>
          <w:kern w:val="44"/>
          <w:sz w:val="28"/>
          <w:szCs w:val="44"/>
          <w:lang w:val="en-US" w:eastAsia="zh-CN" w:bidi="ar-SA"/>
        </w:rPr>
      </w:pPr>
      <w:r>
        <w:rPr>
          <w:rFonts w:hint="eastAsia" w:ascii="Times New Roman" w:hAnsi="Times New Roman" w:eastAsia="宋体" w:cs="Times New Roman"/>
          <w:b/>
          <w:bCs/>
          <w:color w:val="000000"/>
          <w:kern w:val="44"/>
          <w:sz w:val="28"/>
          <w:szCs w:val="44"/>
          <w:lang w:val="en-US" w:eastAsia="zh-CN" w:bidi="ar-SA"/>
        </w:rPr>
        <w:t>背景技术的缺陷</w:t>
      </w:r>
    </w:p>
    <w:p w14:paraId="33299B1D">
      <w:pPr>
        <w:widowControl w:val="0"/>
        <w:adjustRightInd/>
        <w:snapToGrid/>
        <w:spacing w:after="200" w:line="240" w:lineRule="auto"/>
        <w:ind w:left="360" w:firstLine="0" w:firstLineChars="0"/>
        <w:jc w:val="both"/>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（客观的阐述与本发明最相关的现有技术的缺陷及待改进点。）</w:t>
      </w:r>
    </w:p>
    <w:p w14:paraId="28279795">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经实际业务验证，现有技术至少存在以下缺陷：</w:t>
      </w:r>
    </w:p>
    <w:p w14:paraId="62DBDC83">
      <w:pPr>
        <w:widowControl/>
        <w:numPr>
          <w:ilvl w:val="0"/>
          <w:numId w:val="1"/>
        </w:numPr>
        <w:adjustRightInd/>
        <w:snapToGrid/>
        <w:spacing w:after="0" w:line="240" w:lineRule="auto"/>
        <w:ind w:left="42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评测尺度不稳定</w:t>
      </w:r>
    </w:p>
    <w:p w14:paraId="6FE71E1C">
      <w:pPr>
        <w:widowControl/>
        <w:numPr>
          <w:ilvl w:val="0"/>
          <w:numId w:val="0"/>
        </w:numPr>
        <w:adjustRightInd/>
        <w:snapToGrid/>
        <w:spacing w:after="0" w:line="240" w:lineRule="auto"/>
        <w:ind w:leftChars="0" w:firstLine="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不同时间、不同评测批次中，评测模型或人工标注员对“合格”“优质”等等级的理解存在显著差异；</w:t>
      </w:r>
    </w:p>
    <w:p w14:paraId="14B9BE2D">
      <w:pPr>
        <w:widowControl/>
        <w:numPr>
          <w:ilvl w:val="0"/>
          <w:numId w:val="0"/>
        </w:numPr>
        <w:adjustRightInd/>
        <w:snapToGrid/>
        <w:spacing w:after="0" w:line="240" w:lineRule="auto"/>
        <w:ind w:leftChars="0" w:firstLine="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即使使用同一套评测规则，模型裁判在不同样本分布下仍会产生尺度漂移。</w:t>
      </w:r>
    </w:p>
    <w:p w14:paraId="3F52FD40">
      <w:pPr>
        <w:widowControl/>
        <w:numPr>
          <w:ilvl w:val="0"/>
          <w:numId w:val="1"/>
        </w:numPr>
        <w:adjustRightInd/>
        <w:snapToGrid/>
        <w:spacing w:after="0" w:line="240" w:lineRule="auto"/>
        <w:ind w:left="42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直接裁决式评测不可解释</w:t>
      </w:r>
    </w:p>
    <w:p w14:paraId="62F6FE37">
      <w:pPr>
        <w:widowControl/>
        <w:adjustRightInd/>
        <w:snapToGrid/>
        <w:spacing w:after="0" w:line="240" w:lineRule="auto"/>
        <w:ind w:firstLine="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现有方案多直接输出"胜/负/平"或单一评分，缺乏中间判断依据和结构化的事实归档过程；评测过程如同"黑盒"，当评测结果异常时，难以回溯原因或复用中间结论。</w:t>
      </w:r>
    </w:p>
    <w:p w14:paraId="753EC89F">
      <w:pPr>
        <w:widowControl/>
        <w:numPr>
          <w:ilvl w:val="0"/>
          <w:numId w:val="1"/>
        </w:numPr>
        <w:adjustRightInd/>
        <w:snapToGrid/>
        <w:spacing w:after="0" w:line="240" w:lineRule="auto"/>
        <w:ind w:left="42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多模型对比评测易受提示干扰</w:t>
      </w:r>
    </w:p>
    <w:p w14:paraId="05520EAA">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直接对比式 Prompt 容易引入顺序偏置、表述偏置；</w:t>
      </w:r>
    </w:p>
    <w:p w14:paraId="14DB305B">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裁判模型在未充分约束事实空间的情况下，容易基于表面印象给出不稳定结论。</w:t>
      </w:r>
    </w:p>
    <w:p w14:paraId="71A36F17">
      <w:pPr>
        <w:widowControl/>
        <w:numPr>
          <w:ilvl w:val="0"/>
          <w:numId w:val="1"/>
        </w:numPr>
        <w:adjustRightInd/>
        <w:snapToGrid/>
        <w:spacing w:after="0" w:line="240" w:lineRule="auto"/>
        <w:ind w:left="42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人工标注经验难以系统复用</w:t>
      </w:r>
    </w:p>
    <w:p w14:paraId="64F55716">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高质量人工标注数据虽能反映真实业务偏好，但通常仅作为训练或校验使用；</w:t>
      </w:r>
    </w:p>
    <w:p w14:paraId="6F63C008">
      <w:pPr>
        <w:widowControl/>
        <w:adjustRightInd/>
        <w:snapToGrid/>
        <w:spacing w:after="0" w:line="240" w:lineRule="auto"/>
        <w:ind w:left="210" w:leftChars="100" w:firstLine="200" w:firstLineChars="100"/>
        <w:jc w:val="left"/>
        <w:rPr>
          <w:rFonts w:hint="eastAsia" w:ascii="楷体_GB2312" w:hAnsi="Calibri" w:eastAsia="楷体_GB2312" w:cs="Times New Roman"/>
          <w:i/>
          <w:color w:val="0000FF"/>
          <w:kern w:val="2"/>
          <w:sz w:val="24"/>
          <w:szCs w:val="24"/>
          <w:lang w:val="en-US" w:eastAsia="zh-CN" w:bidi="ar-SA"/>
        </w:rPr>
      </w:pPr>
      <w:r>
        <w:rPr>
          <w:rFonts w:hint="eastAsia" w:ascii="Arial" w:hAnsi="Arial" w:eastAsia="宋体" w:cs="Arial"/>
          <w:kern w:val="2"/>
          <w:sz w:val="20"/>
          <w:szCs w:val="20"/>
          <w:shd w:val="clear" w:color="auto" w:fill="FFFFFF"/>
          <w:lang w:val="en-US" w:eastAsia="zh-CN"/>
        </w:rPr>
        <w:t>现有技术缺乏将“人类标注尺度”显式转化为评测约束并持续生效的机制。</w:t>
      </w:r>
    </w:p>
    <w:p w14:paraId="0D94DE8F">
      <w:pPr>
        <w:widowControl w:val="0"/>
        <w:adjustRightInd w:val="0"/>
        <w:snapToGrid w:val="0"/>
        <w:spacing w:after="0" w:line="400" w:lineRule="atLeast"/>
        <w:jc w:val="both"/>
        <w:rPr>
          <w:rFonts w:hint="eastAsia" w:ascii="Times New Roman" w:hAnsi="Times New Roman" w:eastAsia="宋体" w:cs="Times New Roman"/>
          <w:b/>
          <w:bCs/>
          <w:color w:val="000000"/>
          <w:kern w:val="44"/>
          <w:sz w:val="28"/>
          <w:szCs w:val="44"/>
          <w:lang w:val="en-US" w:eastAsia="zh-CN" w:bidi="ar-SA"/>
        </w:rPr>
      </w:pPr>
      <w:r>
        <w:rPr>
          <w:rFonts w:hint="eastAsia" w:ascii="Times New Roman" w:hAnsi="Times New Roman" w:eastAsia="宋体" w:cs="Times New Roman"/>
          <w:b/>
          <w:bCs/>
          <w:color w:val="000000"/>
          <w:kern w:val="44"/>
          <w:sz w:val="28"/>
          <w:szCs w:val="44"/>
          <w:lang w:val="en-US" w:eastAsia="zh-CN" w:bidi="ar-SA"/>
        </w:rPr>
        <w:t>本发明的发明目的及改进点</w:t>
      </w:r>
    </w:p>
    <w:p w14:paraId="06FEB081">
      <w:pPr>
        <w:widowControl w:val="0"/>
        <w:adjustRightInd/>
        <w:snapToGrid/>
        <w:spacing w:after="200" w:line="240" w:lineRule="auto"/>
        <w:ind w:left="360" w:firstLine="0" w:firstLineChars="0"/>
        <w:jc w:val="both"/>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（针对背景技术的缺陷，提出本发明要解决的技术问题，即本发明的发明目的。简单归纳本发明的改进点）</w:t>
      </w:r>
    </w:p>
    <w:p w14:paraId="1698B9EB">
      <w:pPr>
        <w:widowControl/>
        <w:adjustRightInd/>
        <w:snapToGrid/>
        <w:spacing w:after="0" w:line="240" w:lineRule="auto"/>
        <w:ind w:left="210" w:leftChars="100" w:firstLine="200" w:firstLineChars="100"/>
        <w:jc w:val="left"/>
        <w:rPr>
          <w:rFonts w:hint="eastAsia" w:ascii="Arial" w:hAnsi="Arial" w:eastAsia="宋体" w:cs="Arial"/>
          <w:b/>
          <w:bCs/>
          <w:kern w:val="2"/>
          <w:sz w:val="20"/>
          <w:szCs w:val="20"/>
          <w:shd w:val="clear" w:color="auto" w:fill="FFFFFF"/>
          <w:lang w:val="en-US" w:eastAsia="zh-CN"/>
        </w:rPr>
      </w:pPr>
      <w:r>
        <w:rPr>
          <w:rFonts w:hint="eastAsia" w:ascii="Arial" w:hAnsi="Arial" w:eastAsia="宋体" w:cs="Arial"/>
          <w:b/>
          <w:bCs/>
          <w:kern w:val="2"/>
          <w:sz w:val="20"/>
          <w:szCs w:val="20"/>
          <w:shd w:val="clear" w:color="auto" w:fill="FFFFFF"/>
          <w:lang w:val="en-US" w:eastAsia="zh-CN"/>
        </w:rPr>
        <w:t>（一）发明目的</w:t>
      </w:r>
    </w:p>
    <w:p w14:paraId="6C5CE295">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本发明旨在提供一种面向智能问答、日常闲聊、对话交互的自动化对比评测方法与系统，通过引入基于历史精标数据的评测尺度自校准机制和分阶段的事实归档与裁决机制，实现对多个大模型输出质量的稳定、可解释、可复用的自动化评测。</w:t>
      </w:r>
    </w:p>
    <w:p w14:paraId="15190758">
      <w:pPr>
        <w:widowControl/>
        <w:adjustRightInd/>
        <w:snapToGrid/>
        <w:spacing w:after="0" w:line="240" w:lineRule="auto"/>
        <w:ind w:left="210" w:leftChars="100" w:firstLine="200" w:firstLineChars="100"/>
        <w:jc w:val="left"/>
        <w:rPr>
          <w:rFonts w:hint="eastAsia" w:ascii="Arial" w:hAnsi="Arial" w:eastAsia="宋体" w:cs="Arial"/>
          <w:b/>
          <w:bCs/>
          <w:kern w:val="2"/>
          <w:sz w:val="20"/>
          <w:szCs w:val="20"/>
          <w:shd w:val="clear" w:color="auto" w:fill="FFFFFF"/>
          <w:lang w:val="en-US" w:eastAsia="zh-CN"/>
        </w:rPr>
      </w:pPr>
      <w:r>
        <w:rPr>
          <w:rFonts w:hint="eastAsia" w:ascii="Arial" w:hAnsi="Arial" w:eastAsia="宋体" w:cs="Arial"/>
          <w:b/>
          <w:bCs/>
          <w:kern w:val="2"/>
          <w:sz w:val="20"/>
          <w:szCs w:val="20"/>
          <w:shd w:val="clear" w:color="auto" w:fill="FFFFFF"/>
          <w:lang w:val="en-US" w:eastAsia="zh-CN"/>
        </w:rPr>
        <w:t>（二）核心改进点</w:t>
      </w:r>
    </w:p>
    <w:p w14:paraId="2A1A8158">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相较于现有技术，本发明至少具有以下改进点：</w:t>
      </w:r>
    </w:p>
    <w:p w14:paraId="30A93442">
      <w:pPr>
        <w:widowControl/>
        <w:numPr>
          <w:ilvl w:val="0"/>
          <w:numId w:val="2"/>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在正式评测前，基于历史精标数据自动学习并固化人类标注尺度（包括"失败触发器"和"胜利模式"），作为后续所有评测的统一约束；</w:t>
      </w:r>
    </w:p>
    <w:p w14:paraId="4C4548F0">
      <w:pPr>
        <w:widowControl/>
        <w:numPr>
          <w:ilvl w:val="0"/>
          <w:numId w:val="2"/>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将对比评测过程拆分为结构化标注、事实归档、裁决推理等多个阶段，而非一次性裁决，提高结果可解释性；</w:t>
      </w:r>
    </w:p>
    <w:p w14:paraId="4BBB7DB1">
      <w:pPr>
        <w:widowControl/>
        <w:numPr>
          <w:ilvl w:val="0"/>
          <w:numId w:val="2"/>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通过问题标签与等级映射机制，避免直接主观打分带来的不稳定性；</w:t>
      </w:r>
    </w:p>
    <w:p w14:paraId="0BC13FEE">
      <w:pPr>
        <w:widowControl/>
        <w:numPr>
          <w:ilvl w:val="0"/>
          <w:numId w:val="2"/>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highlight w:val="yellow"/>
          <w:shd w:val="clear" w:color="auto" w:fill="FFFFFF"/>
          <w:lang w:val="en-US" w:eastAsia="zh-CN"/>
        </w:rPr>
        <w:t>采用"证据书记员+法官裁决"的两步式CoT推理</w:t>
      </w:r>
      <w:r>
        <w:rPr>
          <w:rFonts w:hint="eastAsia" w:ascii="Arial" w:hAnsi="Arial" w:eastAsia="宋体" w:cs="Arial"/>
          <w:kern w:val="2"/>
          <w:sz w:val="20"/>
          <w:szCs w:val="20"/>
          <w:shd w:val="clear" w:color="auto" w:fill="FFFFFF"/>
          <w:lang w:val="en-US" w:eastAsia="zh-CN"/>
        </w:rPr>
        <w:t>，将裁判模型的推理限制在已归档的事实空间内，提升结果一致性与可解释性。</w:t>
      </w:r>
    </w:p>
    <w:p w14:paraId="1A7386E7">
      <w:pPr>
        <w:widowControl/>
        <w:numPr>
          <w:ilvl w:val="0"/>
          <w:numId w:val="0"/>
        </w:numPr>
        <w:adjustRightInd/>
        <w:snapToGrid/>
        <w:spacing w:after="0" w:line="240" w:lineRule="auto"/>
        <w:ind w:leftChars="0"/>
        <w:jc w:val="left"/>
        <w:rPr>
          <w:rFonts w:hint="eastAsia" w:ascii="Arial" w:hAnsi="Arial" w:eastAsia="宋体" w:cs="Arial"/>
          <w:kern w:val="2"/>
          <w:sz w:val="20"/>
          <w:szCs w:val="20"/>
          <w:shd w:val="clear" w:color="auto" w:fill="FFFFFF"/>
          <w:lang w:val="en-US" w:eastAsia="zh-CN"/>
        </w:rPr>
      </w:pPr>
    </w:p>
    <w:p w14:paraId="18738C5B">
      <w:pPr>
        <w:widowControl w:val="0"/>
        <w:adjustRightInd/>
        <w:snapToGrid/>
        <w:spacing w:after="200" w:line="240" w:lineRule="auto"/>
        <w:ind w:left="360" w:firstLine="0" w:firstLineChars="0"/>
        <w:jc w:val="both"/>
        <w:rPr>
          <w:rFonts w:hint="eastAsia" w:ascii="楷体_GB2312" w:hAnsi="Calibri" w:eastAsia="楷体_GB2312" w:cs="Times New Roman"/>
          <w:i/>
          <w:color w:val="0000FF"/>
          <w:kern w:val="2"/>
          <w:sz w:val="24"/>
          <w:szCs w:val="24"/>
          <w:lang w:val="en-US" w:eastAsia="zh-CN" w:bidi="ar-SA"/>
        </w:rPr>
      </w:pPr>
    </w:p>
    <w:p w14:paraId="04955783">
      <w:pPr>
        <w:widowControl w:val="0"/>
        <w:adjustRightInd w:val="0"/>
        <w:snapToGrid w:val="0"/>
        <w:spacing w:after="0" w:line="400" w:lineRule="atLeast"/>
        <w:jc w:val="both"/>
        <w:rPr>
          <w:rFonts w:hint="eastAsia" w:ascii="Times New Roman" w:hAnsi="Times New Roman" w:eastAsia="宋体" w:cs="Times New Roman"/>
          <w:b/>
          <w:bCs/>
          <w:color w:val="000000"/>
          <w:kern w:val="44"/>
          <w:sz w:val="28"/>
          <w:szCs w:val="44"/>
          <w:lang w:val="en-US" w:eastAsia="zh-CN" w:bidi="ar-SA"/>
        </w:rPr>
      </w:pPr>
      <w:r>
        <w:rPr>
          <w:rFonts w:hint="eastAsia" w:ascii="Times New Roman" w:hAnsi="Times New Roman" w:eastAsia="宋体" w:cs="Times New Roman"/>
          <w:b/>
          <w:bCs/>
          <w:color w:val="000000"/>
          <w:kern w:val="44"/>
          <w:sz w:val="28"/>
          <w:szCs w:val="44"/>
          <w:lang w:val="en-US" w:eastAsia="zh-CN" w:bidi="ar-SA"/>
        </w:rPr>
        <w:t>技术方案</w:t>
      </w:r>
    </w:p>
    <w:p w14:paraId="4FD042D8">
      <w:pPr>
        <w:keepNext/>
        <w:keepLines/>
        <w:widowControl w:val="0"/>
        <w:numPr>
          <w:ilvl w:val="0"/>
          <w:numId w:val="0"/>
        </w:numPr>
        <w:adjustRightInd w:val="0"/>
        <w:snapToGrid w:val="0"/>
        <w:spacing w:before="312" w:beforeLines="100" w:after="312" w:afterLines="100" w:line="400" w:lineRule="atLeast"/>
        <w:ind w:firstLine="200" w:firstLineChars="0"/>
        <w:jc w:val="left"/>
        <w:outlineLvl w:val="1"/>
        <w:rPr>
          <w:rFonts w:hint="eastAsia" w:ascii="Times New Roman" w:hAnsi="Times New Roman" w:eastAsia="宋体" w:cs="Times New Roman"/>
          <w:b/>
          <w:bCs/>
          <w:color w:val="000000"/>
          <w:kern w:val="44"/>
          <w:sz w:val="28"/>
          <w:szCs w:val="44"/>
          <w:lang w:val="en-US" w:eastAsia="zh-CN" w:bidi="ar-SA"/>
        </w:rPr>
      </w:pPr>
      <w:r>
        <w:rPr>
          <w:rFonts w:hint="eastAsia" w:ascii="Times New Roman" w:hAnsi="Times New Roman" w:eastAsia="黑体" w:cs="Times New Roman"/>
          <w:bCs/>
          <w:kern w:val="2"/>
          <w:sz w:val="24"/>
          <w:szCs w:val="32"/>
          <w:lang w:val="en-US" w:eastAsia="zh-CN" w:bidi="ar-SA"/>
        </w:rPr>
        <w:t>本发明实施方式一：</w:t>
      </w:r>
    </w:p>
    <w:p w14:paraId="2907A424">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（结合附图，给出本发明的详细实施例一；对于方法专利，需给出方法流程图，以及每个步骤的文字解释；</w:t>
      </w:r>
    </w:p>
    <w:p w14:paraId="14EB8782">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对于结构专利，需给出各个部件之间连接关系的图示；</w:t>
      </w:r>
    </w:p>
    <w:p w14:paraId="17034EAE">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对于软件专利，需结合功能，虚拟出实现步骤，避免拷贝代码；</w:t>
      </w:r>
    </w:p>
    <w:p w14:paraId="6D083A0A">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在完整性的基础上，突出创新点，创新点部分用颜色或下划线进行区分，方便代理人清楚的理解创新点是在哪个步骤或部件。）</w:t>
      </w:r>
    </w:p>
    <w:p w14:paraId="78970A4E">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p>
    <w:p w14:paraId="659659A8">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一种基于评测尺度自校准与分阶段裁决的对比评测方法</w:t>
      </w:r>
    </w:p>
    <w:p w14:paraId="43981342">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【建议附图1：整体流程图】</w:t>
      </w:r>
    </w:p>
    <w:p w14:paraId="3D93B95E">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该方法至少包括如下步骤：</w:t>
      </w:r>
    </w:p>
    <w:p w14:paraId="3877CA82">
      <w:pPr>
        <w:widowControl/>
        <w:numPr>
          <w:ilvl w:val="0"/>
          <w:numId w:val="0"/>
        </w:numPr>
        <w:adjustRightInd/>
        <w:snapToGrid/>
        <w:spacing w:after="0" w:line="240" w:lineRule="auto"/>
        <w:ind w:left="420" w:leftChars="0"/>
        <w:jc w:val="left"/>
        <w:rPr>
          <w:rFonts w:hint="eastAsia" w:ascii="Arial" w:hAnsi="Arial" w:eastAsia="宋体" w:cs="Arial"/>
          <w:b/>
          <w:bCs/>
          <w:kern w:val="2"/>
          <w:sz w:val="20"/>
          <w:szCs w:val="20"/>
          <w:shd w:val="clear" w:color="auto" w:fill="FFFFFF"/>
          <w:lang w:val="en-US" w:eastAsia="zh-CN"/>
        </w:rPr>
      </w:pPr>
      <w:r>
        <w:rPr>
          <w:rFonts w:hint="eastAsia" w:ascii="Arial" w:hAnsi="Arial" w:eastAsia="宋体" w:cs="Arial"/>
          <w:b/>
          <w:bCs/>
          <w:kern w:val="2"/>
          <w:sz w:val="20"/>
          <w:szCs w:val="20"/>
          <w:shd w:val="clear" w:color="auto" w:fill="FFFFFF"/>
          <w:lang w:val="en-US" w:eastAsia="zh-CN"/>
        </w:rPr>
        <w:t>步骤 S1：历史精标数据获取与评测尺度自校准</w:t>
      </w:r>
    </w:p>
    <w:p w14:paraId="4C7C8827">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系统预先获取一批由人工标注员完成的历史精标评测数据，所述数据至少包括：</w:t>
      </w:r>
    </w:p>
    <w:p w14:paraId="52ADA25C">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用户问题及模型回答内容；</w:t>
      </w:r>
    </w:p>
    <w:p w14:paraId="30E68D7A">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人工标注的主要问题标签；</w:t>
      </w:r>
    </w:p>
    <w:p w14:paraId="2053DAC3">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人工标注的满意度等级（弱智/不合格/合格/优质）；</w:t>
      </w:r>
    </w:p>
    <w:p w14:paraId="41D4E51C">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人工标注的对比裁决结果（胜/平/负）。</w:t>
      </w:r>
    </w:p>
    <w:p w14:paraId="2E2BD676">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系统将上述精标数据以markdown表格形式输入评测尺度生成模块，通过语言模型或规则推理方式，自动总结并生成评测尺度约束信息，所述约束信息包括但不限于：</w:t>
      </w:r>
    </w:p>
    <w:p w14:paraId="2E27CC0D">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各类问题标签在不同业务场景下的容忍程度；</w:t>
      </w:r>
    </w:p>
    <w:p w14:paraId="3F7D8681">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问题严重度与最终等级之间的隐含映射关系；</w:t>
      </w:r>
    </w:p>
    <w:p w14:paraId="75956B70">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人工标注员在边界样本中的一致性偏好。</w:t>
      </w:r>
    </w:p>
    <w:p w14:paraId="55207657">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所述评测尺度约束信息在后续评测流程中被统一调用，用于约束所有评测阶段的判断逻辑。</w:t>
      </w:r>
    </w:p>
    <w:p w14:paraId="175EE69C">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r>
        <w:rPr>
          <w:rFonts w:hint="eastAsia" w:ascii="Arial" w:hAnsi="Arial" w:eastAsia="宋体" w:cs="Arial"/>
          <w:kern w:val="2"/>
          <w:sz w:val="20"/>
          <w:szCs w:val="20"/>
          <w:highlight w:val="yellow"/>
          <w:shd w:val="clear" w:color="auto" w:fill="FFFFFF"/>
          <w:lang w:val="en-US" w:eastAsia="zh-CN"/>
        </w:rPr>
        <w:t>步骤 S1.1：失败触发器与胜利模式知识库构建</w:t>
      </w:r>
    </w:p>
    <w:p w14:paraId="7DB4C734">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p>
    <w:p w14:paraId="1A99B921">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r>
        <w:rPr>
          <w:rFonts w:hint="eastAsia" w:ascii="Arial" w:hAnsi="Arial" w:eastAsia="宋体" w:cs="Arial"/>
          <w:kern w:val="2"/>
          <w:sz w:val="20"/>
          <w:szCs w:val="20"/>
          <w:highlight w:val="yellow"/>
          <w:shd w:val="clear" w:color="auto" w:fill="FFFFFF"/>
          <w:lang w:val="en-US" w:eastAsia="zh-CN"/>
        </w:rPr>
        <w:t xml:space="preserve">  系统分别从"失败案例集"（Loss-Set）和"成功案例集"（Win-Set）中学习：</w:t>
      </w:r>
    </w:p>
    <w:p w14:paraId="06B1EDCC">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r>
        <w:rPr>
          <w:rFonts w:hint="eastAsia" w:ascii="Arial" w:hAnsi="Arial" w:eastAsia="宋体" w:cs="Arial"/>
          <w:kern w:val="2"/>
          <w:sz w:val="20"/>
          <w:szCs w:val="20"/>
          <w:highlight w:val="yellow"/>
          <w:shd w:val="clear" w:color="auto" w:fill="FFFFFF"/>
          <w:lang w:val="en-US" w:eastAsia="zh-CN"/>
        </w:rPr>
        <w:t xml:space="preserve">  - 失败触发器：导致模型直接判负的严重错误模式，如"事实性错误"、"核心指令遗忘"等；</w:t>
      </w:r>
    </w:p>
    <w:p w14:paraId="1D267EB5">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r>
        <w:rPr>
          <w:rFonts w:hint="eastAsia" w:ascii="Arial" w:hAnsi="Arial" w:eastAsia="宋体" w:cs="Arial"/>
          <w:kern w:val="2"/>
          <w:sz w:val="20"/>
          <w:szCs w:val="20"/>
          <w:highlight w:val="yellow"/>
          <w:shd w:val="clear" w:color="auto" w:fill="FFFFFF"/>
          <w:lang w:val="en-US" w:eastAsia="zh-CN"/>
        </w:rPr>
        <w:t xml:space="preserve">  - 胜利模式：体现模型显著优势的亮点表现，如"结构化呈现"、"提供增量价值"等。</w:t>
      </w:r>
    </w:p>
    <w:p w14:paraId="56667694">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p>
    <w:p w14:paraId="7BF86E72">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r>
        <w:rPr>
          <w:rFonts w:hint="eastAsia" w:ascii="Arial" w:hAnsi="Arial" w:eastAsia="宋体" w:cs="Arial"/>
          <w:kern w:val="2"/>
          <w:sz w:val="20"/>
          <w:szCs w:val="20"/>
          <w:highlight w:val="yellow"/>
          <w:shd w:val="clear" w:color="auto" w:fill="FFFFFF"/>
          <w:lang w:val="en-US" w:eastAsia="zh-CN"/>
        </w:rPr>
        <w:t xml:space="preserve">  所述知识库以JSON格式存储，包含触发器/模式名称、描述、关键词、严重性/影响力评级等结构化字段。</w:t>
      </w:r>
    </w:p>
    <w:p w14:paraId="0BD9B96D">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p>
    <w:p w14:paraId="6745CF5B">
      <w:pPr>
        <w:widowControl/>
        <w:numPr>
          <w:ilvl w:val="0"/>
          <w:numId w:val="0"/>
        </w:numPr>
        <w:adjustRightInd/>
        <w:snapToGrid/>
        <w:spacing w:after="0" w:line="240" w:lineRule="auto"/>
        <w:ind w:left="420" w:leftChars="0"/>
        <w:jc w:val="left"/>
        <w:rPr>
          <w:rFonts w:hint="eastAsia" w:ascii="Arial" w:hAnsi="Arial" w:eastAsia="宋体" w:cs="Arial"/>
          <w:b/>
          <w:bCs/>
          <w:kern w:val="2"/>
          <w:sz w:val="20"/>
          <w:szCs w:val="20"/>
          <w:shd w:val="clear" w:color="auto" w:fill="FFFFFF"/>
          <w:lang w:val="en-US" w:eastAsia="zh-CN"/>
        </w:rPr>
      </w:pPr>
      <w:r>
        <w:rPr>
          <w:rFonts w:hint="eastAsia" w:ascii="Arial" w:hAnsi="Arial" w:eastAsia="宋体" w:cs="Arial"/>
          <w:b/>
          <w:bCs/>
          <w:kern w:val="2"/>
          <w:sz w:val="20"/>
          <w:szCs w:val="20"/>
          <w:shd w:val="clear" w:color="auto" w:fill="FFFFFF"/>
          <w:lang w:val="en-US" w:eastAsia="zh-CN"/>
        </w:rPr>
        <w:t>步骤 S2：单模型结构化问题标注</w:t>
      </w:r>
    </w:p>
    <w:p w14:paraId="2FF4F149">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针对待评测的每一个模型输出（自研模型A、竞品模型B)，系统分别执行单模型标注流程，包括：</w:t>
      </w:r>
    </w:p>
    <w:p w14:paraId="280763F4">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基于步骤S1生成的评测尺度约束信息和失败触发器知识库；</w:t>
      </w:r>
    </w:p>
    <w:p w14:paraId="10957D8B">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对模型输出进行问题识别，检查是否命中失败触发器；</w:t>
      </w:r>
    </w:p>
    <w:p w14:paraId="3223E941">
      <w:pPr>
        <w:widowControl/>
        <w:numPr>
          <w:ilvl w:val="0"/>
          <w:numId w:val="3"/>
        </w:numPr>
        <w:tabs>
          <w:tab w:val="clear" w:pos="840"/>
        </w:tabs>
        <w:adjustRightInd/>
        <w:snapToGrid/>
        <w:spacing w:after="0" w:line="240" w:lineRule="auto"/>
        <w:ind w:left="1260" w:leftChars="0" w:hanging="420"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生成对应的主要问题标签集合及其严重度等级，问题标签来自预定义的分类体系。</w:t>
      </w:r>
    </w:p>
    <w:p w14:paraId="5C05CA43">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该步骤不输出最终评价结论，仅将非结构化文本转化为结构化问题表示。</w:t>
      </w:r>
    </w:p>
    <w:p w14:paraId="054FAC16">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【建议附图2：单模型标注模块示意图】</w:t>
      </w:r>
    </w:p>
    <w:p w14:paraId="623A502F">
      <w:pPr>
        <w:widowControl/>
        <w:numPr>
          <w:ilvl w:val="0"/>
          <w:numId w:val="0"/>
        </w:numPr>
        <w:adjustRightInd/>
        <w:snapToGrid/>
        <w:spacing w:after="0" w:line="240" w:lineRule="auto"/>
        <w:ind w:left="420" w:leftChars="0"/>
        <w:jc w:val="left"/>
        <w:rPr>
          <w:rFonts w:hint="eastAsia" w:ascii="Arial" w:hAnsi="Arial" w:eastAsia="宋体" w:cs="Arial"/>
          <w:b/>
          <w:bCs/>
          <w:kern w:val="2"/>
          <w:sz w:val="20"/>
          <w:szCs w:val="20"/>
          <w:shd w:val="clear" w:color="auto" w:fill="FFFFFF"/>
          <w:lang w:val="en-US" w:eastAsia="zh-CN"/>
        </w:rPr>
      </w:pPr>
      <w:r>
        <w:rPr>
          <w:rFonts w:hint="eastAsia" w:ascii="Arial" w:hAnsi="Arial" w:eastAsia="宋体" w:cs="Arial"/>
          <w:b/>
          <w:bCs/>
          <w:kern w:val="2"/>
          <w:sz w:val="20"/>
          <w:szCs w:val="20"/>
          <w:shd w:val="clear" w:color="auto" w:fill="FFFFFF"/>
          <w:lang w:val="en-US" w:eastAsia="zh-CN"/>
        </w:rPr>
        <w:t>步骤 S3：问题标签到质量等级的映射推理</w:t>
      </w:r>
    </w:p>
    <w:p w14:paraId="40A5E3F7">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系统基于步骤 S2 输出的结构化问题标签，执行等级映射推理过程。</w:t>
      </w:r>
    </w:p>
    <w:p w14:paraId="68CE1CB5">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综合考虑问题类型、严重度及数量，依据预定义或学习得到的映射规则；推理得到对应的质量等级或满意度等级。该等级结果作为中间评测结果保存，而非最终裁决。</w:t>
      </w:r>
    </w:p>
    <w:p w14:paraId="2BBDF706">
      <w:pPr>
        <w:widowControl/>
        <w:numPr>
          <w:ilvl w:val="0"/>
          <w:numId w:val="0"/>
        </w:numPr>
        <w:adjustRightInd/>
        <w:snapToGrid/>
        <w:spacing w:after="0" w:line="240" w:lineRule="auto"/>
        <w:ind w:left="420" w:leftChars="0"/>
        <w:jc w:val="left"/>
        <w:rPr>
          <w:rFonts w:hint="eastAsia" w:ascii="Arial" w:hAnsi="Arial" w:eastAsia="宋体" w:cs="Arial"/>
          <w:b/>
          <w:bCs/>
          <w:kern w:val="2"/>
          <w:sz w:val="20"/>
          <w:szCs w:val="20"/>
          <w:shd w:val="clear" w:color="auto" w:fill="FFFFFF"/>
          <w:lang w:val="en-US" w:eastAsia="zh-CN"/>
        </w:rPr>
      </w:pPr>
      <w:r>
        <w:rPr>
          <w:rFonts w:hint="eastAsia" w:ascii="Arial" w:hAnsi="Arial" w:eastAsia="宋体" w:cs="Arial"/>
          <w:b/>
          <w:bCs/>
          <w:kern w:val="2"/>
          <w:sz w:val="20"/>
          <w:szCs w:val="20"/>
          <w:shd w:val="clear" w:color="auto" w:fill="FFFFFF"/>
          <w:lang w:val="en-US" w:eastAsia="zh-CN"/>
        </w:rPr>
        <w:t>步骤 S4：双模型事实归档式对比分析</w:t>
      </w:r>
    </w:p>
    <w:p w14:paraId="5C3422AF">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【建议附图3：事实归档对比模块示意图】</w:t>
      </w:r>
    </w:p>
    <w:p w14:paraId="6D7A9177">
      <w:pPr>
        <w:widowControl/>
        <w:numPr>
          <w:ilvl w:val="0"/>
          <w:numId w:val="0"/>
        </w:numPr>
        <w:adjustRightInd/>
        <w:snapToGrid/>
        <w:spacing w:after="0" w:line="240" w:lineRule="auto"/>
        <w:ind w:left="420" w:leftChars="0"/>
        <w:jc w:val="left"/>
        <w:rPr>
          <w:rFonts w:hint="eastAsia" w:ascii="Arial" w:hAnsi="Arial" w:eastAsia="宋体" w:cs="Arial"/>
          <w:kern w:val="2"/>
          <w:sz w:val="20"/>
          <w:szCs w:val="20"/>
          <w:highlight w:val="yellow"/>
          <w:shd w:val="clear" w:color="auto" w:fill="FFFFFF"/>
          <w:lang w:val="en-US" w:eastAsia="zh-CN"/>
        </w:rPr>
      </w:pPr>
      <w:r>
        <w:rPr>
          <w:rFonts w:hint="eastAsia" w:ascii="Arial" w:hAnsi="Arial" w:eastAsia="宋体" w:cs="Arial"/>
          <w:kern w:val="2"/>
          <w:sz w:val="20"/>
          <w:szCs w:val="20"/>
          <w:shd w:val="clear" w:color="auto" w:fill="FFFFFF"/>
          <w:lang w:val="en-US" w:eastAsia="zh-CN"/>
        </w:rPr>
        <w:t xml:space="preserve"> 针对需要进行对比评测的两个模型，系统基于其各自的结构化标注结果，</w:t>
      </w:r>
      <w:r>
        <w:rPr>
          <w:rFonts w:hint="eastAsia" w:ascii="Arial" w:hAnsi="Arial" w:eastAsia="宋体" w:cs="Arial"/>
          <w:kern w:val="2"/>
          <w:sz w:val="20"/>
          <w:szCs w:val="20"/>
          <w:highlight w:val="yellow"/>
          <w:shd w:val="clear" w:color="auto" w:fill="FFFFFF"/>
          <w:lang w:val="en-US" w:eastAsia="zh-CN"/>
        </w:rPr>
        <w:t>执行"证据书记员"角色的事实归档分析：</w:t>
      </w:r>
    </w:p>
    <w:p w14:paraId="7EDCCD4D">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 xml:space="preserve">  - 对比问题标注：从</w:t>
      </w:r>
      <w:r>
        <w:rPr>
          <w:rFonts w:hint="eastAsia" w:ascii="Arial" w:hAnsi="Arial" w:eastAsia="宋体" w:cs="Arial"/>
          <w:kern w:val="2"/>
          <w:sz w:val="20"/>
          <w:szCs w:val="20"/>
          <w:highlight w:val="yellow"/>
          <w:shd w:val="clear" w:color="auto" w:fill="FFFFFF"/>
          <w:lang w:val="en-US" w:eastAsia="zh-CN"/>
        </w:rPr>
        <w:t>SBS</w:t>
      </w:r>
      <w:r>
        <w:rPr>
          <w:rFonts w:hint="eastAsia" w:ascii="Arial" w:hAnsi="Arial" w:eastAsia="宋体" w:cs="Arial"/>
          <w:kern w:val="2"/>
          <w:sz w:val="20"/>
          <w:szCs w:val="20"/>
          <w:shd w:val="clear" w:color="auto" w:fill="FFFFFF"/>
          <w:lang w:val="en-US" w:eastAsia="zh-CN"/>
        </w:rPr>
        <w:t>标签集合中，为两个模型分别选择最能体现其相对优劣的问题标签；</w:t>
      </w:r>
    </w:p>
    <w:p w14:paraId="444349FB">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 xml:space="preserve">  - 识别共性问题、差异问题及优势特征；</w:t>
      </w:r>
    </w:p>
    <w:p w14:paraId="7F2359EF">
      <w:pPr>
        <w:widowControl/>
        <w:numPr>
          <w:ilvl w:val="0"/>
          <w:numId w:val="0"/>
        </w:numPr>
        <w:adjustRightInd/>
        <w:snapToGrid/>
        <w:spacing w:after="0" w:line="240" w:lineRule="auto"/>
        <w:ind w:firstLine="600" w:firstLineChars="300"/>
        <w:jc w:val="left"/>
        <w:rPr>
          <w:rFonts w:hint="eastAsia" w:ascii="Arial" w:hAnsi="Arial" w:eastAsia="宋体" w:cs="Arial"/>
          <w:kern w:val="2"/>
          <w:sz w:val="20"/>
          <w:szCs w:val="20"/>
          <w:shd w:val="clear" w:color="auto" w:fill="FFFFFF"/>
          <w:lang w:val="en-US" w:eastAsia="zh-CN"/>
        </w:rPr>
      </w:pPr>
      <w:r>
        <w:rPr>
          <w:rFonts w:hint="default" w:ascii="Arial" w:hAnsi="Arial" w:eastAsia="宋体" w:cs="Arial"/>
          <w:kern w:val="2"/>
          <w:sz w:val="20"/>
          <w:szCs w:val="20"/>
          <w:shd w:val="clear" w:color="auto" w:fill="FFFFFF"/>
          <w:lang w:val="en-US" w:eastAsia="zh-CN"/>
        </w:rPr>
        <w:t xml:space="preserve">-  </w:t>
      </w:r>
      <w:r>
        <w:rPr>
          <w:rFonts w:hint="eastAsia" w:ascii="Arial" w:hAnsi="Arial" w:eastAsia="宋体" w:cs="Arial"/>
          <w:kern w:val="2"/>
          <w:sz w:val="20"/>
          <w:szCs w:val="20"/>
          <w:shd w:val="clear" w:color="auto" w:fill="FFFFFF"/>
          <w:lang w:val="en-US" w:eastAsia="zh-CN"/>
        </w:rPr>
        <w:t>形成结构化的对比分析档案。</w:t>
      </w:r>
    </w:p>
    <w:p w14:paraId="56679DF5">
      <w:pPr>
        <w:widowControl/>
        <w:numPr>
          <w:ilvl w:val="0"/>
          <w:numId w:val="0"/>
        </w:numPr>
        <w:adjustRightInd/>
        <w:snapToGrid/>
        <w:spacing w:after="0" w:line="240" w:lineRule="auto"/>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该步骤明确不输出胜负结论，仅生成结构化的"案件档案"JSON，包含双方的问题标签、命中的触发器、符合的模式等事实描述结果。</w:t>
      </w:r>
    </w:p>
    <w:p w14:paraId="5A549C81">
      <w:pPr>
        <w:widowControl/>
        <w:numPr>
          <w:ilvl w:val="0"/>
          <w:numId w:val="0"/>
        </w:numPr>
        <w:adjustRightInd/>
        <w:snapToGrid/>
        <w:spacing w:after="0" w:line="240" w:lineRule="auto"/>
        <w:ind w:left="420" w:leftChars="0"/>
        <w:jc w:val="left"/>
        <w:rPr>
          <w:rFonts w:hint="eastAsia" w:ascii="Arial" w:hAnsi="Arial" w:eastAsia="宋体" w:cs="Arial"/>
          <w:b/>
          <w:bCs/>
          <w:kern w:val="2"/>
          <w:sz w:val="20"/>
          <w:szCs w:val="20"/>
          <w:shd w:val="clear" w:color="auto" w:fill="FFFFFF"/>
          <w:lang w:val="en-US" w:eastAsia="zh-CN"/>
        </w:rPr>
      </w:pPr>
    </w:p>
    <w:p w14:paraId="5658206F">
      <w:pPr>
        <w:widowControl/>
        <w:numPr>
          <w:ilvl w:val="0"/>
          <w:numId w:val="0"/>
        </w:numPr>
        <w:adjustRightInd/>
        <w:snapToGrid/>
        <w:spacing w:after="0" w:line="240" w:lineRule="auto"/>
        <w:ind w:left="420" w:leftChars="0"/>
        <w:jc w:val="left"/>
        <w:rPr>
          <w:rFonts w:hint="eastAsia" w:ascii="Arial" w:hAnsi="Arial" w:eastAsia="宋体" w:cs="Arial"/>
          <w:b/>
          <w:bCs/>
          <w:kern w:val="2"/>
          <w:sz w:val="20"/>
          <w:szCs w:val="20"/>
          <w:shd w:val="clear" w:color="auto" w:fill="FFFFFF"/>
          <w:lang w:val="en-US" w:eastAsia="zh-CN"/>
        </w:rPr>
      </w:pPr>
      <w:r>
        <w:rPr>
          <w:rFonts w:hint="eastAsia" w:ascii="Arial" w:hAnsi="Arial" w:eastAsia="宋体" w:cs="Arial"/>
          <w:b/>
          <w:bCs/>
          <w:kern w:val="2"/>
          <w:sz w:val="20"/>
          <w:szCs w:val="20"/>
          <w:shd w:val="clear" w:color="auto" w:fill="FFFFFF"/>
          <w:lang w:val="en-US" w:eastAsia="zh-CN"/>
        </w:rPr>
        <w:t>步骤 S5：基于事实归档的裁决推理输出</w:t>
      </w:r>
    </w:p>
    <w:p w14:paraId="672DA518">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系统在步骤 S4 生成的事实归档结果基础上，执行裁决推理过程，包括：</w:t>
      </w:r>
    </w:p>
    <w:p w14:paraId="185D6BE7">
      <w:pPr>
        <w:widowControl/>
        <w:numPr>
          <w:ilvl w:val="0"/>
          <w:numId w:val="0"/>
        </w:numPr>
        <w:adjustRightInd/>
        <w:snapToGrid/>
        <w:spacing w:after="0" w:line="240" w:lineRule="auto"/>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第一优先级-致命错误裁定：任何一方命中失败触发器，直接判负；</w:t>
      </w:r>
    </w:p>
    <w:p w14:paraId="3F0887E5">
      <w:pPr>
        <w:widowControl/>
        <w:numPr>
          <w:ilvl w:val="0"/>
          <w:numId w:val="0"/>
        </w:numPr>
        <w:adjustRightInd/>
        <w:snapToGrid/>
        <w:spacing w:after="0" w:line="240" w:lineRule="auto"/>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第二优先级-显著优势裁定：综合问题严重度、覆盖完整性等因素，符合胜利模式更多者判胜；第三优先级-问题严重性对比：按预定义的标签严重性排序比较；最终裁定，若无法区分则判为"平"。输出最终的胜/平/负裁决结果及裁判说明。</w:t>
      </w:r>
    </w:p>
    <w:p w14:paraId="387189EA">
      <w:pPr>
        <w:widowControl/>
        <w:numPr>
          <w:ilvl w:val="0"/>
          <w:numId w:val="0"/>
        </w:numPr>
        <w:adjustRightInd/>
        <w:snapToGrid/>
        <w:spacing w:after="0" w:line="240" w:lineRule="auto"/>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裁决过程严格限制在已归档的事实空间内进行，裁判不得接触原始对话内容，仅基于结构化证据做出判断，大幅提升结果一致性与可解释性。</w:t>
      </w:r>
    </w:p>
    <w:p w14:paraId="131E40B1">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p>
    <w:p w14:paraId="3492535E">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p>
    <w:p w14:paraId="4D76C42F">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p>
    <w:p w14:paraId="146B8F95">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本发明实施方式一的有益效果</w:t>
      </w:r>
    </w:p>
    <w:p w14:paraId="7374EAA5">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（给出本实施方式的有益效果。）</w:t>
      </w:r>
    </w:p>
    <w:p w14:paraId="2F311740">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采用上述技术方案，本发明至少具有以下有益效果：</w:t>
      </w:r>
    </w:p>
    <w:p w14:paraId="101D128B">
      <w:pPr>
        <w:widowControl/>
        <w:numPr>
          <w:ilvl w:val="0"/>
          <w:numId w:val="4"/>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显著降低评测尺度漂移，提高长期评测一致性；</w:t>
      </w:r>
    </w:p>
    <w:p w14:paraId="11BDFA7E">
      <w:pPr>
        <w:widowControl/>
        <w:numPr>
          <w:ilvl w:val="0"/>
          <w:numId w:val="4"/>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提升对比评测结果的可解释性与可复核性；</w:t>
      </w:r>
    </w:p>
    <w:p w14:paraId="0C7EC9F6">
      <w:pPr>
        <w:widowControl/>
        <w:numPr>
          <w:ilvl w:val="0"/>
          <w:numId w:val="4"/>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适用于大模型问答系统的真实业务评测场景，支持多维度（技能、文本生成、知识问答、聊天）的差异化评测；</w:t>
      </w:r>
    </w:p>
    <w:p w14:paraId="004DBD5A">
      <w:pPr>
        <w:widowControl/>
        <w:numPr>
          <w:ilvl w:val="0"/>
          <w:numId w:val="4"/>
        </w:numPr>
        <w:adjustRightInd/>
        <w:snapToGrid/>
        <w:spacing w:after="0" w:line="240" w:lineRule="auto"/>
        <w:ind w:left="845" w:leftChars="0" w:hanging="425" w:firstLine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支持大规模自动化评测任务的工程化落地。</w:t>
      </w:r>
    </w:p>
    <w:p w14:paraId="7367DB00">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p>
    <w:p w14:paraId="70BD907F">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p>
    <w:p w14:paraId="0F5DF82D">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本发明实施方式二：</w:t>
      </w:r>
    </w:p>
    <w:p w14:paraId="61739DA3">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（结合附图，从另外的角度，给出本发明的详细实施例二；对于方法专利，需给出方法流程图，以及每个步骤的文字解释；</w:t>
      </w:r>
    </w:p>
    <w:p w14:paraId="526F1C9F">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对于结构专利，需给出各个部件之间连接关系的图示；</w:t>
      </w:r>
    </w:p>
    <w:p w14:paraId="51603221">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对于软件专利，需结合功能，虚拟出实现步骤，避免拷贝代码；</w:t>
      </w:r>
    </w:p>
    <w:p w14:paraId="020FE24E">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在完整性的基础上，突出创新点，创新点部分用颜色或下划线进行区分，方便代理人清楚的理解创新点是在哪个步骤或部件。）</w:t>
      </w:r>
    </w:p>
    <w:p w14:paraId="69312CD6">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在实施方式一的基础上，所述评测尺度自校准模块可定期基于新增人工精标数据进行更新，以适应业务策略或用户偏好变化。</w:t>
      </w:r>
    </w:p>
    <w:p w14:paraId="2DD28DA8">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【建议附图4：评测尺度动态更新示意图】</w:t>
      </w:r>
    </w:p>
    <w:p w14:paraId="43FBAF27">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p>
    <w:p w14:paraId="365A5322">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本发明实施方式二的有益效果</w:t>
      </w:r>
    </w:p>
    <w:p w14:paraId="66A75640">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（给出本实施方式的有益效果。）</w:t>
      </w:r>
    </w:p>
    <w:p w14:paraId="3D6E73B8">
      <w:pPr>
        <w:widowControl/>
        <w:numPr>
          <w:ilvl w:val="0"/>
          <w:numId w:val="0"/>
        </w:numPr>
        <w:adjustRightInd/>
        <w:snapToGrid/>
        <w:spacing w:after="0" w:line="240" w:lineRule="auto"/>
        <w:ind w:left="420" w:leftChars="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通过动态更新评测尺度，可进一步增强系统对业务变化的适应能力，避免长期固化带来的评测失真。</w:t>
      </w:r>
    </w:p>
    <w:p w14:paraId="4E9E8FA1">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p>
    <w:p w14:paraId="568C1A7E">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p>
    <w:p w14:paraId="005805F5">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本发明实施方式三，：</w:t>
      </w:r>
    </w:p>
    <w:p w14:paraId="52D902EA">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（结合附图，从另外的角度，给出本发明的详细实施例二；对于方法专利，需给出方法流程图，以及每个步骤的文字解释；</w:t>
      </w:r>
    </w:p>
    <w:p w14:paraId="7ADFAE9C">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对于结构专利，需给出各个部件之间连接关系的图示；</w:t>
      </w:r>
    </w:p>
    <w:p w14:paraId="017AC6BA">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对于软件专利，需结合功能，虚拟出实现步骤，避免拷贝代码；</w:t>
      </w:r>
    </w:p>
    <w:p w14:paraId="1E9A74BC">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在完整性的基础上，突出创新点，创新点部分用颜色或下划线进行区分，方便代理人清楚的理解创新点是在哪个步骤或部件。）</w:t>
      </w:r>
    </w:p>
    <w:p w14:paraId="18ED64B9">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p>
    <w:p w14:paraId="4225A836">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val="en-US" w:eastAsia="zh-CN"/>
        </w:rPr>
        <w:t>本发明实施方式三的有益效果</w:t>
      </w:r>
    </w:p>
    <w:p w14:paraId="23B90E0F">
      <w:pPr>
        <w:widowControl/>
        <w:adjustRightInd/>
        <w:snapToGrid/>
        <w:spacing w:after="0" w:line="240" w:lineRule="auto"/>
        <w:ind w:left="210" w:leftChars="100" w:firstLine="240" w:firstLineChars="100"/>
        <w:jc w:val="left"/>
        <w:rPr>
          <w:rFonts w:hint="eastAsia" w:ascii="楷体_GB2312" w:hAnsi="Calibri" w:eastAsia="楷体_GB2312" w:cs="Times New Roman"/>
          <w:i/>
          <w:color w:val="0000FF"/>
          <w:kern w:val="2"/>
          <w:sz w:val="24"/>
          <w:szCs w:val="24"/>
          <w:lang w:val="en-US" w:eastAsia="zh-CN" w:bidi="ar-SA"/>
        </w:rPr>
      </w:pPr>
      <w:r>
        <w:rPr>
          <w:rFonts w:hint="eastAsia" w:ascii="楷体_GB2312" w:hAnsi="Calibri" w:eastAsia="楷体_GB2312" w:cs="Times New Roman"/>
          <w:i/>
          <w:color w:val="0000FF"/>
          <w:kern w:val="2"/>
          <w:sz w:val="24"/>
          <w:szCs w:val="24"/>
          <w:lang w:val="en-US" w:eastAsia="zh-CN" w:bidi="ar-SA"/>
        </w:rPr>
        <w:t>（给出本实施方式的有益效果。）</w:t>
      </w:r>
    </w:p>
    <w:p w14:paraId="439D19E5">
      <w:pPr>
        <w:widowControl w:val="0"/>
        <w:adjustRightInd w:val="0"/>
        <w:snapToGrid w:val="0"/>
        <w:spacing w:after="0" w:line="400" w:lineRule="atLeast"/>
        <w:jc w:val="both"/>
        <w:rPr>
          <w:rFonts w:hint="eastAsia" w:ascii="Times New Roman" w:hAnsi="Times New Roman" w:eastAsia="宋体" w:cs="Times New Roman"/>
          <w:b/>
          <w:bCs/>
          <w:color w:val="000000"/>
          <w:kern w:val="44"/>
          <w:sz w:val="28"/>
          <w:szCs w:val="44"/>
          <w:lang w:val="en-US" w:eastAsia="zh-CN" w:bidi="ar-SA"/>
        </w:rPr>
      </w:pPr>
      <w:r>
        <w:rPr>
          <w:rFonts w:hint="eastAsia" w:ascii="Times New Roman" w:hAnsi="Times New Roman" w:eastAsia="宋体" w:cs="Times New Roman"/>
          <w:b/>
          <w:bCs/>
          <w:color w:val="000000"/>
          <w:kern w:val="44"/>
          <w:sz w:val="28"/>
          <w:szCs w:val="44"/>
          <w:lang w:val="en-US" w:eastAsia="zh-CN" w:bidi="ar-SA"/>
        </w:rPr>
        <w:t>发散思维</w:t>
      </w:r>
    </w:p>
    <w:p w14:paraId="2FB147B3">
      <w:pPr>
        <w:widowControl/>
        <w:adjustRightInd/>
        <w:snapToGrid/>
        <w:spacing w:after="0" w:line="240" w:lineRule="auto"/>
        <w:ind w:left="210" w:leftChars="100" w:firstLine="240" w:firstLineChars="100"/>
        <w:jc w:val="left"/>
        <w:rPr>
          <w:rFonts w:hint="eastAsia" w:ascii="Arial" w:hAnsi="Arial" w:eastAsia="宋体" w:cs="Arial"/>
          <w:kern w:val="2"/>
          <w:sz w:val="20"/>
          <w:szCs w:val="20"/>
          <w:shd w:val="clear" w:color="auto" w:fill="FFFFFF"/>
          <w:lang w:eastAsia="zh-CN"/>
        </w:rPr>
      </w:pPr>
      <w:r>
        <w:rPr>
          <w:rFonts w:hint="eastAsia" w:ascii="楷体_GB2312" w:hAnsi="Calibri" w:eastAsia="楷体_GB2312" w:cs="Times New Roman"/>
          <w:i/>
          <w:color w:val="0000FF"/>
          <w:kern w:val="2"/>
          <w:sz w:val="24"/>
          <w:szCs w:val="24"/>
          <w:lang w:val="en-US" w:eastAsia="zh-CN" w:bidi="ar-SA"/>
        </w:rPr>
        <w:t>（简单给出本发明实施例可扩展的其他场景，如GSM的技术，可否应用在CDMA或LTE。）</w:t>
      </w:r>
    </w:p>
    <w:p w14:paraId="3F16D2B0">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eastAsia="zh-CN"/>
        </w:rPr>
      </w:pPr>
    </w:p>
    <w:p w14:paraId="611E092C">
      <w:pPr>
        <w:widowControl/>
        <w:adjustRightInd/>
        <w:snapToGrid/>
        <w:spacing w:after="0" w:line="240" w:lineRule="auto"/>
        <w:ind w:left="210" w:leftChars="100" w:firstLine="200" w:firstLineChars="100"/>
        <w:jc w:val="left"/>
        <w:rPr>
          <w:rFonts w:hint="default" w:ascii="Arial" w:hAnsi="Arial" w:eastAsia="宋体" w:cs="Arial"/>
          <w:kern w:val="2"/>
          <w:sz w:val="20"/>
          <w:szCs w:val="20"/>
          <w:shd w:val="clear" w:color="auto" w:fill="FFFFFF"/>
          <w:lang w:val="en-US" w:eastAsia="zh-CN"/>
        </w:rPr>
      </w:pPr>
      <w:r>
        <w:rPr>
          <w:rFonts w:hint="eastAsia" w:ascii="Arial" w:hAnsi="Arial" w:eastAsia="宋体" w:cs="Arial"/>
          <w:kern w:val="2"/>
          <w:sz w:val="20"/>
          <w:szCs w:val="20"/>
          <w:shd w:val="clear" w:color="auto" w:fill="FFFFFF"/>
          <w:lang w:eastAsia="zh-CN"/>
        </w:rPr>
        <w:t>本发明的方法与系统不仅适用于文本类问答评测，还可扩展应用于：</w:t>
      </w:r>
    </w:p>
    <w:p w14:paraId="2E3688E8">
      <w:pPr>
        <w:widowControl/>
        <w:adjustRightInd/>
        <w:snapToGrid/>
        <w:spacing w:after="0" w:line="240" w:lineRule="auto"/>
        <w:ind w:firstLine="600" w:firstLineChars="300"/>
        <w:jc w:val="left"/>
        <w:rPr>
          <w:rFonts w:hint="eastAsia" w:ascii="Arial" w:hAnsi="Arial" w:eastAsia="宋体" w:cs="Arial"/>
          <w:kern w:val="2"/>
          <w:sz w:val="20"/>
          <w:szCs w:val="20"/>
          <w:shd w:val="clear" w:color="auto" w:fill="FFFFFF"/>
          <w:lang w:eastAsia="zh-CN"/>
        </w:rPr>
      </w:pPr>
      <w:r>
        <w:rPr>
          <w:rFonts w:hint="eastAsia" w:ascii="Arial" w:hAnsi="Arial" w:eastAsia="宋体" w:cs="Arial"/>
          <w:kern w:val="2"/>
          <w:sz w:val="20"/>
          <w:szCs w:val="20"/>
          <w:shd w:val="clear" w:color="auto" w:fill="FFFFFF"/>
          <w:lang w:val="en-US" w:eastAsia="zh-CN"/>
        </w:rPr>
        <w:t>-</w:t>
      </w:r>
      <w:r>
        <w:rPr>
          <w:rFonts w:hint="eastAsia" w:ascii="Arial" w:hAnsi="Arial" w:eastAsia="宋体" w:cs="Arial"/>
          <w:kern w:val="2"/>
          <w:sz w:val="20"/>
          <w:szCs w:val="20"/>
          <w:shd w:val="clear" w:color="auto" w:fill="FFFFFF"/>
          <w:lang w:eastAsia="zh-CN"/>
        </w:rPr>
        <w:t>多模态大模型输出评测（如图文、音视频内容）；</w:t>
      </w:r>
    </w:p>
    <w:p w14:paraId="07CF31B7">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eastAsia="zh-CN"/>
        </w:rPr>
      </w:pPr>
      <w:r>
        <w:rPr>
          <w:rFonts w:hint="eastAsia" w:ascii="Arial" w:hAnsi="Arial" w:eastAsia="宋体" w:cs="Arial"/>
          <w:kern w:val="2"/>
          <w:sz w:val="20"/>
          <w:szCs w:val="20"/>
          <w:shd w:val="clear" w:color="auto" w:fill="FFFFFF"/>
          <w:lang w:eastAsia="zh-CN"/>
        </w:rPr>
        <w:t xml:space="preserve">  - Agent行为路径对比评测；</w:t>
      </w:r>
    </w:p>
    <w:p w14:paraId="66F027A4">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eastAsia="zh-CN"/>
        </w:rPr>
      </w:pPr>
      <w:r>
        <w:rPr>
          <w:rFonts w:hint="eastAsia" w:ascii="Arial" w:hAnsi="Arial" w:eastAsia="宋体" w:cs="Arial"/>
          <w:kern w:val="2"/>
          <w:sz w:val="20"/>
          <w:szCs w:val="20"/>
          <w:shd w:val="clear" w:color="auto" w:fill="FFFFFF"/>
          <w:lang w:eastAsia="zh-CN"/>
        </w:rPr>
        <w:t xml:space="preserve">  - 行业垂类（如教育、医疗、金融）中的模型效果评估；</w:t>
      </w:r>
    </w:p>
    <w:p w14:paraId="7A97C5DB">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eastAsia="zh-CN"/>
        </w:rPr>
      </w:pPr>
      <w:r>
        <w:rPr>
          <w:rFonts w:hint="eastAsia" w:ascii="Arial" w:hAnsi="Arial" w:eastAsia="宋体" w:cs="Arial"/>
          <w:kern w:val="2"/>
          <w:sz w:val="20"/>
          <w:szCs w:val="20"/>
          <w:shd w:val="clear" w:color="auto" w:fill="FFFFFF"/>
          <w:lang w:eastAsia="zh-CN"/>
        </w:rPr>
        <w:t xml:space="preserve">  - 代码生成、数学推理等专业领域的模型评测；</w:t>
      </w:r>
    </w:p>
    <w:p w14:paraId="2FFDEC1A">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eastAsia="zh-CN"/>
        </w:rPr>
      </w:pPr>
      <w:r>
        <w:rPr>
          <w:rFonts w:hint="eastAsia" w:ascii="Arial" w:hAnsi="Arial" w:eastAsia="宋体" w:cs="Arial"/>
          <w:kern w:val="2"/>
          <w:sz w:val="20"/>
          <w:szCs w:val="20"/>
          <w:shd w:val="clear" w:color="auto" w:fill="FFFFFF"/>
          <w:lang w:eastAsia="zh-CN"/>
        </w:rPr>
        <w:t xml:space="preserve">  - 多语言场景下的跨语言评测一致性保障。</w:t>
      </w:r>
    </w:p>
    <w:p w14:paraId="53B1C9CA">
      <w:pPr>
        <w:widowControl/>
        <w:adjustRightInd/>
        <w:snapToGrid/>
        <w:spacing w:after="0" w:line="240" w:lineRule="auto"/>
        <w:ind w:left="210" w:leftChars="100" w:firstLine="200" w:firstLineChars="100"/>
        <w:jc w:val="left"/>
        <w:rPr>
          <w:rFonts w:hint="eastAsia" w:ascii="Arial" w:hAnsi="Arial" w:eastAsia="宋体" w:cs="Arial"/>
          <w:kern w:val="2"/>
          <w:sz w:val="20"/>
          <w:szCs w:val="20"/>
          <w:shd w:val="clear" w:color="auto" w:fill="FFFFFF"/>
          <w:lang w:eastAsia="zh-CN"/>
        </w:rPr>
      </w:pPr>
    </w:p>
    <w:p w14:paraId="394538AC">
      <w:pPr>
        <w:widowControl/>
        <w:adjustRightInd/>
        <w:snapToGrid/>
        <w:spacing w:after="0" w:line="240" w:lineRule="auto"/>
        <w:ind w:left="210" w:leftChars="100" w:firstLine="200" w:firstLineChars="100"/>
        <w:jc w:val="left"/>
        <w:rPr>
          <w:rFonts w:hint="default" w:ascii="Arial" w:hAnsi="Arial" w:eastAsia="宋体" w:cs="Arial"/>
          <w:kern w:val="2"/>
          <w:sz w:val="20"/>
          <w:szCs w:val="20"/>
          <w:shd w:val="clear" w:color="auto" w:fill="FFFFFF"/>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楷体_GB2312">
    <w:altName w:val="汉仪楷体简"/>
    <w:panose1 w:val="02010609030101010101"/>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BBD885"/>
    <w:multiLevelType w:val="singleLevel"/>
    <w:tmpl w:val="8FBBD885"/>
    <w:lvl w:ilvl="0" w:tentative="0">
      <w:start w:val="1"/>
      <w:numFmt w:val="decimal"/>
      <w:lvlText w:val="%1."/>
      <w:lvlJc w:val="left"/>
      <w:pPr>
        <w:tabs>
          <w:tab w:val="left" w:pos="420"/>
        </w:tabs>
        <w:ind w:left="845" w:hanging="425"/>
      </w:pPr>
      <w:rPr>
        <w:rFonts w:hint="default"/>
      </w:rPr>
    </w:lvl>
  </w:abstractNum>
  <w:abstractNum w:abstractNumId="1">
    <w:nsid w:val="EBB32F83"/>
    <w:multiLevelType w:val="singleLevel"/>
    <w:tmpl w:val="EBB32F83"/>
    <w:lvl w:ilvl="0" w:tentative="0">
      <w:start w:val="1"/>
      <w:numFmt w:val="decimal"/>
      <w:lvlText w:val="%1."/>
      <w:lvlJc w:val="left"/>
      <w:pPr>
        <w:tabs>
          <w:tab w:val="left" w:pos="420"/>
        </w:tabs>
        <w:ind w:left="845" w:hanging="425"/>
      </w:pPr>
      <w:rPr>
        <w:rFonts w:hint="default"/>
      </w:rPr>
    </w:lvl>
  </w:abstractNum>
  <w:abstractNum w:abstractNumId="2">
    <w:nsid w:val="FF476C8F"/>
    <w:multiLevelType w:val="singleLevel"/>
    <w:tmpl w:val="FF476C8F"/>
    <w:lvl w:ilvl="0" w:tentative="0">
      <w:start w:val="1"/>
      <w:numFmt w:val="bullet"/>
      <w:lvlText w:val=""/>
      <w:lvlJc w:val="left"/>
      <w:pPr>
        <w:tabs>
          <w:tab w:val="left" w:pos="840"/>
        </w:tabs>
        <w:ind w:left="1260" w:hanging="420"/>
      </w:pPr>
      <w:rPr>
        <w:rFonts w:hint="default" w:ascii="Wingdings" w:hAnsi="Wingdings"/>
      </w:rPr>
    </w:lvl>
  </w:abstractNum>
  <w:abstractNum w:abstractNumId="3">
    <w:nsid w:val="5DFCAF83"/>
    <w:multiLevelType w:val="singleLevel"/>
    <w:tmpl w:val="5DFCAF83"/>
    <w:lvl w:ilvl="0" w:tentative="0">
      <w:start w:val="1"/>
      <w:numFmt w:val="decimal"/>
      <w:lvlText w:val="%1."/>
      <w:lvlJc w:val="left"/>
      <w:pPr>
        <w:ind w:left="425" w:hanging="425"/>
      </w:pPr>
      <w:rPr>
        <w:rFont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F9DD52"/>
    <w:rsid w:val="2F6E6726"/>
    <w:rsid w:val="2FBF3563"/>
    <w:rsid w:val="3DFDCF0F"/>
    <w:rsid w:val="3FBC1380"/>
    <w:rsid w:val="5A2FF228"/>
    <w:rsid w:val="5AFBF7BF"/>
    <w:rsid w:val="5D9F3C10"/>
    <w:rsid w:val="5DBB5FD4"/>
    <w:rsid w:val="5F6601A2"/>
    <w:rsid w:val="5FF72AA6"/>
    <w:rsid w:val="68CB315F"/>
    <w:rsid w:val="73F3D609"/>
    <w:rsid w:val="763C9256"/>
    <w:rsid w:val="79B6538C"/>
    <w:rsid w:val="7BF9DD52"/>
    <w:rsid w:val="7D7E9E6D"/>
    <w:rsid w:val="7DBFCCAF"/>
    <w:rsid w:val="7DF7D9FD"/>
    <w:rsid w:val="7FE17E2F"/>
    <w:rsid w:val="86BF18F9"/>
    <w:rsid w:val="8FFD3C15"/>
    <w:rsid w:val="AFBD3D16"/>
    <w:rsid w:val="AFCD042B"/>
    <w:rsid w:val="BA6F3347"/>
    <w:rsid w:val="CBFEB00B"/>
    <w:rsid w:val="DDEF39E7"/>
    <w:rsid w:val="DED764A9"/>
    <w:rsid w:val="DEDE1CA9"/>
    <w:rsid w:val="DFFF78F6"/>
    <w:rsid w:val="EECF8C3C"/>
    <w:rsid w:val="EEFFADFC"/>
    <w:rsid w:val="FBBD23EE"/>
    <w:rsid w:val="FBD7EBBD"/>
    <w:rsid w:val="FDD2A436"/>
    <w:rsid w:val="FDD790FD"/>
    <w:rsid w:val="FEF7850C"/>
    <w:rsid w:val="FF2F05D8"/>
    <w:rsid w:val="FFFEEB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iPriority="99"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5">
    <w:name w:val="footer"/>
    <w:basedOn w:val="1"/>
    <w:unhideWhenUsed/>
    <w:uiPriority w:val="99"/>
    <w:pPr>
      <w:tabs>
        <w:tab w:val="center" w:pos="4680"/>
        <w:tab w:val="right" w:pos="9360"/>
      </w:tabs>
      <w:spacing w:after="0" w:line="240" w:lineRule="auto"/>
    </w:pPr>
  </w:style>
  <w:style w:type="paragraph" w:styleId="6">
    <w:name w:val="header"/>
    <w:basedOn w:val="1"/>
    <w:unhideWhenUsed/>
    <w:uiPriority w:val="99"/>
    <w:pPr>
      <w:tabs>
        <w:tab w:val="center" w:pos="4680"/>
        <w:tab w:val="right" w:pos="9360"/>
      </w:tabs>
      <w:spacing w:after="0" w:line="240" w:lineRule="auto"/>
    </w:p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character" w:styleId="10">
    <w:name w:val="Strong"/>
    <w:basedOn w:val="9"/>
    <w:qFormat/>
    <w:uiPriority w:val="0"/>
    <w:rPr>
      <w:b/>
    </w:rPr>
  </w:style>
  <w:style w:type="character" w:styleId="11">
    <w:name w:val="Hyperlink"/>
    <w:unhideWhenUsed/>
    <w:uiPriority w:val="99"/>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622</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2025-12-25T06:04:00Z</dcterms:created>
  <dc:creator>王美平</dc:creator>
  <cp:lastModifiedBy>王美平</cp:lastModifiedBy>
  <dcterms:modified xsi:type="dcterms:W3CDTF">2026-01-03T13:41:42Z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8ADD98A4E21F56B7F5F24B69540551C6_41</vt:lpwstr>
  </property>
</Properties>
</file>