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CE460B">
      <w:pPr>
        <w:keepNext/>
        <w:keepLines/>
        <w:widowControl w:val="0"/>
        <w:bidi w:val="0"/>
        <w:spacing w:before="260" w:beforeLines="0" w:beforeAutospacing="0" w:after="260" w:afterLines="0" w:afterAutospacing="0" w:line="413" w:lineRule="auto"/>
        <w:jc w:val="center"/>
        <w:outlineLvl w:val="1"/>
        <w:rPr>
          <w:rFonts w:hint="eastAsia" w:ascii="Calibri" w:hAnsi="Calibri" w:eastAsia="宋体"/>
          <w:szCs w:val="24"/>
        </w:rPr>
      </w:pPr>
      <w:r>
        <w:rPr>
          <w:rFonts w:hint="eastAsia" w:ascii="Arial" w:hAnsi="Arial" w:eastAsia="黑体" w:cs="Times New Roman"/>
          <w:b/>
          <w:kern w:val="2"/>
          <w:sz w:val="32"/>
          <w:szCs w:val="24"/>
          <w:lang w:val="en-US" w:eastAsia="zh-CN" w:bidi="ar-SA"/>
        </w:rPr>
        <w:t>一种基于评测尺度自校准与分阶段裁决的多模型输出对比评测方法及系统</w:t>
      </w:r>
    </w:p>
    <w:p w14:paraId="37386081">
      <w:pPr>
        <w:keepNext/>
        <w:keepLines/>
        <w:widowControl w:val="0"/>
        <w:bidi w:val="0"/>
        <w:spacing w:before="260" w:beforeLines="0" w:beforeAutospacing="0" w:after="260" w:afterLines="0" w:afterAutospacing="0" w:line="413" w:lineRule="auto"/>
        <w:jc w:val="both"/>
        <w:outlineLvl w:val="2"/>
        <w:rPr>
          <w:rFonts w:hint="eastAsia" w:ascii="Calibri" w:hAnsi="Calibri" w:eastAsia="宋体" w:cs="Times New Roman"/>
          <w:b/>
          <w:kern w:val="2"/>
          <w:sz w:val="32"/>
          <w:szCs w:val="24"/>
          <w:lang w:val="en-US" w:eastAsia="zh-CN" w:bidi="ar-SA"/>
        </w:rPr>
      </w:pPr>
    </w:p>
    <w:p w14:paraId="07803B82">
      <w:pPr>
        <w:keepNext/>
        <w:keepLines/>
        <w:widowControl w:val="0"/>
        <w:bidi w:val="0"/>
        <w:spacing w:before="260" w:beforeLines="0" w:beforeAutospacing="0" w:after="260" w:afterLines="0" w:afterAutospacing="0" w:line="413" w:lineRule="auto"/>
        <w:jc w:val="both"/>
        <w:outlineLvl w:val="2"/>
        <w:rPr>
          <w:rFonts w:hint="eastAsia" w:ascii="Calibri" w:hAnsi="Calibri" w:eastAsia="宋体"/>
          <w:szCs w:val="24"/>
        </w:rPr>
      </w:pPr>
      <w:r>
        <w:rPr>
          <w:rFonts w:hint="eastAsia" w:ascii="Calibri" w:hAnsi="Calibri" w:cs="Times New Roman"/>
          <w:b/>
          <w:kern w:val="2"/>
          <w:sz w:val="32"/>
          <w:szCs w:val="24"/>
          <w:lang w:val="en-US" w:eastAsia="zh-CN" w:bidi="ar-SA"/>
        </w:rPr>
        <w:t>【</w:t>
      </w:r>
      <w:r>
        <w:rPr>
          <w:rFonts w:hint="eastAsia" w:ascii="Calibri" w:hAnsi="Calibri" w:eastAsia="宋体" w:cs="Times New Roman"/>
          <w:b/>
          <w:kern w:val="2"/>
          <w:sz w:val="32"/>
          <w:szCs w:val="24"/>
          <w:lang w:val="en-US" w:eastAsia="zh-CN" w:bidi="ar-SA"/>
        </w:rPr>
        <w:t>技术领域</w:t>
      </w:r>
      <w:r>
        <w:rPr>
          <w:rFonts w:hint="eastAsia" w:ascii="Calibri" w:hAnsi="Calibri" w:cs="Times New Roman"/>
          <w:b/>
          <w:kern w:val="2"/>
          <w:sz w:val="32"/>
          <w:szCs w:val="24"/>
          <w:lang w:val="en-US" w:eastAsia="zh-CN" w:bidi="ar-SA"/>
        </w:rPr>
        <w:t>】</w:t>
      </w:r>
    </w:p>
    <w:p w14:paraId="1B35D45F">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本发明涉及人工智能和自然语言处理技术领域，尤其涉及一种基于评测尺度自校准与分阶段裁决的多模型输出对比评测方法及系统。</w:t>
      </w:r>
    </w:p>
    <w:p w14:paraId="13B8EAA2">
      <w:pPr>
        <w:keepNext/>
        <w:keepLines/>
        <w:widowControl w:val="0"/>
        <w:bidi w:val="0"/>
        <w:spacing w:before="260" w:beforeLines="0" w:beforeAutospacing="0" w:after="260" w:afterLines="0" w:afterAutospacing="0" w:line="413" w:lineRule="auto"/>
        <w:jc w:val="both"/>
        <w:outlineLvl w:val="2"/>
        <w:rPr>
          <w:rFonts w:hint="eastAsia" w:ascii="Calibri" w:hAnsi="Calibri" w:eastAsia="宋体"/>
          <w:szCs w:val="24"/>
        </w:rPr>
      </w:pPr>
      <w:r>
        <w:rPr>
          <w:rFonts w:hint="eastAsia" w:ascii="Calibri" w:hAnsi="Calibri" w:cs="Times New Roman"/>
          <w:b/>
          <w:kern w:val="2"/>
          <w:sz w:val="32"/>
          <w:szCs w:val="24"/>
          <w:lang w:val="en-US" w:eastAsia="zh-CN" w:bidi="ar-SA"/>
        </w:rPr>
        <w:t>【</w:t>
      </w:r>
      <w:r>
        <w:rPr>
          <w:rFonts w:hint="eastAsia" w:ascii="Calibri" w:hAnsi="Calibri" w:eastAsia="宋体" w:cs="Times New Roman"/>
          <w:b/>
          <w:kern w:val="2"/>
          <w:sz w:val="32"/>
          <w:szCs w:val="24"/>
          <w:lang w:val="en-US" w:eastAsia="zh-CN" w:bidi="ar-SA"/>
        </w:rPr>
        <w:t>背景技术</w:t>
      </w:r>
      <w:r>
        <w:rPr>
          <w:rFonts w:hint="eastAsia" w:ascii="Calibri" w:hAnsi="Calibri" w:cs="Times New Roman"/>
          <w:b/>
          <w:kern w:val="2"/>
          <w:sz w:val="32"/>
          <w:szCs w:val="24"/>
          <w:lang w:val="en-US" w:eastAsia="zh-CN" w:bidi="ar-SA"/>
        </w:rPr>
        <w:t>】</w:t>
      </w:r>
    </w:p>
    <w:p w14:paraId="5CA209EB">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随着大语言模型（LLM）在智能问答、内容生成、对话交互等场景的规模化应用，多模型间的性能对比评测成为企业优化产品、提升核心竞争力的关键环节。当前行业主流的大模型对比评测方法主要分为三类：人工标注法、固定规则自动评测法、单步裁判模型裁决法。</w:t>
      </w:r>
    </w:p>
    <w:p w14:paraId="64E253F1">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人工标注法依赖领域专家对模型输出进行质量判定，虽能保证一定准确性，但存在成本高、效率低、主观性强的固有缺陷，不同标注员的判定尺度存在天然差异，难以形成统一且稳定的评测标准；固定规则自动评测法通过预设指标体系进行量化打分，实现了评测流程的自动化，但规则刚性强，无法适应业务场景变化和数据分布偏移，且未考虑模型输出的优势与致命缺陷，易出现评测标准与实际需求脱节的问题；单步裁判模型裁决法直接调用大模型输出"胜/平/负"结论，操作简便但评测过程如同"黑箱"，缺乏中间推理依据，无法追溯结果生成逻辑，且未整合历史标注经验形成结构化知识库，导致评测一致性差。</w:t>
      </w:r>
    </w:p>
    <w:p w14:paraId="3DB79BC0">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在实际工程化应用中，上述方法普遍暴露四大核心问题：</w:t>
      </w:r>
    </w:p>
    <w:p w14:paraId="2BF5BD57">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一是评测尺度缺乏动态校准能力，不同批次、不同场景下的评测标准易发生漂移，相同质量的模型输出可能得到差异较大的判定结果，导致长期评测数据缺乏可比性；</w:t>
      </w:r>
    </w:p>
    <w:p w14:paraId="749F7D37">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二是评测流程缺乏逻辑分层设计，未构建思维链递进结构，未整合胜利模式/失败触发器知识库，事实分析与裁决推理耦合，结果异常时无法定位问题根源；</w:t>
      </w:r>
    </w:p>
    <w:p w14:paraId="452C1CBD">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三是裁决过程缺乏结构化事实支撑，直接基于原始输出判定，易受表述风格、语言华丽程度等无关因素干扰，结果的客观性与可解释性不足；</w:t>
      </w:r>
    </w:p>
    <w:p w14:paraId="2AC902AC">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四是人工经验复用性低，标注员识别核心优势与致命缺陷的隐性经验难以转化为显性规则，新标注人员或模型无法有效复用，导致评测标准随人员变动而波动。</w:t>
      </w:r>
    </w:p>
    <w:p w14:paraId="617C491D">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这些缺陷严重制约了大模型对比评测的工程化落地与规模化应用，亟需一种兼具高一致性、高可解释性与高复用性的新型评测方法。</w:t>
      </w:r>
    </w:p>
    <w:p w14:paraId="5BFA4906">
      <w:pPr>
        <w:rPr>
          <w:rFonts w:hint="eastAsia" w:ascii="Calibri" w:hAnsi="Calibri" w:eastAsia="宋体"/>
          <w:szCs w:val="24"/>
        </w:rPr>
      </w:pPr>
    </w:p>
    <w:p w14:paraId="78F828F8">
      <w:pPr>
        <w:rPr>
          <w:rFonts w:hint="eastAsia" w:ascii="Calibri" w:hAnsi="Calibri" w:eastAsia="宋体"/>
          <w:szCs w:val="24"/>
          <w:lang w:eastAsia="zh-CN"/>
        </w:rPr>
      </w:pPr>
      <w:r>
        <w:rPr>
          <w:rFonts w:hint="eastAsia" w:ascii="Calibri" w:hAnsi="Calibri"/>
          <w:b/>
          <w:sz w:val="32"/>
          <w:szCs w:val="24"/>
          <w:lang w:eastAsia="zh-CN"/>
        </w:rPr>
        <w:t>【</w:t>
      </w:r>
      <w:r>
        <w:rPr>
          <w:rFonts w:hint="eastAsia" w:ascii="Calibri" w:hAnsi="Calibri" w:eastAsia="宋体"/>
          <w:b/>
          <w:sz w:val="32"/>
          <w:szCs w:val="24"/>
        </w:rPr>
        <w:t>发明内容</w:t>
      </w:r>
      <w:r>
        <w:rPr>
          <w:rFonts w:hint="eastAsia" w:ascii="Calibri" w:hAnsi="Calibri"/>
          <w:b/>
          <w:sz w:val="32"/>
          <w:szCs w:val="24"/>
          <w:lang w:eastAsia="zh-CN"/>
        </w:rPr>
        <w:t>】</w:t>
      </w:r>
    </w:p>
    <w:p w14:paraId="26405294">
      <w:pPr>
        <w:rPr>
          <w:rFonts w:hint="eastAsia" w:ascii="Calibri" w:hAnsi="Calibri" w:eastAsia="宋体"/>
          <w:szCs w:val="24"/>
        </w:rPr>
      </w:pPr>
      <w:r>
        <w:rPr>
          <w:rFonts w:hint="eastAsia" w:ascii="Arial" w:hAnsi="Arial" w:eastAsia="黑体"/>
          <w:b/>
          <w:sz w:val="28"/>
          <w:szCs w:val="24"/>
        </w:rPr>
        <w:t>技术问题</w:t>
      </w:r>
    </w:p>
    <w:p w14:paraId="6B920B2C">
      <w:pPr>
        <w:spacing w:line="360" w:lineRule="auto"/>
        <w:ind w:firstLine="420" w:firstLineChars="0"/>
        <w:rPr>
          <w:rFonts w:hint="eastAsia" w:ascii="Calibri" w:hAnsi="Calibri" w:eastAsia="宋体"/>
          <w:szCs w:val="24"/>
        </w:rPr>
      </w:pPr>
      <w:r>
        <w:rPr>
          <w:rFonts w:hint="eastAsia" w:ascii="Calibri" w:hAnsi="Calibri" w:eastAsia="宋体"/>
          <w:sz w:val="24"/>
          <w:szCs w:val="24"/>
        </w:rPr>
        <w:t>本发明要解决的技术问题是：如何提供一种多模型输出对比评测方法及系统，能够实现评测尺度的动态自校准，构建可解释的分阶段裁决流程，并有效复用人工标注经验。</w:t>
      </w:r>
    </w:p>
    <w:p w14:paraId="5BD1E64B">
      <w:pPr>
        <w:rPr>
          <w:rFonts w:hint="eastAsia" w:ascii="Calibri" w:hAnsi="Calibri" w:eastAsia="宋体"/>
          <w:szCs w:val="24"/>
        </w:rPr>
      </w:pPr>
      <w:r>
        <w:rPr>
          <w:rFonts w:hint="eastAsia" w:ascii="Arial" w:hAnsi="Arial" w:eastAsia="黑体"/>
          <w:b/>
          <w:sz w:val="28"/>
          <w:szCs w:val="24"/>
        </w:rPr>
        <w:t>技术方案</w:t>
      </w:r>
    </w:p>
    <w:p w14:paraId="3C9D6C55">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为解决上述技术问题，本发明提供一种基于评测尺度自校准与分阶段裁决的多模型输出对比评测方法，包括以下步骤：</w:t>
      </w:r>
    </w:p>
    <w:p w14:paraId="1EE09D23">
      <w:pPr>
        <w:spacing w:line="360" w:lineRule="auto"/>
        <w:ind w:firstLine="420" w:firstLineChars="0"/>
        <w:rPr>
          <w:rFonts w:hint="eastAsia" w:ascii="Calibri" w:hAnsi="Calibri" w:eastAsia="宋体"/>
          <w:sz w:val="24"/>
          <w:szCs w:val="24"/>
        </w:rPr>
      </w:pPr>
      <w:r>
        <w:rPr>
          <w:rFonts w:hint="eastAsia" w:ascii="Calibri" w:hAnsi="Calibri" w:eastAsia="宋体"/>
          <w:sz w:val="24"/>
          <w:szCs w:val="24"/>
          <w:lang w:val="en-US" w:eastAsia="zh-CN"/>
        </w:rPr>
        <w:t>步骤</w:t>
      </w:r>
      <w:r>
        <w:rPr>
          <w:rFonts w:hint="eastAsia" w:ascii="Calibri" w:hAnsi="Calibri" w:eastAsia="宋体"/>
          <w:sz w:val="24"/>
          <w:szCs w:val="24"/>
        </w:rPr>
        <w:t>S1</w:t>
      </w:r>
      <w:r>
        <w:rPr>
          <w:rFonts w:hint="eastAsia" w:ascii="Calibri" w:hAnsi="Calibri" w:eastAsia="宋体"/>
          <w:sz w:val="24"/>
          <w:szCs w:val="24"/>
          <w:lang w:eastAsia="zh-CN"/>
        </w:rPr>
        <w:t>，</w:t>
      </w:r>
      <w:r>
        <w:rPr>
          <w:rFonts w:hint="eastAsia" w:ascii="Calibri" w:hAnsi="Calibri" w:eastAsia="宋体"/>
          <w:sz w:val="24"/>
          <w:szCs w:val="24"/>
        </w:rPr>
        <w:t>评测尺度自校准步骤：基于历史人工精标数据，通过大语言模型结合规则推理算法，自动提取尺度特征并构建双知识库。所述尺度特征包括问题标签与合格率的映射关系、场景化容忍阈值及标注偏好。所述双知识库包括胜利模式知识库和失败触发器知识库。</w:t>
      </w:r>
    </w:p>
    <w:p w14:paraId="3DD3FED5">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具体实现中，该步骤包含：</w:t>
      </w:r>
    </w:p>
    <w:p w14:paraId="36A30EBC">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精标数据输入层：收集领域专家标注的高质量精标数据，包含用户问题、模型回答、问题标签、合格率（弱智/不合格/合格/优质）、对比裁决结果及标注备注；</w:t>
      </w:r>
    </w:p>
    <w:p w14:paraId="3EF438D6">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特征学习层：通过大语言模型结合规则推理算法，自动提取三类核心尺度特征与双知识库特征</w:t>
      </w:r>
      <w:r>
        <w:rPr>
          <w:rFonts w:hint="eastAsia" w:ascii="Calibri" w:hAnsi="Calibri" w:eastAsia="宋体"/>
          <w:sz w:val="24"/>
          <w:szCs w:val="24"/>
          <w:lang w:eastAsia="zh-CN"/>
        </w:rPr>
        <w:t>；</w:t>
      </w:r>
    </w:p>
    <w:p w14:paraId="01AA15E7">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输出层：整合上述特征，生成评测尺度约束信息和双知识库。</w:t>
      </w:r>
    </w:p>
    <w:p w14:paraId="517B4AA4">
      <w:pPr>
        <w:spacing w:line="360" w:lineRule="auto"/>
        <w:ind w:firstLine="420" w:firstLineChars="0"/>
        <w:rPr>
          <w:rFonts w:hint="eastAsia" w:ascii="Calibri" w:hAnsi="Calibri" w:eastAsia="宋体"/>
          <w:sz w:val="24"/>
          <w:szCs w:val="24"/>
        </w:rPr>
      </w:pPr>
    </w:p>
    <w:p w14:paraId="2F7C5BD1">
      <w:pPr>
        <w:spacing w:line="360" w:lineRule="auto"/>
        <w:ind w:firstLine="420" w:firstLineChars="0"/>
        <w:rPr>
          <w:rFonts w:hint="eastAsia" w:ascii="Calibri" w:hAnsi="Calibri" w:eastAsia="宋体"/>
          <w:sz w:val="24"/>
          <w:szCs w:val="24"/>
        </w:rPr>
      </w:pPr>
      <w:r>
        <w:rPr>
          <w:rFonts w:hint="eastAsia" w:ascii="Calibri" w:hAnsi="Calibri" w:eastAsia="宋体"/>
          <w:sz w:val="24"/>
          <w:szCs w:val="24"/>
          <w:lang w:val="en-US" w:eastAsia="zh-CN"/>
        </w:rPr>
        <w:t>步骤</w:t>
      </w:r>
      <w:r>
        <w:rPr>
          <w:rFonts w:hint="eastAsia" w:ascii="Calibri" w:hAnsi="Calibri" w:eastAsia="宋体"/>
          <w:sz w:val="24"/>
          <w:szCs w:val="24"/>
        </w:rPr>
        <w:t>S2</w:t>
      </w:r>
      <w:r>
        <w:rPr>
          <w:rFonts w:hint="eastAsia" w:ascii="Calibri" w:hAnsi="Calibri" w:eastAsia="宋体"/>
          <w:sz w:val="24"/>
          <w:szCs w:val="24"/>
          <w:lang w:eastAsia="zh-CN"/>
        </w:rPr>
        <w:t>，</w:t>
      </w:r>
      <w:r>
        <w:rPr>
          <w:rFonts w:hint="eastAsia" w:ascii="Calibri" w:hAnsi="Calibri" w:eastAsia="宋体"/>
          <w:sz w:val="24"/>
          <w:szCs w:val="24"/>
        </w:rPr>
        <w:t>单模型结构化标注步骤： 针对待评测的自研模型与</w:t>
      </w:r>
      <w:r>
        <w:rPr>
          <w:rFonts w:hint="eastAsia" w:ascii="Calibri" w:hAnsi="Calibri" w:eastAsia="宋体"/>
          <w:sz w:val="24"/>
          <w:szCs w:val="24"/>
          <w:lang w:eastAsia="zh-CN"/>
        </w:rPr>
        <w:t>大模型B</w:t>
      </w:r>
      <w:r>
        <w:rPr>
          <w:rFonts w:hint="eastAsia" w:ascii="Calibri" w:hAnsi="Calibri" w:eastAsia="宋体"/>
          <w:sz w:val="24"/>
          <w:szCs w:val="24"/>
        </w:rPr>
        <w:t>模型，分别加载所述评测尺度约束信息及双知识库，由大语言模型对各模型的回答执行双向识别：</w:t>
      </w:r>
    </w:p>
    <w:p w14:paraId="7B98CE4B">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核心问题识别：聚焦用户核心需求，从预设标签体系中识别并标注主要问题，优先匹配失败触发器知识库中的致命错误；</w:t>
      </w:r>
    </w:p>
    <w:p w14:paraId="04825A8C">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核心优势识别：从胜利模式知识库中匹配模型输出的核心优势，标注最显著的优势。</w:t>
      </w:r>
    </w:p>
    <w:p w14:paraId="1148546B">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输出结构化标注结果，包含"样本ID、用户问题、模型回答、主要问题标签清单、核心优势清单、标注理由"。</w:t>
      </w:r>
    </w:p>
    <w:p w14:paraId="233E6264">
      <w:pPr>
        <w:spacing w:line="360" w:lineRule="auto"/>
        <w:ind w:firstLine="420" w:firstLineChars="0"/>
        <w:rPr>
          <w:rFonts w:hint="eastAsia" w:ascii="Calibri" w:hAnsi="Calibri" w:eastAsia="宋体"/>
          <w:sz w:val="24"/>
          <w:szCs w:val="24"/>
        </w:rPr>
      </w:pPr>
    </w:p>
    <w:p w14:paraId="038FAA41">
      <w:pPr>
        <w:spacing w:line="360" w:lineRule="auto"/>
        <w:ind w:firstLine="420" w:firstLineChars="0"/>
        <w:rPr>
          <w:rFonts w:hint="eastAsia" w:ascii="Calibri" w:hAnsi="Calibri" w:eastAsia="宋体"/>
          <w:sz w:val="24"/>
          <w:szCs w:val="24"/>
        </w:rPr>
      </w:pPr>
      <w:r>
        <w:rPr>
          <w:rFonts w:hint="eastAsia" w:ascii="Calibri" w:hAnsi="Calibri" w:eastAsia="宋体"/>
          <w:sz w:val="24"/>
          <w:szCs w:val="24"/>
          <w:lang w:val="en-US" w:eastAsia="zh-CN"/>
        </w:rPr>
        <w:t>步骤</w:t>
      </w:r>
      <w:r>
        <w:rPr>
          <w:rFonts w:hint="eastAsia" w:ascii="Calibri" w:hAnsi="Calibri" w:eastAsia="宋体"/>
          <w:sz w:val="24"/>
          <w:szCs w:val="24"/>
        </w:rPr>
        <w:t>S3</w:t>
      </w:r>
      <w:r>
        <w:rPr>
          <w:rFonts w:hint="eastAsia" w:ascii="Calibri" w:hAnsi="Calibri" w:eastAsia="宋体"/>
          <w:sz w:val="24"/>
          <w:szCs w:val="24"/>
          <w:lang w:eastAsia="zh-CN"/>
        </w:rPr>
        <w:t>，</w:t>
      </w:r>
      <w:r>
        <w:rPr>
          <w:rFonts w:hint="eastAsia" w:ascii="Calibri" w:hAnsi="Calibri" w:eastAsia="宋体"/>
          <w:sz w:val="24"/>
          <w:szCs w:val="24"/>
        </w:rPr>
        <w:t>规则映射步骤： 基于所述结构化标注结果，结合所述评测尺度约束信息与双知识库，自动映射生成严重度等级、优势等级与合格率：</w:t>
      </w:r>
    </w:p>
    <w:p w14:paraId="6423D1A8">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严重度等级映射：根据主要问题标签匹配失败触发器知识库的严重性评级，取最高评级作为模型整体严重度等级（1级轻微→5级致命）；</w:t>
      </w:r>
    </w:p>
    <w:p w14:paraId="0886DDCD">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优势等级映射：根据核心优势清单匹配胜利模式知识库的影响力评级，取最高评级作为模型整体优势等级（1级微弱→5级显著）；</w:t>
      </w:r>
    </w:p>
    <w:p w14:paraId="2F8CA7C7">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合格率映射：按"严重度等级优先，优势等级补偿"的规则执行。</w:t>
      </w:r>
    </w:p>
    <w:p w14:paraId="0F732EA1">
      <w:pPr>
        <w:spacing w:line="360" w:lineRule="auto"/>
        <w:ind w:firstLine="420" w:firstLineChars="0"/>
        <w:rPr>
          <w:rFonts w:hint="eastAsia" w:ascii="Calibri" w:hAnsi="Calibri" w:eastAsia="宋体"/>
          <w:sz w:val="24"/>
          <w:szCs w:val="24"/>
          <w:lang w:val="en-US" w:eastAsia="zh-CN"/>
        </w:rPr>
      </w:pPr>
    </w:p>
    <w:p w14:paraId="0883A143">
      <w:pPr>
        <w:spacing w:line="360" w:lineRule="auto"/>
        <w:ind w:firstLine="420" w:firstLineChars="0"/>
        <w:rPr>
          <w:rFonts w:hint="eastAsia" w:ascii="Calibri" w:hAnsi="Calibri" w:eastAsia="宋体"/>
          <w:sz w:val="24"/>
          <w:szCs w:val="24"/>
        </w:rPr>
      </w:pPr>
      <w:r>
        <w:rPr>
          <w:rFonts w:hint="eastAsia" w:ascii="Calibri" w:hAnsi="Calibri" w:eastAsia="宋体"/>
          <w:sz w:val="24"/>
          <w:szCs w:val="24"/>
          <w:lang w:val="en-US" w:eastAsia="zh-CN"/>
        </w:rPr>
        <w:t>步骤</w:t>
      </w:r>
      <w:r>
        <w:rPr>
          <w:rFonts w:hint="eastAsia" w:ascii="Calibri" w:hAnsi="Calibri" w:eastAsia="宋体"/>
          <w:sz w:val="24"/>
          <w:szCs w:val="24"/>
        </w:rPr>
        <w:t>S4</w:t>
      </w:r>
      <w:r>
        <w:rPr>
          <w:rFonts w:hint="eastAsia" w:ascii="Calibri" w:hAnsi="Calibri" w:eastAsia="宋体"/>
          <w:sz w:val="24"/>
          <w:szCs w:val="24"/>
          <w:lang w:eastAsia="zh-CN"/>
        </w:rPr>
        <w:t>，</w:t>
      </w:r>
      <w:r>
        <w:rPr>
          <w:rFonts w:hint="eastAsia" w:ascii="Calibri" w:hAnsi="Calibri" w:eastAsia="宋体"/>
          <w:sz w:val="24"/>
          <w:szCs w:val="24"/>
        </w:rPr>
        <w:t>双模型对比评估步骤： 基于两个模型的规则映射结果，结合双知识库，执行客观对比分析：</w:t>
      </w:r>
    </w:p>
    <w:p w14:paraId="68EE3A82">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基础指标对比：合格率等级（优质＞合格＞不合格＞弱智）、严重度等级、优势等级；</w:t>
      </w:r>
    </w:p>
    <w:p w14:paraId="5D4F8BB8">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核心特征对比：失败触发器对比（是否命中致命错误、严重性评级差异）和胜利模式对比（核心优势数量、影响力评级总和差异）；</w:t>
      </w:r>
    </w:p>
    <w:p w14:paraId="5489B13E">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主要问题对比：问题类型、数量差异。</w:t>
      </w:r>
    </w:p>
    <w:p w14:paraId="0FA6877A">
      <w:pPr>
        <w:spacing w:line="360" w:lineRule="auto"/>
        <w:ind w:firstLine="420" w:firstLineChars="0"/>
        <w:rPr>
          <w:rFonts w:hint="eastAsia" w:ascii="Calibri" w:hAnsi="Calibri" w:eastAsia="宋体"/>
          <w:sz w:val="24"/>
          <w:szCs w:val="24"/>
        </w:rPr>
      </w:pPr>
    </w:p>
    <w:p w14:paraId="5AB02947">
      <w:pPr>
        <w:spacing w:line="360" w:lineRule="auto"/>
        <w:ind w:firstLine="420" w:firstLineChars="0"/>
        <w:rPr>
          <w:rFonts w:hint="eastAsia" w:ascii="Calibri" w:hAnsi="Calibri" w:eastAsia="宋体"/>
          <w:sz w:val="24"/>
          <w:szCs w:val="24"/>
        </w:rPr>
      </w:pPr>
      <w:r>
        <w:rPr>
          <w:rFonts w:hint="eastAsia" w:ascii="Calibri" w:hAnsi="Calibri" w:eastAsia="宋体"/>
          <w:sz w:val="24"/>
          <w:szCs w:val="24"/>
          <w:lang w:val="en-US" w:eastAsia="zh-CN"/>
        </w:rPr>
        <w:t>步骤</w:t>
      </w:r>
      <w:r>
        <w:rPr>
          <w:rFonts w:hint="eastAsia" w:ascii="Calibri" w:hAnsi="Calibri" w:eastAsia="宋体"/>
          <w:sz w:val="24"/>
          <w:szCs w:val="24"/>
        </w:rPr>
        <w:t>S5</w:t>
      </w:r>
      <w:r>
        <w:rPr>
          <w:rFonts w:hint="eastAsia" w:ascii="Calibri" w:hAnsi="Calibri" w:eastAsia="宋体"/>
          <w:sz w:val="24"/>
          <w:szCs w:val="24"/>
          <w:lang w:eastAsia="zh-CN"/>
        </w:rPr>
        <w:t>，</w:t>
      </w:r>
      <w:r>
        <w:rPr>
          <w:rFonts w:hint="eastAsia" w:ascii="Calibri" w:hAnsi="Calibri" w:eastAsia="宋体"/>
          <w:sz w:val="24"/>
          <w:szCs w:val="24"/>
        </w:rPr>
        <w:t>多维度裁决推理步骤： 仅基于所述双模型对比评估结果与双知识库，按照以下优先级进行最终胜负判定：</w:t>
      </w:r>
    </w:p>
    <w:p w14:paraId="38C1ABD9">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第一优先级（致命错误裁定）：若任一方严重度等级为5级（致命），直接判该方负；若双方均命中，严重性评级高者负；</w:t>
      </w:r>
    </w:p>
    <w:p w14:paraId="5D2982C6">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第二优先级（优势等级裁定）：无致命错误时，优势等级总和高者判胜；若总和一致，高评级优势数量多者胜；</w:t>
      </w:r>
    </w:p>
    <w:p w14:paraId="0CECACC5">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第三优先级（合格率裁定）：优势等级一致时，按"优质＞合格＞不合格＞弱智"顺序，合格率更优者判胜；</w:t>
      </w:r>
    </w:p>
    <w:p w14:paraId="7269CCDC">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第四优先级（严重度对比）：合格率一致时，严重度等级更低者判胜；</w:t>
      </w:r>
    </w:p>
    <w:p w14:paraId="2C5B8708">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第五优先级（问题数量对比）：严重度等级一致时，主要问题标签数量更少者判胜；</w:t>
      </w:r>
    </w:p>
    <w:p w14:paraId="06E9EF34">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第六优先级（平局裁定）：上述维度均无法区分时，判为"平"。</w:t>
      </w:r>
    </w:p>
    <w:p w14:paraId="394F8097">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输出最终裁决结果（胜/平/负）及裁判说明，说明内容需引用双知识库与对比评估结果，确保可溯源。</w:t>
      </w:r>
    </w:p>
    <w:p w14:paraId="60232AD9">
      <w:pPr>
        <w:spacing w:line="360" w:lineRule="auto"/>
        <w:ind w:firstLine="420" w:firstLineChars="0"/>
        <w:rPr>
          <w:rFonts w:hint="eastAsia" w:ascii="Calibri" w:hAnsi="Calibri" w:eastAsia="宋体"/>
          <w:sz w:val="24"/>
          <w:szCs w:val="24"/>
        </w:rPr>
      </w:pPr>
    </w:p>
    <w:p w14:paraId="285CF08E">
      <w:pPr>
        <w:spacing w:line="360" w:lineRule="auto"/>
        <w:ind w:firstLine="420" w:firstLineChars="0"/>
        <w:rPr>
          <w:rFonts w:hint="eastAsia" w:ascii="Calibri" w:hAnsi="Calibri" w:eastAsia="宋体"/>
          <w:sz w:val="24"/>
          <w:szCs w:val="24"/>
          <w:lang w:val="en-US" w:eastAsia="zh-CN"/>
        </w:rPr>
      </w:pPr>
      <w:r>
        <w:rPr>
          <w:rFonts w:hint="eastAsia" w:ascii="Calibri" w:hAnsi="Calibri" w:eastAsia="宋体"/>
          <w:sz w:val="24"/>
          <w:szCs w:val="24"/>
          <w:lang w:val="en-US" w:eastAsia="zh-CN"/>
        </w:rPr>
        <w:t>本发明还提供一种基于评测尺度自校准与分阶段裁决的多模型输出对比评测系统</w:t>
      </w:r>
      <w:r>
        <w:rPr>
          <w:rFonts w:hint="eastAsia" w:ascii="Calibri" w:hAnsi="Calibri"/>
          <w:sz w:val="24"/>
          <w:szCs w:val="24"/>
          <w:lang w:val="en-US" w:eastAsia="zh-CN"/>
        </w:rPr>
        <w:t>100</w:t>
      </w:r>
      <w:r>
        <w:rPr>
          <w:rFonts w:hint="eastAsia" w:ascii="Calibri" w:hAnsi="Calibri" w:eastAsia="宋体"/>
          <w:sz w:val="24"/>
          <w:szCs w:val="24"/>
          <w:lang w:val="en-US" w:eastAsia="zh-CN"/>
        </w:rPr>
        <w:t xml:space="preserve">，所述系统包括： </w:t>
      </w:r>
    </w:p>
    <w:p w14:paraId="6CCCF8F9">
      <w:pPr>
        <w:spacing w:line="360" w:lineRule="auto"/>
        <w:ind w:firstLine="420" w:firstLineChars="0"/>
        <w:rPr>
          <w:rFonts w:hint="eastAsia" w:ascii="Calibri" w:hAnsi="Calibri" w:eastAsia="宋体"/>
          <w:sz w:val="24"/>
          <w:szCs w:val="24"/>
          <w:lang w:val="en-US" w:eastAsia="zh-CN"/>
        </w:rPr>
      </w:pPr>
      <w:r>
        <w:rPr>
          <w:rFonts w:hint="eastAsia" w:ascii="Calibri" w:hAnsi="Calibri" w:eastAsia="宋体"/>
          <w:sz w:val="24"/>
          <w:szCs w:val="24"/>
          <w:lang w:val="en-US" w:eastAsia="zh-CN"/>
        </w:rPr>
        <w:t>评测尺度自校准模块</w:t>
      </w:r>
      <w:r>
        <w:rPr>
          <w:rFonts w:hint="eastAsia" w:ascii="Calibri" w:hAnsi="Calibri"/>
          <w:sz w:val="24"/>
          <w:szCs w:val="24"/>
          <w:lang w:val="en-US" w:eastAsia="zh-CN"/>
        </w:rPr>
        <w:t>121</w:t>
      </w:r>
      <w:r>
        <w:rPr>
          <w:rFonts w:hint="eastAsia" w:ascii="Calibri" w:hAnsi="Calibri" w:eastAsia="宋体"/>
          <w:sz w:val="24"/>
          <w:szCs w:val="24"/>
          <w:lang w:val="en-US" w:eastAsia="zh-CN"/>
        </w:rPr>
        <w:t xml:space="preserve">：用于基于历史人工精标数据，通过大语言模型结合规则推理算法自动提取尺度特征并构建包含胜利模式知识库和失败触发器知识库的双知识库； </w:t>
      </w:r>
    </w:p>
    <w:p w14:paraId="12CEC217">
      <w:pPr>
        <w:spacing w:line="360" w:lineRule="auto"/>
        <w:ind w:firstLine="420" w:firstLineChars="0"/>
        <w:rPr>
          <w:rFonts w:hint="eastAsia" w:ascii="Calibri" w:hAnsi="Calibri" w:eastAsia="宋体"/>
          <w:sz w:val="24"/>
          <w:szCs w:val="24"/>
          <w:lang w:val="en-US" w:eastAsia="zh-CN"/>
        </w:rPr>
      </w:pPr>
      <w:r>
        <w:rPr>
          <w:rFonts w:hint="eastAsia" w:ascii="Calibri" w:hAnsi="Calibri" w:eastAsia="宋体"/>
          <w:sz w:val="24"/>
          <w:szCs w:val="24"/>
          <w:lang w:val="en-US" w:eastAsia="zh-CN"/>
        </w:rPr>
        <w:t>单模型结构化标注模块</w:t>
      </w:r>
      <w:r>
        <w:rPr>
          <w:rFonts w:hint="eastAsia" w:ascii="Calibri" w:hAnsi="Calibri"/>
          <w:sz w:val="24"/>
          <w:szCs w:val="24"/>
          <w:lang w:val="en-US" w:eastAsia="zh-CN"/>
        </w:rPr>
        <w:t>330</w:t>
      </w:r>
      <w:r>
        <w:rPr>
          <w:rFonts w:hint="eastAsia" w:ascii="Calibri" w:hAnsi="Calibri" w:eastAsia="宋体"/>
          <w:sz w:val="24"/>
          <w:szCs w:val="24"/>
          <w:lang w:val="en-US" w:eastAsia="zh-CN"/>
        </w:rPr>
        <w:t xml:space="preserve">：用于加载所述评测尺度约束信息及双知识库，由大语言模型对各待评测模型的回答执行双向识别，输出包含主要问题标签清单与核心优势清单的结构化标注结果； </w:t>
      </w:r>
    </w:p>
    <w:p w14:paraId="660B7413">
      <w:pPr>
        <w:spacing w:line="360" w:lineRule="auto"/>
        <w:ind w:firstLine="420" w:firstLineChars="0"/>
        <w:rPr>
          <w:rFonts w:hint="eastAsia" w:ascii="Calibri" w:hAnsi="Calibri" w:eastAsia="宋体"/>
          <w:sz w:val="24"/>
          <w:szCs w:val="24"/>
          <w:lang w:val="en-US" w:eastAsia="zh-CN"/>
        </w:rPr>
      </w:pPr>
      <w:r>
        <w:rPr>
          <w:rFonts w:hint="eastAsia" w:ascii="Calibri" w:hAnsi="Calibri" w:eastAsia="宋体"/>
          <w:sz w:val="24"/>
          <w:szCs w:val="24"/>
          <w:lang w:val="en-US" w:eastAsia="zh-CN"/>
        </w:rPr>
        <w:t>规则映射模块</w:t>
      </w:r>
      <w:r>
        <w:rPr>
          <w:rFonts w:hint="eastAsia" w:ascii="Calibri" w:hAnsi="Calibri"/>
          <w:sz w:val="24"/>
          <w:szCs w:val="24"/>
          <w:lang w:val="en-US" w:eastAsia="zh-CN"/>
        </w:rPr>
        <w:t>340</w:t>
      </w:r>
      <w:r>
        <w:rPr>
          <w:rFonts w:hint="eastAsia" w:ascii="Calibri" w:hAnsi="Calibri" w:eastAsia="宋体"/>
          <w:sz w:val="24"/>
          <w:szCs w:val="24"/>
          <w:lang w:val="en-US" w:eastAsia="zh-CN"/>
        </w:rPr>
        <w:t xml:space="preserve">：用于基于所述结构化标注结果，结合所述评测尺度约束信息与双知识库，自动映射生成各个待评测模型的严重度等级、优势等级与合格率； </w:t>
      </w:r>
    </w:p>
    <w:p w14:paraId="5A2ACF60">
      <w:pPr>
        <w:spacing w:line="360" w:lineRule="auto"/>
        <w:ind w:firstLine="420" w:firstLineChars="0"/>
        <w:rPr>
          <w:rFonts w:hint="eastAsia" w:ascii="Calibri" w:hAnsi="Calibri" w:eastAsia="宋体"/>
          <w:sz w:val="24"/>
          <w:szCs w:val="24"/>
          <w:lang w:val="en-US" w:eastAsia="zh-CN"/>
        </w:rPr>
      </w:pPr>
      <w:r>
        <w:rPr>
          <w:rFonts w:hint="eastAsia" w:ascii="Calibri" w:hAnsi="Calibri" w:eastAsia="宋体"/>
          <w:sz w:val="24"/>
          <w:szCs w:val="24"/>
          <w:lang w:val="en-US" w:eastAsia="zh-CN"/>
        </w:rPr>
        <w:t>双模型对比评估模块</w:t>
      </w:r>
      <w:r>
        <w:rPr>
          <w:rFonts w:hint="eastAsia" w:ascii="Calibri" w:hAnsi="Calibri"/>
          <w:sz w:val="24"/>
          <w:szCs w:val="24"/>
          <w:lang w:val="en-US" w:eastAsia="zh-CN"/>
        </w:rPr>
        <w:t>350</w:t>
      </w:r>
      <w:r>
        <w:rPr>
          <w:rFonts w:hint="eastAsia" w:ascii="Calibri" w:hAnsi="Calibri" w:eastAsia="宋体"/>
          <w:sz w:val="24"/>
          <w:szCs w:val="24"/>
          <w:lang w:val="en-US" w:eastAsia="zh-CN"/>
        </w:rPr>
        <w:t xml:space="preserve">：用于基于所述规则映射结果，结合双知识库，执行基础指标对比、核心特征对比与主要问题对比，生成客观对比评估结果； </w:t>
      </w:r>
    </w:p>
    <w:p w14:paraId="68826955">
      <w:pPr>
        <w:spacing w:line="360" w:lineRule="auto"/>
        <w:ind w:firstLine="420" w:firstLineChars="0"/>
        <w:rPr>
          <w:rFonts w:hint="eastAsia" w:ascii="Calibri" w:hAnsi="Calibri" w:eastAsia="宋体"/>
          <w:sz w:val="24"/>
          <w:szCs w:val="24"/>
          <w:lang w:val="en-US" w:eastAsia="zh-CN"/>
        </w:rPr>
      </w:pPr>
      <w:r>
        <w:rPr>
          <w:rFonts w:hint="eastAsia" w:ascii="Calibri" w:hAnsi="Calibri" w:eastAsia="宋体"/>
          <w:sz w:val="24"/>
          <w:szCs w:val="24"/>
          <w:lang w:val="en-US" w:eastAsia="zh-CN"/>
        </w:rPr>
        <w:t>多维度裁决推理模块</w:t>
      </w:r>
      <w:r>
        <w:rPr>
          <w:rFonts w:hint="eastAsia" w:ascii="Calibri" w:hAnsi="Calibri"/>
          <w:sz w:val="24"/>
          <w:szCs w:val="24"/>
          <w:lang w:val="en-US" w:eastAsia="zh-CN"/>
        </w:rPr>
        <w:t>360</w:t>
      </w:r>
      <w:r>
        <w:rPr>
          <w:rFonts w:hint="eastAsia" w:ascii="Calibri" w:hAnsi="Calibri" w:eastAsia="宋体"/>
          <w:sz w:val="24"/>
          <w:szCs w:val="24"/>
          <w:lang w:val="en-US" w:eastAsia="zh-CN"/>
        </w:rPr>
        <w:t xml:space="preserve">：用于仅基于所述对比评估结果与双知识库，按照预设的优先级逻辑进行最终胜负判定，并输出裁决结果及溯源说明。 </w:t>
      </w:r>
    </w:p>
    <w:p w14:paraId="1514640F">
      <w:pPr>
        <w:spacing w:line="360" w:lineRule="auto"/>
        <w:ind w:firstLine="420" w:firstLineChars="0"/>
        <w:rPr>
          <w:rFonts w:hint="eastAsia" w:ascii="Calibri" w:hAnsi="Calibri" w:eastAsia="宋体"/>
          <w:sz w:val="24"/>
          <w:szCs w:val="24"/>
        </w:rPr>
      </w:pPr>
      <w:r>
        <w:rPr>
          <w:rFonts w:hint="eastAsia" w:ascii="Calibri" w:hAnsi="Calibri" w:eastAsia="宋体"/>
          <w:sz w:val="24"/>
          <w:szCs w:val="24"/>
          <w:lang w:val="en-US" w:eastAsia="zh-CN"/>
        </w:rPr>
        <w:t>进一步地，所述系统</w:t>
      </w:r>
      <w:r>
        <w:rPr>
          <w:rFonts w:hint="eastAsia" w:ascii="Calibri" w:hAnsi="Calibri"/>
          <w:sz w:val="24"/>
          <w:szCs w:val="24"/>
          <w:lang w:val="en-US" w:eastAsia="zh-CN"/>
        </w:rPr>
        <w:t>100</w:t>
      </w:r>
      <w:r>
        <w:rPr>
          <w:rFonts w:hint="eastAsia" w:ascii="Calibri" w:hAnsi="Calibri" w:eastAsia="宋体"/>
          <w:sz w:val="24"/>
          <w:szCs w:val="24"/>
          <w:lang w:val="en-US" w:eastAsia="zh-CN"/>
        </w:rPr>
        <w:t>还包括知识库动态更新模块，用于定期收集新增精标数据，通过大语言模型自动学习新增数据特征以动态更新所述双知识库和评测尺度约束信息。</w:t>
      </w:r>
    </w:p>
    <w:p w14:paraId="5D5A87BC">
      <w:pPr>
        <w:rPr>
          <w:rFonts w:hint="eastAsia" w:ascii="Calibri" w:hAnsi="Calibri" w:eastAsia="宋体"/>
          <w:szCs w:val="24"/>
        </w:rPr>
      </w:pPr>
    </w:p>
    <w:p w14:paraId="4CD2F0F7">
      <w:pPr>
        <w:rPr>
          <w:rFonts w:hint="eastAsia" w:ascii="Calibri" w:hAnsi="Calibri" w:eastAsia="黑体"/>
          <w:szCs w:val="24"/>
          <w:lang w:eastAsia="zh-CN"/>
        </w:rPr>
      </w:pPr>
      <w:r>
        <w:rPr>
          <w:rFonts w:hint="eastAsia" w:ascii="Arial" w:hAnsi="Arial" w:eastAsia="黑体"/>
          <w:b/>
          <w:sz w:val="28"/>
          <w:szCs w:val="24"/>
          <w:lang w:eastAsia="zh-CN"/>
        </w:rPr>
        <w:t>【</w:t>
      </w:r>
      <w:r>
        <w:rPr>
          <w:rFonts w:hint="eastAsia" w:ascii="Arial" w:hAnsi="Arial" w:eastAsia="黑体"/>
          <w:b/>
          <w:sz w:val="28"/>
          <w:szCs w:val="24"/>
        </w:rPr>
        <w:t>有益效果</w:t>
      </w:r>
      <w:r>
        <w:rPr>
          <w:rFonts w:hint="eastAsia" w:ascii="Arial" w:hAnsi="Arial" w:eastAsia="黑体"/>
          <w:b/>
          <w:sz w:val="28"/>
          <w:szCs w:val="24"/>
          <w:lang w:eastAsia="zh-CN"/>
        </w:rPr>
        <w:t>】</w:t>
      </w:r>
    </w:p>
    <w:p w14:paraId="20B51E2B">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本发明与现有技术相比具有以下有益效果：</w:t>
      </w:r>
    </w:p>
    <w:p w14:paraId="02AF51D7">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1. 评测尺度动态自校准：基于历史人工精标数据，自动学习评测标准、问题标签与合格率的映射关系、场景化容忍阈值及标注偏好，同步构建胜利模式知识库与失败触发器知识库，将隐性人工经验转化为显性规则，从源头避免尺度漂移，保障跨批次、跨场景评测的一致性。</w:t>
      </w:r>
    </w:p>
    <w:p w14:paraId="5BB9A3D0">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2. 思维链递进式标注链路：创新设计"单模型结构化标注→规则映射→双模型对比评估→多维度裁决推理"的分层流程，整合双知识库，各阶段输出明确的结构化数据，形成完整的推理证据链，支持跨环节追溯与人工复检，解决传统单步裁决的"黑箱"问题。</w:t>
      </w:r>
    </w:p>
    <w:p w14:paraId="12147261">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3. 事实与裁决分离机制：将评测拆分为独立的事实提取（含缺陷与优势）与裁决推理环节，事实提取仅基于双知识库提取模型输出的客观特征并结构化存储，裁决环节仅基于提取的事实进行判定，不访问原始输出，避免表面信息干扰，提升结果客观性与可解释性。</w:t>
      </w:r>
    </w:p>
    <w:p w14:paraId="7EB463E6">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4. 人工经验结构化复用：通过尺度自校准模块与双知识库，将标注员识别核心优势、致命缺陷的隐性经验转化为显性的约束信息，支持通过新增精标数据定期更新校准标准与知识库，实现人工经验的持续沉淀与规模化复用。</w:t>
      </w:r>
    </w:p>
    <w:p w14:paraId="7F4F62D1">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5. 多场景灵活扩展：核心流程架构不变，通过模块替换与知识库配置调整，可快速适配多模态、医疗</w:t>
      </w:r>
      <w:r>
        <w:rPr>
          <w:rFonts w:hint="eastAsia" w:ascii="Calibri" w:hAnsi="Calibri" w:eastAsia="宋体"/>
          <w:sz w:val="24"/>
          <w:szCs w:val="24"/>
          <w:lang w:eastAsia="zh-CN"/>
        </w:rPr>
        <w:t>、</w:t>
      </w:r>
      <w:r>
        <w:rPr>
          <w:rFonts w:hint="eastAsia" w:ascii="Calibri" w:hAnsi="Calibri" w:eastAsia="宋体"/>
          <w:sz w:val="24"/>
          <w:szCs w:val="24"/>
        </w:rPr>
        <w:t>金融等领域垂类、跨语言等场景，拓宽评测适用范围。</w:t>
      </w:r>
    </w:p>
    <w:p w14:paraId="58DB7D44">
      <w:pPr>
        <w:rPr>
          <w:rFonts w:hint="eastAsia" w:ascii="Calibri" w:hAnsi="Calibri" w:eastAsia="宋体"/>
          <w:szCs w:val="24"/>
        </w:rPr>
      </w:pPr>
    </w:p>
    <w:p w14:paraId="0A0036DC">
      <w:pPr>
        <w:rPr>
          <w:rFonts w:hint="eastAsia" w:ascii="Calibri" w:hAnsi="Calibri" w:eastAsia="宋体"/>
          <w:szCs w:val="24"/>
          <w:lang w:eastAsia="zh-CN"/>
        </w:rPr>
      </w:pPr>
      <w:r>
        <w:rPr>
          <w:rFonts w:hint="eastAsia" w:ascii="Calibri" w:hAnsi="Calibri"/>
          <w:b/>
          <w:sz w:val="32"/>
          <w:szCs w:val="24"/>
          <w:lang w:eastAsia="zh-CN"/>
        </w:rPr>
        <w:t>【</w:t>
      </w:r>
      <w:r>
        <w:rPr>
          <w:rFonts w:hint="eastAsia" w:ascii="Calibri" w:hAnsi="Calibri" w:eastAsia="宋体"/>
          <w:b/>
          <w:sz w:val="32"/>
          <w:szCs w:val="24"/>
        </w:rPr>
        <w:t>附图说明</w:t>
      </w:r>
      <w:r>
        <w:rPr>
          <w:rFonts w:hint="eastAsia" w:ascii="Calibri" w:hAnsi="Calibri"/>
          <w:b/>
          <w:sz w:val="32"/>
          <w:szCs w:val="24"/>
          <w:lang w:eastAsia="zh-CN"/>
        </w:rPr>
        <w:t>】</w:t>
      </w:r>
    </w:p>
    <w:p w14:paraId="6A8A9F62">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图1是本发明</w:t>
      </w:r>
      <w:r>
        <w:rPr>
          <w:rFonts w:hint="eastAsia" w:ascii="Calibri" w:hAnsi="Calibri" w:eastAsia="宋体"/>
          <w:sz w:val="24"/>
          <w:szCs w:val="24"/>
          <w:lang w:val="en-US" w:eastAsia="zh-CN"/>
        </w:rPr>
        <w:t>的系统整体架构图</w:t>
      </w:r>
      <w:r>
        <w:rPr>
          <w:rFonts w:hint="eastAsia" w:ascii="Calibri" w:hAnsi="Calibri" w:eastAsia="宋体"/>
          <w:sz w:val="24"/>
          <w:szCs w:val="24"/>
        </w:rPr>
        <w:t>；</w:t>
      </w:r>
    </w:p>
    <w:p w14:paraId="56F9D7BD">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图2是本发明评测尺度自校准模块架构图；</w:t>
      </w:r>
    </w:p>
    <w:p w14:paraId="7B026E3E">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图3是本发明多阶段思维链递进式评测链路流程图；</w:t>
      </w:r>
    </w:p>
    <w:p w14:paraId="5554A1C9">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图4是本发明实施方式二的动态更新双知识库优化版评测方案流程图；</w:t>
      </w:r>
    </w:p>
    <w:p w14:paraId="6D970C27">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图5是本发明基础版与动态优化版对比图。</w:t>
      </w:r>
    </w:p>
    <w:p w14:paraId="5FB418D8">
      <w:pPr>
        <w:ind w:firstLine="420" w:firstLineChars="0"/>
        <w:rPr>
          <w:rFonts w:hint="eastAsia" w:ascii="Calibri" w:hAnsi="Calibri" w:eastAsia="宋体"/>
          <w:szCs w:val="24"/>
        </w:rPr>
      </w:pPr>
    </w:p>
    <w:p w14:paraId="2A0A6D20">
      <w:pPr>
        <w:rPr>
          <w:rFonts w:hint="eastAsia" w:ascii="Calibri" w:hAnsi="Calibri" w:eastAsia="宋体"/>
          <w:szCs w:val="24"/>
          <w:lang w:eastAsia="zh-CN"/>
        </w:rPr>
      </w:pPr>
      <w:r>
        <w:rPr>
          <w:rFonts w:hint="eastAsia" w:ascii="Calibri" w:hAnsi="Calibri"/>
          <w:b/>
          <w:sz w:val="32"/>
          <w:szCs w:val="24"/>
          <w:lang w:eastAsia="zh-CN"/>
        </w:rPr>
        <w:t>【</w:t>
      </w:r>
      <w:r>
        <w:rPr>
          <w:rFonts w:hint="eastAsia" w:ascii="Calibri" w:hAnsi="Calibri" w:eastAsia="宋体"/>
          <w:b/>
          <w:sz w:val="32"/>
          <w:szCs w:val="24"/>
        </w:rPr>
        <w:t>具体实施方式</w:t>
      </w:r>
      <w:r>
        <w:rPr>
          <w:rFonts w:hint="eastAsia" w:ascii="Calibri" w:hAnsi="Calibri"/>
          <w:b/>
          <w:sz w:val="32"/>
          <w:szCs w:val="24"/>
          <w:lang w:eastAsia="zh-CN"/>
        </w:rPr>
        <w:t>】</w:t>
      </w:r>
    </w:p>
    <w:p w14:paraId="3680B4C4">
      <w:pPr>
        <w:spacing w:line="360" w:lineRule="auto"/>
        <w:ind w:firstLine="420" w:firstLineChars="0"/>
        <w:rPr>
          <w:rFonts w:hint="eastAsia" w:ascii="Calibri" w:hAnsi="Calibri" w:eastAsia="宋体"/>
          <w:szCs w:val="24"/>
        </w:rPr>
      </w:pPr>
      <w:r>
        <w:rPr>
          <w:rFonts w:hint="eastAsia" w:ascii="Calibri" w:hAnsi="Calibri" w:eastAsia="宋体"/>
          <w:sz w:val="24"/>
          <w:szCs w:val="24"/>
          <w:lang w:val="en-US" w:eastAsia="zh-CN"/>
        </w:rPr>
        <w:t>本发明具体实施流程结合附图及具体实施方式对本发明作进一步详细说明。</w:t>
      </w:r>
    </w:p>
    <w:p w14:paraId="59806560">
      <w:pPr>
        <w:rPr>
          <w:rFonts w:hint="eastAsia" w:ascii="Calibri" w:hAnsi="Calibri" w:eastAsia="宋体"/>
          <w:szCs w:val="24"/>
        </w:rPr>
      </w:pPr>
      <w:r>
        <w:rPr>
          <w:rFonts w:hint="eastAsia" w:ascii="Arial" w:hAnsi="Arial" w:eastAsia="黑体"/>
          <w:b/>
          <w:sz w:val="28"/>
          <w:szCs w:val="24"/>
        </w:rPr>
        <w:t>实施例一：固定双知识库基础版评测方案</w:t>
      </w:r>
    </w:p>
    <w:p w14:paraId="08D66160">
      <w:pPr>
        <w:spacing w:line="360" w:lineRule="auto"/>
        <w:ind w:firstLine="420" w:firstLineChars="0"/>
        <w:rPr>
          <w:rFonts w:hint="eastAsia" w:ascii="Calibri" w:hAnsi="Calibri" w:eastAsia="宋体"/>
          <w:sz w:val="24"/>
          <w:szCs w:val="24"/>
        </w:rPr>
      </w:pPr>
      <w:r>
        <w:rPr>
          <w:rFonts w:hint="eastAsia" w:ascii="Calibri" w:hAnsi="Calibri" w:eastAsia="宋体"/>
          <w:sz w:val="24"/>
          <w:szCs w:val="24"/>
          <w:lang w:val="en-US" w:eastAsia="zh-CN"/>
        </w:rPr>
        <w:t>如图1所示的系统整体架构图，本实施例提供了一种系统100，包含数据输入层110、核心处理层120与结果输出层130。本实施例为核心基础方案，通过固定的胜利模式与失败触发器双知识库与完整的思维链标注链路122，实现多模型对比评测的标准化、自动化执行。</w:t>
      </w:r>
    </w:p>
    <w:p w14:paraId="3159CA57">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步骤1：双知识库初始化</w:t>
      </w:r>
      <w:r>
        <w:rPr>
          <w:rFonts w:hint="eastAsia" w:ascii="Calibri" w:hAnsi="Calibri" w:eastAsia="宋体"/>
          <w:sz w:val="24"/>
          <w:szCs w:val="24"/>
          <w:lang w:val="en-US" w:eastAsia="zh-CN"/>
        </w:rPr>
        <w:t>（对应步骤S1）</w:t>
      </w:r>
    </w:p>
    <w:p w14:paraId="4478B1C0">
      <w:pPr>
        <w:spacing w:line="360" w:lineRule="auto"/>
        <w:ind w:firstLine="420" w:firstLineChars="0"/>
        <w:rPr>
          <w:rFonts w:hint="eastAsia" w:ascii="Calibri" w:hAnsi="Calibri" w:eastAsia="宋体"/>
          <w:sz w:val="24"/>
          <w:szCs w:val="24"/>
        </w:rPr>
      </w:pPr>
      <w:r>
        <w:rPr>
          <w:rFonts w:hint="eastAsia" w:ascii="Calibri" w:hAnsi="Calibri" w:eastAsia="宋体"/>
          <w:sz w:val="24"/>
          <w:szCs w:val="24"/>
          <w:lang w:val="en-US" w:eastAsia="zh-CN"/>
        </w:rPr>
        <w:t>如图2所示的评测尺度自校准模块工作流程图，基于精标数据输入层210传入的历史精标数据，在特征学习层220预先构建固定的双结构化知识库，并在输出层230输出：</w:t>
      </w:r>
    </w:p>
    <w:p w14:paraId="7C658283">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胜利模式知识库示例：</w:t>
      </w:r>
    </w:p>
    <w:p w14:paraId="6388C1B9">
      <w:pPr>
        <w:rPr>
          <w:rFonts w:hint="eastAsia" w:ascii="Songti SC Regular" w:hAnsi="Songti SC Regular" w:eastAsia="Songti SC Regular" w:cs="Songti SC Regular"/>
          <w:color w:val="auto"/>
          <w:szCs w:val="24"/>
        </w:rPr>
      </w:pPr>
      <w:r>
        <w:rPr>
          <w:rFonts w:hint="eastAsia" w:ascii="Songti SC Regular" w:hAnsi="Songti SC Regular" w:eastAsia="Songti SC Regular" w:cs="Songti SC Regular"/>
          <w:color w:val="auto"/>
          <w:szCs w:val="24"/>
          <w:lang w:val="en-US" w:eastAsia="zh-CN"/>
        </w:rPr>
        <w:t>[</w:t>
      </w:r>
    </w:p>
    <w:p w14:paraId="79B31481">
      <w:pPr>
        <w:ind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w:t>
      </w:r>
    </w:p>
    <w:p w14:paraId="1A49BB57">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"pattern_name": "认知边界声明",</w:t>
      </w:r>
    </w:p>
    <w:p w14:paraId="58A2EF6E">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"description": "在回答不确定性问题时，大模型A主动声明知识边界并给出置信度提示，而大模型B倾向于给出看似确定但实为推测的答案，导致用户产生误判",</w:t>
      </w:r>
    </w:p>
    <w:p w14:paraId="476BEF6C">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"trigger_scenario": "时效性问题、小众领域专业问题、预测性问题",</w:t>
      </w:r>
    </w:p>
    <w:p w14:paraId="395BBB04">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"competitive_contrast": "大模型B在此类问题上过度自信，大模型A的谨慎反而获得更高可信度评分",</w:t>
      </w:r>
    </w:p>
    <w:p w14:paraId="0E64A0FB">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"type": "win_pattern",</w:t>
      </w:r>
    </w:p>
    <w:p w14:paraId="40A9A630">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"direction": "positive",</w:t>
      </w:r>
    </w:p>
    <w:p w14:paraId="48F3055B">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"weight": "高"</w:t>
      </w:r>
    </w:p>
    <w:p w14:paraId="7CF2CDB7">
      <w:pPr>
        <w:ind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w:t>
      </w:r>
    </w:p>
    <w:p w14:paraId="6E7A4517">
      <w:pPr>
        <w:ind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w:t>
      </w:r>
    </w:p>
    <w:p w14:paraId="1C38AFE5">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"pattern_name": "意图二义性主动澄清",</w:t>
      </w:r>
    </w:p>
    <w:p w14:paraId="094A75A4">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"description": "当用户prompt存在多种合理解读时，大模型A能识别歧义并分支作答或主动询问，而大模型B倾向于选择字面意思最近的解读直接回答",</w:t>
      </w:r>
    </w:p>
    <w:p w14:paraId="026E7DA8">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"trigger_scenario": "含代词指代不明的问题、跨领域同名概念、隐含前提问题",</w:t>
      </w:r>
    </w:p>
    <w:p w14:paraId="162A2EE6">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"competitive_contrast": "大模型B单线程解读导致答非所问，大模型A的分支处理获得更高满意度",</w:t>
      </w:r>
    </w:p>
    <w:p w14:paraId="3C8EB0EF">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"type": "win_pattern",</w:t>
      </w:r>
    </w:p>
    <w:p w14:paraId="1597D9EB">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"direction": "positive",</w:t>
      </w:r>
    </w:p>
    <w:p w14:paraId="0C6DD63E">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"weight": "中"</w:t>
      </w:r>
    </w:p>
    <w:p w14:paraId="5DE0B468">
      <w:pPr>
        <w:ind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w:t>
      </w:r>
    </w:p>
    <w:p w14:paraId="7CAD26DE">
      <w:pPr>
        <w:ind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w:t>
      </w:r>
    </w:p>
    <w:p w14:paraId="6666B2CD">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"pattern_name": "情绪语境适配",</w:t>
      </w:r>
    </w:p>
    <w:p w14:paraId="18DD7782">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"description": "识别用户prompt中的情绪信号，在提供信息的同时匹配相应的语气和共情表达，而非纯信息输出",</w:t>
      </w:r>
    </w:p>
    <w:p w14:paraId="59295501">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"trigger_scenario": "求助类问题、压力场景描述、负面情绪词汇出现",</w:t>
      </w:r>
    </w:p>
    <w:p w14:paraId="4D9BB77B">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"competitive_contrast": "大模型B在情绪化prompt下仍输出冷冰冰的信息流，大模型A的情感适配获得显著优势",</w:t>
      </w:r>
    </w:p>
    <w:p w14:paraId="6F3EC620">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"type": "win_pattern",</w:t>
      </w:r>
    </w:p>
    <w:p w14:paraId="39EAC9FC">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"direction": "positive",</w:t>
      </w:r>
    </w:p>
    <w:p w14:paraId="4D8A16A9">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"weight": "中"</w:t>
      </w:r>
    </w:p>
    <w:p w14:paraId="48A5A95A">
      <w:pPr>
        <w:ind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w:t>
      </w:r>
    </w:p>
    <w:p w14:paraId="7FF0A060">
      <w:pPr>
        <w:ind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w:t>
      </w:r>
    </w:p>
    <w:p w14:paraId="31DCF9B0">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"pattern_name": "反常识命题主动校验",</w:t>
      </w:r>
    </w:p>
    <w:p w14:paraId="2DC86123">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"description": "当用户问题隐含错误前提时，大模型A在回答前先纠正前提错误，再提供正确引导，而大模型B倾向于顺着错误前提作答",</w:t>
      </w:r>
    </w:p>
    <w:p w14:paraId="0CB6AFE5">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"trigger_scenario": "包含错误因果关系的问题、基于过时信息的提问、反科学前提",</w:t>
      </w:r>
    </w:p>
    <w:p w14:paraId="6CC35498">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"competitive_contrast": "大模型B的顺从性回答强化了用户错误认知，大模型A的纠偏行为获得更高专业度评分",</w:t>
      </w:r>
    </w:p>
    <w:p w14:paraId="7D99E225">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"type": "win_pattern",</w:t>
      </w:r>
    </w:p>
    <w:p w14:paraId="2B39291D">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"direction": "positive",</w:t>
      </w:r>
    </w:p>
    <w:p w14:paraId="1BD0AA06">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"weight": "高"</w:t>
      </w:r>
    </w:p>
    <w:p w14:paraId="2E29351D">
      <w:pPr>
        <w:ind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w:t>
      </w:r>
    </w:p>
    <w:p w14:paraId="39C6D653">
      <w:pPr>
        <w:rPr>
          <w:rFonts w:hint="eastAsia" w:ascii="Songti SC Regular" w:hAnsi="Songti SC Regular" w:eastAsia="Songti SC Regular" w:cs="Songti SC Regular"/>
          <w:color w:val="auto"/>
          <w:szCs w:val="24"/>
        </w:rPr>
      </w:pPr>
      <w:r>
        <w:rPr>
          <w:rFonts w:hint="eastAsia" w:ascii="Songti SC Regular" w:hAnsi="Songti SC Regular" w:eastAsia="Songti SC Regular" w:cs="Songti SC Regular"/>
          <w:color w:val="auto"/>
          <w:szCs w:val="24"/>
          <w:lang w:val="en-US" w:eastAsia="zh-CN"/>
        </w:rPr>
        <w:t>]</w:t>
      </w:r>
    </w:p>
    <w:p w14:paraId="7EAD0E14">
      <w:pPr>
        <w:rPr>
          <w:rFonts w:hint="eastAsia" w:ascii="Songti SC Regular" w:hAnsi="Songti SC Regular" w:eastAsia="Songti SC Regular" w:cs="Songti SC Regular"/>
          <w:szCs w:val="24"/>
        </w:rPr>
      </w:pPr>
    </w:p>
    <w:p w14:paraId="0812CFE8">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失败触发器知识库示例：</w:t>
      </w:r>
    </w:p>
    <w:p w14:paraId="7DBE4AE5">
      <w:pPr>
        <w:rPr>
          <w:rFonts w:hint="eastAsia" w:ascii="Songti SC Regular" w:hAnsi="Songti SC Regular" w:eastAsia="Songti SC Regular" w:cs="Songti SC Regular"/>
          <w:color w:val="auto"/>
          <w:szCs w:val="24"/>
        </w:rPr>
      </w:pPr>
      <w:r>
        <w:rPr>
          <w:rFonts w:hint="eastAsia" w:ascii="Songti SC Regular" w:hAnsi="Songti SC Regular" w:eastAsia="Songti SC Regular" w:cs="Songti SC Regular"/>
          <w:color w:val="auto"/>
          <w:szCs w:val="24"/>
          <w:lang w:val="en-US" w:eastAsia="zh-CN"/>
        </w:rPr>
        <w:t>[</w:t>
      </w:r>
    </w:p>
    <w:p w14:paraId="78A6BCB8">
      <w:pPr>
        <w:ind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w:t>
      </w:r>
    </w:p>
    <w:p w14:paraId="4A08DFB7">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"pattern_name": "过度安全拒绝",</w:t>
      </w:r>
    </w:p>
    <w:p w14:paraId="65299D71">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"description": "对正常合理的请求触发了不必要的安全审查拒绝，将无害的创意写作、学术讨论、假设性问题误判为危险请求",</w:t>
      </w:r>
    </w:p>
    <w:p w14:paraId="64C5BADD">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"trigger_scenario": "反事实假设问题、涉及敏感词但无害的学术问题、影视作品情节讨论",</w:t>
      </w:r>
    </w:p>
    <w:p w14:paraId="64A64F94">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"competitive_contrast": "过度敏感的安全策略导致拒绝率虚高，大模型B在相同问题上正常作答，造成用户体验断崖式下跌",</w:t>
      </w:r>
    </w:p>
    <w:p w14:paraId="0F190BF2">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"type": "loss_trigger",</w:t>
      </w:r>
    </w:p>
    <w:p w14:paraId="052D73E5">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"direction": "negative",</w:t>
      </w:r>
    </w:p>
    <w:p w14:paraId="5B31D5D3">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"weight": "不合格"</w:t>
      </w:r>
    </w:p>
    <w:p w14:paraId="7438F549">
      <w:pPr>
        <w:ind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w:t>
      </w:r>
    </w:p>
    <w:p w14:paraId="049F9FE1">
      <w:pPr>
        <w:ind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w:t>
      </w:r>
    </w:p>
    <w:p w14:paraId="30C9352D">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"pattern_name": "幂等问题发散退化",</w:t>
      </w:r>
    </w:p>
    <w:p w14:paraId="7B9A10B3">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"description": "对于有明确唯一答案的问题，输出了多个互相矛盾的可能答案，将「收敛性问题」处理成了「发散性问题」",</w:t>
      </w:r>
    </w:p>
    <w:p w14:paraId="17F230D6">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"trigger_scenario": "数学计算题、有标准答案的事实性问题、代码逻辑判断",</w:t>
      </w:r>
    </w:p>
    <w:p w14:paraId="2D4FADD9">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"competitive_contrast": "模型的不确定性被不当外露，导致用户对答案真实性产生怀疑，大模型B在此类问题上输出更为确定",</w:t>
      </w:r>
    </w:p>
    <w:p w14:paraId="670E2C7B">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"type": "loss_trigger",</w:t>
      </w:r>
    </w:p>
    <w:p w14:paraId="79DE5E5D">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"direction": "negative",</w:t>
      </w:r>
    </w:p>
    <w:p w14:paraId="4CD14C91">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"weight": "较差"</w:t>
      </w:r>
    </w:p>
    <w:p w14:paraId="7C0D95A7">
      <w:pPr>
        <w:ind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w:t>
      </w:r>
    </w:p>
    <w:p w14:paraId="5B392357">
      <w:pPr>
        <w:ind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w:t>
      </w:r>
    </w:p>
    <w:p w14:paraId="77BBA098">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"pattern_name": "角色人格漂移",</w:t>
      </w:r>
    </w:p>
    <w:p w14:paraId="6DB46F77">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"description": "在多轮对话中，模型的语气、立场、知识边界表现出不一致性，前后回答相互矛盾或风格剧变",</w:t>
      </w:r>
    </w:p>
    <w:p w14:paraId="034EE9F1">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"trigger_scenario": "长对话session、含角色扮演的对话、跨话题的多轮追问",</w:t>
      </w:r>
    </w:p>
    <w:p w14:paraId="230AB0ED">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"competitive_contrast": "上下文一致性维护失败，用户感知到模型「不可靠」，大模型B在长对话中表现更稳定",</w:t>
      </w:r>
    </w:p>
    <w:p w14:paraId="3DCF4BBC">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"type": "loss_trigger",</w:t>
      </w:r>
    </w:p>
    <w:p w14:paraId="73D64D98">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"direction": "negative",</w:t>
      </w:r>
    </w:p>
    <w:p w14:paraId="15229C01">
      <w:pPr>
        <w:ind w:left="420" w:leftChars="0"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"weight": "较差"</w:t>
      </w:r>
    </w:p>
    <w:p w14:paraId="2A04A35A">
      <w:pPr>
        <w:ind w:firstLine="420" w:firstLineChars="0"/>
        <w:rPr>
          <w:rFonts w:hint="eastAsia" w:ascii="Songti SC Regular" w:hAnsi="Songti SC Regular" w:eastAsia="Songti SC Regular" w:cs="Songti SC Regular"/>
          <w:color w:val="auto"/>
          <w:szCs w:val="24"/>
          <w:lang w:val="en-US" w:eastAsia="zh-CN"/>
        </w:rPr>
      </w:pPr>
      <w:r>
        <w:rPr>
          <w:rFonts w:hint="eastAsia" w:ascii="Songti SC Regular" w:hAnsi="Songti SC Regular" w:eastAsia="Songti SC Regular" w:cs="Songti SC Regular"/>
          <w:color w:val="auto"/>
          <w:szCs w:val="24"/>
          <w:lang w:val="en-US" w:eastAsia="zh-CN"/>
        </w:rPr>
        <w:t>}</w:t>
      </w:r>
    </w:p>
    <w:p w14:paraId="7A196622">
      <w:pPr>
        <w:rPr>
          <w:rFonts w:hint="eastAsia" w:ascii="Calibri" w:hAnsi="Calibri" w:eastAsia="宋体"/>
          <w:color w:val="auto"/>
          <w:szCs w:val="24"/>
        </w:rPr>
      </w:pPr>
      <w:r>
        <w:rPr>
          <w:rFonts w:hint="eastAsia" w:ascii="Songti SC Regular" w:hAnsi="Songti SC Regular" w:eastAsia="Songti SC Regular" w:cs="Songti SC Regular"/>
          <w:color w:val="auto"/>
          <w:szCs w:val="24"/>
          <w:lang w:val="en-US" w:eastAsia="zh-CN"/>
        </w:rPr>
        <w:t>]</w:t>
      </w:r>
    </w:p>
    <w:p w14:paraId="7120FFCD">
      <w:pPr>
        <w:rPr>
          <w:rFonts w:hint="eastAsia" w:ascii="Calibri" w:hAnsi="Calibri" w:eastAsia="宋体"/>
          <w:szCs w:val="24"/>
        </w:rPr>
      </w:pPr>
    </w:p>
    <w:p w14:paraId="2FE6C286">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步骤2：评测尺度约束信息配置</w:t>
      </w:r>
    </w:p>
    <w:p w14:paraId="4D685151">
      <w:pPr>
        <w:spacing w:line="360" w:lineRule="auto"/>
        <w:ind w:firstLine="420" w:firstLineChars="0"/>
        <w:rPr>
          <w:rFonts w:hint="eastAsia" w:ascii="Calibri" w:hAnsi="Calibri" w:eastAsia="宋体"/>
          <w:sz w:val="24"/>
          <w:szCs w:val="24"/>
          <w:lang w:val="en-US" w:eastAsia="zh-CN"/>
        </w:rPr>
      </w:pPr>
      <w:r>
        <w:rPr>
          <w:rFonts w:hint="eastAsia" w:ascii="Calibri" w:hAnsi="Calibri" w:eastAsia="宋体"/>
          <w:sz w:val="24"/>
          <w:szCs w:val="24"/>
          <w:lang w:val="en-US" w:eastAsia="zh-CN"/>
        </w:rPr>
        <w:t>如图2所示，基于精标数据提炼固定的评测尺度约束信息231，包含三类核心内容：</w:t>
      </w:r>
    </w:p>
    <w:p w14:paraId="571A7DDB">
      <w:pPr>
        <w:numPr>
          <w:ilvl w:val="0"/>
          <w:numId w:val="1"/>
        </w:numPr>
        <w:spacing w:line="360" w:lineRule="auto"/>
        <w:ind w:left="540" w:leftChars="0" w:firstLine="0" w:firstLineChars="0"/>
        <w:rPr>
          <w:rFonts w:hint="eastAsia" w:ascii="Calibri" w:hAnsi="Calibri" w:eastAsia="宋体"/>
          <w:sz w:val="24"/>
          <w:szCs w:val="24"/>
          <w:lang w:val="en-US" w:eastAsia="zh-CN"/>
        </w:rPr>
      </w:pPr>
      <w:r>
        <w:rPr>
          <w:rFonts w:hint="eastAsia" w:ascii="Calibri" w:hAnsi="Calibri"/>
          <w:sz w:val="24"/>
          <w:szCs w:val="24"/>
          <w:lang w:val="en-US" w:eastAsia="zh-CN"/>
        </w:rPr>
        <w:t xml:space="preserve"> </w:t>
      </w:r>
      <w:r>
        <w:rPr>
          <w:rFonts w:hint="eastAsia" w:ascii="Calibri" w:hAnsi="Calibri" w:eastAsia="宋体"/>
          <w:sz w:val="24"/>
          <w:szCs w:val="24"/>
          <w:lang w:val="en-US" w:eastAsia="zh-CN"/>
        </w:rPr>
        <w:t xml:space="preserve">标签-合格率映射表234：明确问题标签与合格率的对应关系； </w:t>
      </w:r>
    </w:p>
    <w:p w14:paraId="4AE08236">
      <w:pPr>
        <w:numPr>
          <w:ilvl w:val="0"/>
          <w:numId w:val="1"/>
        </w:numPr>
        <w:spacing w:line="360" w:lineRule="auto"/>
        <w:ind w:left="540" w:leftChars="0" w:firstLine="0" w:firstLineChars="0"/>
        <w:rPr>
          <w:rFonts w:hint="eastAsia" w:ascii="Calibri" w:hAnsi="Calibri" w:eastAsia="宋体"/>
          <w:sz w:val="24"/>
          <w:szCs w:val="24"/>
        </w:rPr>
      </w:pPr>
      <w:r>
        <w:rPr>
          <w:rFonts w:hint="eastAsia" w:ascii="Calibri" w:hAnsi="Calibri"/>
          <w:sz w:val="24"/>
          <w:szCs w:val="24"/>
          <w:lang w:val="en-US" w:eastAsia="zh-CN"/>
        </w:rPr>
        <w:t xml:space="preserve"> </w:t>
      </w:r>
      <w:r>
        <w:rPr>
          <w:rFonts w:hint="eastAsia" w:ascii="Calibri" w:hAnsi="Calibri" w:eastAsia="宋体"/>
          <w:sz w:val="24"/>
          <w:szCs w:val="24"/>
          <w:lang w:val="en-US" w:eastAsia="zh-CN"/>
        </w:rPr>
        <w:t xml:space="preserve">场景容忍度阈值235：区分核心场景与非核心场景的问题容忍度； </w:t>
      </w:r>
    </w:p>
    <w:p w14:paraId="06CE546D">
      <w:pPr>
        <w:numPr>
          <w:ilvl w:val="0"/>
          <w:numId w:val="1"/>
        </w:numPr>
        <w:spacing w:line="360" w:lineRule="auto"/>
        <w:ind w:left="540" w:leftChars="0" w:firstLine="0" w:firstLineChars="0"/>
        <w:rPr>
          <w:rFonts w:hint="eastAsia" w:ascii="Calibri" w:hAnsi="Calibri" w:eastAsia="宋体"/>
          <w:sz w:val="24"/>
          <w:szCs w:val="24"/>
        </w:rPr>
      </w:pPr>
      <w:r>
        <w:rPr>
          <w:rFonts w:hint="eastAsia" w:ascii="Calibri" w:hAnsi="Calibri"/>
          <w:sz w:val="24"/>
          <w:szCs w:val="24"/>
          <w:lang w:val="en-US" w:eastAsia="zh-CN"/>
        </w:rPr>
        <w:t xml:space="preserve"> </w:t>
      </w:r>
      <w:bookmarkStart w:id="0" w:name="_GoBack"/>
      <w:bookmarkEnd w:id="0"/>
      <w:r>
        <w:rPr>
          <w:rFonts w:hint="eastAsia" w:ascii="Calibri" w:hAnsi="Calibri" w:eastAsia="宋体"/>
          <w:sz w:val="24"/>
          <w:szCs w:val="24"/>
          <w:lang w:val="en-US" w:eastAsia="zh-CN"/>
        </w:rPr>
        <w:t>判定准则边界236：明确临界样本的判定逻辑。</w:t>
      </w:r>
    </w:p>
    <w:p w14:paraId="123A30D9">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步骤3：思维链标注链路执行</w:t>
      </w:r>
    </w:p>
    <w:p w14:paraId="60B66B7C">
      <w:pPr>
        <w:spacing w:line="360" w:lineRule="auto"/>
        <w:ind w:firstLine="420" w:firstLineChars="0"/>
        <w:rPr>
          <w:rFonts w:hint="eastAsia" w:ascii="Calibri" w:hAnsi="Calibri"/>
          <w:sz w:val="24"/>
          <w:szCs w:val="24"/>
          <w:lang w:val="en-US" w:eastAsia="zh-CN"/>
        </w:rPr>
      </w:pPr>
      <w:r>
        <w:rPr>
          <w:rFonts w:hint="eastAsia" w:ascii="Calibri" w:hAnsi="Calibri"/>
          <w:sz w:val="24"/>
          <w:szCs w:val="24"/>
          <w:lang w:val="en-US" w:eastAsia="zh-CN"/>
        </w:rPr>
        <w:t xml:space="preserve">如图3所示，展示了四阶段思维链标注链路的完整流程。结合步骤S2至S5，四阶段流程执行完整评测具体如下： </w:t>
      </w:r>
    </w:p>
    <w:p w14:paraId="3A08876E">
      <w:pPr>
        <w:spacing w:line="360" w:lineRule="auto"/>
        <w:ind w:firstLine="420" w:firstLineChars="0"/>
        <w:rPr>
          <w:rFonts w:hint="eastAsia" w:ascii="Calibri" w:hAnsi="Calibri"/>
          <w:sz w:val="24"/>
          <w:szCs w:val="24"/>
          <w:lang w:val="en-US" w:eastAsia="zh-CN"/>
        </w:rPr>
      </w:pPr>
      <w:r>
        <w:rPr>
          <w:rFonts w:hint="eastAsia" w:ascii="Calibri" w:hAnsi="Calibri"/>
          <w:sz w:val="24"/>
          <w:szCs w:val="24"/>
          <w:lang w:val="en-US" w:eastAsia="zh-CN"/>
        </w:rPr>
        <w:t>第一阶段330单模型结构化标注：大语言模型加载双知识库与尺度规则，接收输入模块310传递的用户问题与模型回答，识别多个主要问题与核心优势，分别生成模型A与模型B的结构化标注结果；</w:t>
      </w:r>
    </w:p>
    <w:p w14:paraId="39E0AD5C">
      <w:pPr>
        <w:spacing w:line="360" w:lineRule="auto"/>
        <w:ind w:firstLine="420" w:firstLineChars="0"/>
        <w:rPr>
          <w:rFonts w:hint="eastAsia" w:ascii="Calibri" w:hAnsi="Calibri"/>
          <w:sz w:val="24"/>
          <w:szCs w:val="24"/>
          <w:lang w:val="en-US" w:eastAsia="zh-CN"/>
        </w:rPr>
      </w:pPr>
      <w:r>
        <w:rPr>
          <w:rFonts w:hint="eastAsia" w:ascii="Calibri" w:hAnsi="Calibri"/>
          <w:sz w:val="24"/>
          <w:szCs w:val="24"/>
          <w:lang w:val="en-US" w:eastAsia="zh-CN"/>
        </w:rPr>
        <w:t xml:space="preserve"> 第二阶段340双模型事实归档（对应规则映射）：基于标注结果，利用规则引擎自动映射生成严重度等级、优势等级与合格率； </w:t>
      </w:r>
    </w:p>
    <w:p w14:paraId="4D208950">
      <w:pPr>
        <w:spacing w:line="360" w:lineRule="auto"/>
        <w:ind w:firstLine="420" w:firstLineChars="0"/>
        <w:rPr>
          <w:rFonts w:hint="eastAsia" w:ascii="Calibri" w:hAnsi="Calibri"/>
          <w:sz w:val="24"/>
          <w:szCs w:val="24"/>
          <w:lang w:val="en-US" w:eastAsia="zh-CN"/>
        </w:rPr>
      </w:pPr>
      <w:r>
        <w:rPr>
          <w:rFonts w:hint="eastAsia" w:ascii="Calibri" w:hAnsi="Calibri"/>
          <w:sz w:val="24"/>
          <w:szCs w:val="24"/>
          <w:lang w:val="en-US" w:eastAsia="zh-CN"/>
        </w:rPr>
        <w:t xml:space="preserve">第三阶段350双模型对比评估：从基础指标与核心特征维度进行双向对比，生成结构化对比结果； </w:t>
      </w:r>
    </w:p>
    <w:p w14:paraId="679F7880">
      <w:pPr>
        <w:spacing w:line="360" w:lineRule="auto"/>
        <w:ind w:firstLine="420" w:firstLineChars="0"/>
        <w:rPr>
          <w:rFonts w:hint="eastAsia" w:ascii="Calibri" w:hAnsi="Calibri" w:eastAsia="宋体"/>
          <w:sz w:val="24"/>
          <w:szCs w:val="24"/>
        </w:rPr>
      </w:pPr>
      <w:r>
        <w:rPr>
          <w:rFonts w:hint="eastAsia" w:ascii="Calibri" w:hAnsi="Calibri"/>
          <w:sz w:val="24"/>
          <w:szCs w:val="24"/>
          <w:lang w:val="en-US" w:eastAsia="zh-CN"/>
        </w:rPr>
        <w:t>第四阶段360多维度裁决推理：按致命错误裁定361、优势等级裁定362、合格率裁定363、严重度对比364、问题数量对比365、平局裁定366的优先级序列判定最终胜负。</w:t>
      </w:r>
    </w:p>
    <w:p w14:paraId="077BE9EA">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步骤4：结果输出与存储</w:t>
      </w:r>
    </w:p>
    <w:p w14:paraId="6C3ED4AC">
      <w:pPr>
        <w:spacing w:line="360" w:lineRule="auto"/>
        <w:ind w:firstLine="420" w:firstLineChars="0"/>
        <w:rPr>
          <w:rFonts w:hint="eastAsia" w:ascii="Calibri" w:hAnsi="Calibri" w:eastAsia="宋体"/>
          <w:sz w:val="24"/>
          <w:szCs w:val="24"/>
        </w:rPr>
      </w:pPr>
      <w:r>
        <w:rPr>
          <w:rFonts w:hint="eastAsia" w:ascii="Calibri" w:hAnsi="Calibri" w:eastAsia="宋体"/>
          <w:sz w:val="24"/>
          <w:szCs w:val="24"/>
          <w:lang w:val="en-US" w:eastAsia="zh-CN"/>
        </w:rPr>
        <w:t xml:space="preserve">将全流程结构化结果输出至图1所示的结果输出层130，包括综合评分与裁决结果367，并支持按样本ID跨环节追溯。 </w:t>
      </w:r>
    </w:p>
    <w:p w14:paraId="02BE4646">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本实施例的有益效果：</w:t>
      </w:r>
    </w:p>
    <w:p w14:paraId="3E9329DF">
      <w:pPr>
        <w:numPr>
          <w:ilvl w:val="0"/>
          <w:numId w:val="2"/>
        </w:numPr>
        <w:spacing w:line="360" w:lineRule="auto"/>
        <w:ind w:left="845" w:leftChars="0" w:hanging="425" w:firstLineChars="0"/>
        <w:rPr>
          <w:rFonts w:hint="eastAsia" w:ascii="Calibri" w:hAnsi="Calibri" w:eastAsia="宋体"/>
          <w:sz w:val="24"/>
          <w:szCs w:val="24"/>
        </w:rPr>
      </w:pPr>
      <w:r>
        <w:rPr>
          <w:rFonts w:hint="eastAsia" w:ascii="Calibri" w:hAnsi="Calibri" w:eastAsia="宋体"/>
          <w:sz w:val="24"/>
          <w:szCs w:val="24"/>
        </w:rPr>
        <w:t>部署成本低：双知识库与尺度规则固定，无需持续投入精标数据更新；</w:t>
      </w:r>
    </w:p>
    <w:p w14:paraId="63A3808D">
      <w:pPr>
        <w:numPr>
          <w:ilvl w:val="0"/>
          <w:numId w:val="2"/>
        </w:numPr>
        <w:spacing w:line="360" w:lineRule="auto"/>
        <w:ind w:left="845" w:leftChars="0" w:hanging="425" w:firstLineChars="0"/>
        <w:rPr>
          <w:rFonts w:hint="eastAsia" w:ascii="Calibri" w:hAnsi="Calibri" w:eastAsia="宋体"/>
          <w:sz w:val="24"/>
          <w:szCs w:val="24"/>
        </w:rPr>
      </w:pPr>
      <w:r>
        <w:rPr>
          <w:rFonts w:hint="eastAsia" w:ascii="Calibri" w:hAnsi="Calibri" w:eastAsia="宋体"/>
          <w:sz w:val="24"/>
          <w:szCs w:val="24"/>
        </w:rPr>
        <w:t>执行效率高：省去动态学习过程；</w:t>
      </w:r>
    </w:p>
    <w:p w14:paraId="11EC4591">
      <w:pPr>
        <w:numPr>
          <w:ilvl w:val="0"/>
          <w:numId w:val="2"/>
        </w:numPr>
        <w:spacing w:line="360" w:lineRule="auto"/>
        <w:ind w:left="845" w:leftChars="0" w:hanging="425" w:firstLineChars="0"/>
        <w:rPr>
          <w:rFonts w:hint="eastAsia" w:ascii="Calibri" w:hAnsi="Calibri" w:eastAsia="宋体"/>
          <w:sz w:val="24"/>
          <w:szCs w:val="24"/>
        </w:rPr>
      </w:pPr>
      <w:r>
        <w:rPr>
          <w:rFonts w:hint="eastAsia" w:ascii="Calibri" w:hAnsi="Calibri" w:eastAsia="宋体"/>
          <w:sz w:val="24"/>
          <w:szCs w:val="24"/>
        </w:rPr>
        <w:t>结果一致性强：固定规则与知识库避免了动态调整带来的波动，跨批次评测一致性</w:t>
      </w:r>
      <w:r>
        <w:rPr>
          <w:rFonts w:hint="eastAsia" w:ascii="Calibri" w:hAnsi="Calibri"/>
          <w:sz w:val="24"/>
          <w:szCs w:val="24"/>
          <w:lang w:val="en-US" w:eastAsia="zh-CN"/>
        </w:rPr>
        <w:t>高</w:t>
      </w:r>
      <w:r>
        <w:rPr>
          <w:rFonts w:hint="eastAsia" w:ascii="Calibri" w:hAnsi="Calibri" w:eastAsia="宋体"/>
          <w:sz w:val="24"/>
          <w:szCs w:val="24"/>
        </w:rPr>
        <w:t>。</w:t>
      </w:r>
    </w:p>
    <w:p w14:paraId="371ECECF">
      <w:pPr>
        <w:rPr>
          <w:rFonts w:hint="eastAsia" w:ascii="Calibri" w:hAnsi="Calibri" w:eastAsia="宋体"/>
          <w:szCs w:val="24"/>
        </w:rPr>
      </w:pPr>
    </w:p>
    <w:p w14:paraId="1827FA80">
      <w:pPr>
        <w:rPr>
          <w:rFonts w:hint="eastAsia" w:ascii="Calibri" w:hAnsi="Calibri" w:eastAsia="宋体"/>
          <w:szCs w:val="24"/>
        </w:rPr>
      </w:pPr>
      <w:r>
        <w:rPr>
          <w:rFonts w:hint="eastAsia" w:ascii="Calibri" w:hAnsi="Calibri" w:eastAsia="宋体"/>
          <w:szCs w:val="24"/>
        </w:rPr>
        <w:t xml:space="preserve"> </w:t>
      </w:r>
      <w:r>
        <w:rPr>
          <w:rFonts w:hint="eastAsia" w:ascii="Arial" w:hAnsi="Arial" w:eastAsia="黑体"/>
          <w:b/>
          <w:sz w:val="28"/>
          <w:szCs w:val="24"/>
        </w:rPr>
        <w:t>实施例二：动态更新双知识库优化版评测方案</w:t>
      </w:r>
    </w:p>
    <w:p w14:paraId="3BC80A5B">
      <w:pPr>
        <w:spacing w:line="360" w:lineRule="auto"/>
        <w:ind w:firstLine="420" w:firstLineChars="0"/>
        <w:rPr>
          <w:rFonts w:hint="eastAsia" w:ascii="Calibri" w:hAnsi="Calibri" w:eastAsia="宋体"/>
          <w:sz w:val="24"/>
          <w:szCs w:val="24"/>
        </w:rPr>
      </w:pPr>
      <w:r>
        <w:rPr>
          <w:rFonts w:hint="eastAsia" w:ascii="Calibri" w:hAnsi="Calibri"/>
          <w:sz w:val="24"/>
          <w:szCs w:val="24"/>
          <w:lang w:val="en-US" w:eastAsia="zh-CN"/>
        </w:rPr>
        <w:t>如图4所示，本实施例在基础版之上，增加双知识库与评测尺度的动态更新机制，适用于场景需求迭代快、新问题或新优势频繁出现的评测场景。</w:t>
      </w:r>
    </w:p>
    <w:p w14:paraId="52658DCA">
      <w:pPr>
        <w:spacing w:line="360" w:lineRule="auto"/>
        <w:ind w:firstLine="420" w:firstLineChars="0"/>
        <w:rPr>
          <w:rFonts w:hint="eastAsia" w:ascii="Calibri" w:hAnsi="Calibri" w:eastAsia="宋体"/>
          <w:sz w:val="24"/>
          <w:szCs w:val="24"/>
          <w:lang w:val="en-US" w:eastAsia="zh-CN"/>
        </w:rPr>
      </w:pPr>
      <w:r>
        <w:rPr>
          <w:rFonts w:hint="eastAsia" w:ascii="Calibri" w:hAnsi="Calibri" w:eastAsia="宋体"/>
          <w:sz w:val="24"/>
          <w:szCs w:val="24"/>
          <w:lang w:val="en-US" w:eastAsia="zh-CN"/>
        </w:rPr>
        <w:t xml:space="preserve">步骤1：410初始知识库与尺度规则构建。同实施例一的步骤1和2，完成固定的胜利模式知识库411与失败触发器知识库412的搭建。 </w:t>
      </w:r>
    </w:p>
    <w:p w14:paraId="3E8DCE76">
      <w:pPr>
        <w:spacing w:line="360" w:lineRule="auto"/>
        <w:ind w:firstLine="420" w:firstLineChars="0"/>
        <w:rPr>
          <w:rFonts w:hint="eastAsia" w:ascii="Calibri" w:hAnsi="Calibri" w:eastAsia="宋体"/>
          <w:sz w:val="24"/>
          <w:szCs w:val="24"/>
          <w:lang w:val="en-US" w:eastAsia="zh-CN"/>
        </w:rPr>
      </w:pPr>
      <w:r>
        <w:rPr>
          <w:rFonts w:hint="eastAsia" w:ascii="Calibri" w:hAnsi="Calibri" w:eastAsia="宋体"/>
          <w:sz w:val="24"/>
          <w:szCs w:val="24"/>
          <w:lang w:val="en-US" w:eastAsia="zh-CN"/>
        </w:rPr>
        <w:t>步骤2：420新增精标数据收集与融合。定期执行收集新增精标数据421，将新增数据与历史数据合并去重422，剔除重复样本。</w:t>
      </w:r>
    </w:p>
    <w:p w14:paraId="5FA74DCA">
      <w:pPr>
        <w:spacing w:line="360" w:lineRule="auto"/>
        <w:ind w:firstLine="420" w:firstLineChars="0"/>
        <w:rPr>
          <w:rFonts w:hint="eastAsia" w:ascii="Calibri" w:hAnsi="Calibri" w:eastAsia="宋体"/>
          <w:sz w:val="24"/>
          <w:szCs w:val="24"/>
          <w:lang w:val="en-US" w:eastAsia="zh-CN"/>
        </w:rPr>
      </w:pPr>
      <w:r>
        <w:rPr>
          <w:rFonts w:hint="eastAsia" w:ascii="Calibri" w:hAnsi="Calibri" w:eastAsia="宋体"/>
          <w:sz w:val="24"/>
          <w:szCs w:val="24"/>
          <w:lang w:val="en-US" w:eastAsia="zh-CN"/>
        </w:rPr>
        <w:t xml:space="preserve">步骤3：430双知识库动态更新。通过大语言模型434自动学习新增数据特征，执行胜利模式知识库更新431与失败触发器知识库更新432。同时执行去重优化433，删除知识库中低频优势与错误。 </w:t>
      </w:r>
    </w:p>
    <w:p w14:paraId="0A1A2630">
      <w:pPr>
        <w:spacing w:line="360" w:lineRule="auto"/>
        <w:ind w:firstLine="420" w:firstLineChars="0"/>
        <w:rPr>
          <w:rFonts w:hint="eastAsia" w:ascii="Calibri" w:hAnsi="Calibri" w:eastAsia="宋体"/>
          <w:sz w:val="24"/>
          <w:szCs w:val="24"/>
        </w:rPr>
      </w:pPr>
      <w:r>
        <w:rPr>
          <w:rFonts w:hint="eastAsia" w:ascii="Calibri" w:hAnsi="Calibri" w:eastAsia="宋体"/>
          <w:sz w:val="24"/>
          <w:szCs w:val="24"/>
          <w:lang w:val="en-US" w:eastAsia="zh-CN"/>
        </w:rPr>
        <w:t>步骤4：440评测尺度约束信息迭代。基于融合后的全量数据，依次更新标签映射表441、优化容忍阈值442并完善判定准则443，输出最新的尺度约束信息444。 步骤5：450思维链标注链路执行。按照实施例一的逻辑依次进行单模型标注451、事实归档452、对比评估453及裁决推理454，最终得出裁决结果455并结束该次循环。</w:t>
      </w:r>
    </w:p>
    <w:p w14:paraId="368C33DC">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步骤5：思维链标注链路执行</w:t>
      </w:r>
      <w:r>
        <w:rPr>
          <w:rFonts w:hint="eastAsia" w:ascii="Calibri" w:hAnsi="Calibri" w:eastAsia="宋体"/>
          <w:sz w:val="24"/>
          <w:szCs w:val="24"/>
          <w:lang w:eastAsia="zh-CN"/>
        </w:rPr>
        <w:t>。</w:t>
      </w:r>
      <w:r>
        <w:rPr>
          <w:rFonts w:hint="eastAsia" w:ascii="Calibri" w:hAnsi="Calibri" w:eastAsia="宋体"/>
          <w:sz w:val="24"/>
          <w:szCs w:val="24"/>
        </w:rPr>
        <w:t>同实施例一的步骤3-4，基于更新后的双知识库与尺度规则执行评测。</w:t>
      </w:r>
    </w:p>
    <w:p w14:paraId="6C4727F3">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 xml:space="preserve">如图5基础版与动态优化版对比图所示，基础版架构510依靠固定的知识库511与固定尺度规则512进行单向评测514；而动态优化版架构520引入了新增精标数据521、双知识库更新522以及尺度规则迭代523，形成了一个不断自我完善的循环迭代机制524。 </w:t>
      </w:r>
    </w:p>
    <w:p w14:paraId="2A91AEA6">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本实施例的有益效果：</w:t>
      </w:r>
    </w:p>
    <w:p w14:paraId="148D6088">
      <w:pPr>
        <w:numPr>
          <w:ilvl w:val="0"/>
          <w:numId w:val="3"/>
        </w:numPr>
        <w:spacing w:line="360" w:lineRule="auto"/>
        <w:ind w:left="845" w:leftChars="0" w:hanging="425" w:firstLineChars="0"/>
        <w:rPr>
          <w:rFonts w:hint="eastAsia" w:ascii="Calibri" w:hAnsi="Calibri" w:eastAsia="宋体"/>
          <w:sz w:val="24"/>
          <w:szCs w:val="24"/>
        </w:rPr>
      </w:pPr>
      <w:r>
        <w:rPr>
          <w:rFonts w:hint="eastAsia" w:ascii="Calibri" w:hAnsi="Calibri" w:eastAsia="宋体"/>
          <w:sz w:val="24"/>
          <w:szCs w:val="24"/>
        </w:rPr>
        <w:t>适配性更强，动态更新机制使知识库与尺度规则紧跟场景迭代；</w:t>
      </w:r>
    </w:p>
    <w:p w14:paraId="13E9A169">
      <w:pPr>
        <w:numPr>
          <w:ilvl w:val="0"/>
          <w:numId w:val="3"/>
        </w:numPr>
        <w:spacing w:line="360" w:lineRule="auto"/>
        <w:ind w:left="845" w:leftChars="0" w:hanging="425" w:firstLineChars="0"/>
        <w:rPr>
          <w:rFonts w:hint="eastAsia" w:ascii="Calibri" w:hAnsi="Calibri" w:eastAsia="宋体"/>
          <w:sz w:val="24"/>
          <w:szCs w:val="24"/>
        </w:rPr>
      </w:pPr>
      <w:r>
        <w:rPr>
          <w:rFonts w:hint="eastAsia" w:ascii="Calibri" w:hAnsi="Calibri" w:eastAsia="宋体"/>
          <w:sz w:val="24"/>
          <w:szCs w:val="24"/>
        </w:rPr>
        <w:t>评测精度更高，规则更贴合实际评测需求；扩展性更优，无需重构核心流程即可适配新场景；</w:t>
      </w:r>
    </w:p>
    <w:p w14:paraId="76F250F4">
      <w:pPr>
        <w:numPr>
          <w:ilvl w:val="0"/>
          <w:numId w:val="3"/>
        </w:numPr>
        <w:spacing w:line="360" w:lineRule="auto"/>
        <w:ind w:left="845" w:leftChars="0" w:hanging="425" w:firstLineChars="0"/>
        <w:rPr>
          <w:rFonts w:hint="eastAsia" w:ascii="Calibri" w:hAnsi="Calibri" w:eastAsia="宋体"/>
          <w:szCs w:val="24"/>
        </w:rPr>
      </w:pPr>
      <w:r>
        <w:rPr>
          <w:rFonts w:hint="eastAsia" w:ascii="Calibri" w:hAnsi="Calibri" w:eastAsia="宋体"/>
          <w:sz w:val="24"/>
          <w:szCs w:val="24"/>
        </w:rPr>
        <w:t>经验沉淀更充分，实现人工知识的持续复用。</w:t>
      </w:r>
    </w:p>
    <w:p w14:paraId="620AC943">
      <w:pPr>
        <w:rPr>
          <w:rFonts w:hint="eastAsia" w:ascii="Calibri" w:hAnsi="Calibri" w:eastAsia="宋体"/>
          <w:szCs w:val="24"/>
        </w:rPr>
      </w:pPr>
    </w:p>
    <w:p w14:paraId="666A541C">
      <w:pPr>
        <w:rPr>
          <w:rFonts w:hint="eastAsia" w:ascii="Calibri" w:hAnsi="Calibri" w:eastAsia="黑体"/>
          <w:szCs w:val="24"/>
          <w:lang w:eastAsia="zh-CN"/>
        </w:rPr>
      </w:pPr>
      <w:r>
        <w:rPr>
          <w:rFonts w:hint="eastAsia" w:ascii="Arial" w:hAnsi="Arial" w:eastAsia="黑体"/>
          <w:b/>
          <w:sz w:val="28"/>
          <w:szCs w:val="24"/>
        </w:rPr>
        <w:t xml:space="preserve"> </w:t>
      </w:r>
      <w:r>
        <w:rPr>
          <w:rFonts w:hint="eastAsia" w:ascii="Arial" w:hAnsi="Arial" w:eastAsia="黑体"/>
          <w:b/>
          <w:sz w:val="28"/>
          <w:szCs w:val="24"/>
          <w:lang w:eastAsia="zh-CN"/>
        </w:rPr>
        <w:t>【</w:t>
      </w:r>
      <w:r>
        <w:rPr>
          <w:rFonts w:hint="eastAsia" w:ascii="Arial" w:hAnsi="Arial" w:eastAsia="黑体"/>
          <w:b/>
          <w:sz w:val="28"/>
          <w:szCs w:val="24"/>
        </w:rPr>
        <w:t>扩展应用场景</w:t>
      </w:r>
      <w:r>
        <w:rPr>
          <w:rFonts w:hint="eastAsia" w:ascii="Arial" w:hAnsi="Arial" w:eastAsia="黑体"/>
          <w:b/>
          <w:sz w:val="28"/>
          <w:szCs w:val="24"/>
          <w:lang w:eastAsia="zh-CN"/>
        </w:rPr>
        <w:t>】</w:t>
      </w:r>
    </w:p>
    <w:p w14:paraId="199BE606">
      <w:pPr>
        <w:spacing w:line="360" w:lineRule="auto"/>
        <w:ind w:firstLine="420" w:firstLineChars="0"/>
        <w:rPr>
          <w:rFonts w:hint="eastAsia" w:ascii="Calibri" w:hAnsi="Calibri" w:eastAsia="宋体"/>
          <w:sz w:val="24"/>
          <w:szCs w:val="24"/>
        </w:rPr>
      </w:pPr>
      <w:r>
        <w:rPr>
          <w:rFonts w:hint="eastAsia" w:ascii="Calibri" w:hAnsi="Calibri" w:eastAsia="宋体"/>
          <w:sz w:val="24"/>
          <w:szCs w:val="24"/>
        </w:rPr>
        <w:t>本发明的技术方案可灵活扩展至以下场景：</w:t>
      </w:r>
    </w:p>
    <w:p w14:paraId="1E3F57FC">
      <w:pPr>
        <w:numPr>
          <w:ilvl w:val="0"/>
          <w:numId w:val="4"/>
        </w:numPr>
        <w:spacing w:line="360" w:lineRule="auto"/>
        <w:ind w:left="845" w:leftChars="0" w:hanging="425" w:firstLineChars="0"/>
        <w:rPr>
          <w:rFonts w:hint="eastAsia" w:ascii="Calibri" w:hAnsi="Calibri" w:eastAsia="宋体"/>
          <w:sz w:val="24"/>
          <w:szCs w:val="24"/>
        </w:rPr>
      </w:pPr>
      <w:r>
        <w:rPr>
          <w:rFonts w:hint="eastAsia" w:ascii="Calibri" w:hAnsi="Calibri" w:eastAsia="宋体"/>
          <w:sz w:val="24"/>
          <w:szCs w:val="24"/>
        </w:rPr>
        <w:t>多模态大模型评测：将单模型结构化标注环节扩展至图文、音视频内容的事实提取</w:t>
      </w:r>
      <w:r>
        <w:rPr>
          <w:rFonts w:hint="eastAsia" w:ascii="Calibri" w:hAnsi="Calibri" w:eastAsia="宋体"/>
          <w:sz w:val="24"/>
          <w:szCs w:val="24"/>
          <w:lang w:eastAsia="zh-CN"/>
        </w:rPr>
        <w:t>；</w:t>
      </w:r>
    </w:p>
    <w:p w14:paraId="077F24FB">
      <w:pPr>
        <w:numPr>
          <w:ilvl w:val="0"/>
          <w:numId w:val="4"/>
        </w:numPr>
        <w:spacing w:line="360" w:lineRule="auto"/>
        <w:ind w:left="845" w:leftChars="0" w:hanging="425" w:firstLineChars="0"/>
        <w:rPr>
          <w:rFonts w:hint="eastAsia" w:ascii="Calibri" w:hAnsi="Calibri" w:eastAsia="宋体"/>
          <w:sz w:val="24"/>
          <w:szCs w:val="24"/>
        </w:rPr>
      </w:pPr>
      <w:r>
        <w:rPr>
          <w:rFonts w:hint="eastAsia" w:ascii="Calibri" w:hAnsi="Calibri" w:eastAsia="宋体"/>
          <w:sz w:val="24"/>
          <w:szCs w:val="24"/>
        </w:rPr>
        <w:t>领域垂类模型评测：针对医疗、金融、教育等专业领域，通过领域专属精标数据进行尺度自校准；</w:t>
      </w:r>
    </w:p>
    <w:p w14:paraId="649672D1">
      <w:pPr>
        <w:numPr>
          <w:ilvl w:val="0"/>
          <w:numId w:val="4"/>
        </w:numPr>
        <w:spacing w:line="360" w:lineRule="auto"/>
        <w:ind w:left="845" w:leftChars="0" w:hanging="425" w:firstLineChars="0"/>
        <w:rPr>
          <w:rFonts w:hint="eastAsia" w:ascii="Calibri" w:hAnsi="Calibri" w:eastAsia="宋体"/>
          <w:sz w:val="24"/>
          <w:szCs w:val="24"/>
        </w:rPr>
      </w:pPr>
      <w:r>
        <w:rPr>
          <w:rFonts w:hint="eastAsia" w:ascii="Calibri" w:hAnsi="Calibri" w:eastAsia="宋体"/>
          <w:sz w:val="24"/>
          <w:szCs w:val="24"/>
        </w:rPr>
        <w:t>Agent行为路径评测：将模型输出替换为Agent的行为路径描述，通过事实归档环节记录行为步骤的合理性与有效性；</w:t>
      </w:r>
    </w:p>
    <w:p w14:paraId="0D293AC2">
      <w:pPr>
        <w:numPr>
          <w:ilvl w:val="0"/>
          <w:numId w:val="4"/>
        </w:numPr>
        <w:spacing w:line="360" w:lineRule="auto"/>
        <w:ind w:left="845" w:leftChars="0" w:hanging="425" w:firstLineChars="0"/>
        <w:rPr>
          <w:rFonts w:hint="eastAsia" w:ascii="Calibri" w:hAnsi="Calibri" w:eastAsia="宋体"/>
          <w:sz w:val="24"/>
          <w:szCs w:val="24"/>
        </w:rPr>
      </w:pPr>
      <w:r>
        <w:rPr>
          <w:rFonts w:hint="eastAsia" w:ascii="Calibri" w:hAnsi="Calibri" w:eastAsia="宋体"/>
          <w:sz w:val="24"/>
          <w:szCs w:val="24"/>
        </w:rPr>
        <w:t>跨语言模型评测：新增语言适配层，将不同语言的模型输出转化为统一语义表示后执行评测。</w:t>
      </w:r>
    </w:p>
    <w:p w14:paraId="0EF96AE7">
      <w:pPr>
        <w:spacing w:line="360" w:lineRule="auto"/>
        <w:rPr>
          <w:rFonts w:ascii="宋体" w:hAnsi="宋体"/>
        </w:rPr>
      </w:pPr>
      <w:r>
        <w:rPr>
          <w:rFonts w:hint="eastAsia" w:ascii="Calibri" w:hAnsi="Calibri" w:eastAsia="宋体"/>
          <w:sz w:val="24"/>
          <w:szCs w:val="24"/>
        </w:rPr>
        <w:t>以上所述仅是本发明的优选实施方式，应当指出，对于本技术领域的普通技术人员来说，在不脱离本发明原理的前提下，还可以做出若干改进和润饰，这些改进和润饰也应视为本发明的保护范围</w:t>
      </w:r>
      <w:r>
        <w:rPr>
          <w:rFonts w:hint="eastAsia" w:ascii="Calibri" w:hAnsi="Calibri"/>
          <w:sz w:val="24"/>
          <w:szCs w:val="24"/>
          <w:lang w:eastAsia="zh-CN"/>
        </w:rPr>
        <w:t>。</w:t>
      </w:r>
    </w:p>
    <w:sectPr>
      <w:headerReference r:id="rId3" w:type="default"/>
      <w:footerReference r:id="rId4" w:type="default"/>
      <w:pgSz w:w="11906" w:h="16838"/>
      <w:pgMar w:top="1418" w:right="851" w:bottom="851" w:left="1418" w:header="851" w:footer="11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ongti SC Regular">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4A71B">
    <w:pPr>
      <w:pStyle w:val="6"/>
    </w:pPr>
    <w:r>
      <w:rPr>
        <w:sz w:val="18"/>
      </w:rPr>
      <w:pict>
        <v:shape id="_x0000_s2054" o:spid="_x0000_s2054"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632E6CEA">
                <w:pPr>
                  <w:pStyle w:val="6"/>
                </w:pPr>
                <w:r>
                  <w:fldChar w:fldCharType="begin"/>
                </w:r>
                <w:r>
                  <w:instrText xml:space="preserve"> PAGE  \* MERGEFORMAT </w:instrText>
                </w:r>
                <w:r>
                  <w:fldChar w:fldCharType="separate"/>
                </w:r>
                <w:r>
                  <w:t>1</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16EB6">
    <w:pPr>
      <w:jc w:val="center"/>
      <w:outlineLvl w:val="0"/>
      <w:rPr>
        <w:rFonts w:ascii="黑体" w:eastAsia="黑体"/>
        <w:b/>
        <w:spacing w:val="130"/>
        <w:sz w:val="28"/>
      </w:rPr>
    </w:pPr>
    <w:r>
      <w:rPr>
        <w:rFonts w:eastAsia="黑体"/>
        <w:spacing w:val="130"/>
        <w:sz w:val="28"/>
      </w:rPr>
      <w:pict>
        <v:line id="直线 5" o:spid="_x0000_s2050" o:spt="20" style="position:absolute;left:0pt;margin-left:0pt;margin-top:28.35pt;height:0pt;width:481.9pt;z-index:251659264;mso-width-relative:page;mso-height-relative:page;" coordsize="21600,21600" o:allowincell="f" o:gfxdata="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WAAAAZHJzL1BLAQIUABQAAAAIAIdO4kD/VJ2V1gAAAAYB&#10;AAAPAAAAAAAAAAEAIAAAADgAAABkcnMvZG93bnJldi54bWxQSwECFAAUAAAACACHTuJA1/Btes4B&#10;AACRAwAADgAAAAAAAAABACAAAAA7AQAAZHJzL2Uyb0RvYy54bWxQSwUGAAAAAAYABgBZAQAAewUA&#10;AAAA&#10;">
          <v:path arrowok="t"/>
          <v:fill focussize="0,0"/>
          <v:stroke weight="1pt"/>
          <v:imagedata o:title=""/>
          <o:lock v:ext="edit"/>
        </v:line>
      </w:pict>
    </w:r>
    <w:r>
      <w:rPr>
        <w:rFonts w:hint="eastAsia" w:eastAsia="黑体"/>
        <w:spacing w:val="130"/>
        <w:sz w:val="28"/>
      </w:rPr>
      <w:t>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AF6D9"/>
    <w:multiLevelType w:val="singleLevel"/>
    <w:tmpl w:val="BFFAF6D9"/>
    <w:lvl w:ilvl="0" w:tentative="0">
      <w:start w:val="1"/>
      <w:numFmt w:val="decimal"/>
      <w:lvlText w:val="(%1)"/>
      <w:lvlJc w:val="left"/>
      <w:pPr>
        <w:tabs>
          <w:tab w:val="left" w:pos="420"/>
        </w:tabs>
        <w:ind w:left="845" w:hanging="425"/>
      </w:pPr>
      <w:rPr>
        <w:rFonts w:hint="default"/>
      </w:rPr>
    </w:lvl>
  </w:abstractNum>
  <w:abstractNum w:abstractNumId="1">
    <w:nsid w:val="FBCF1AFF"/>
    <w:multiLevelType w:val="singleLevel"/>
    <w:tmpl w:val="FBCF1AFF"/>
    <w:lvl w:ilvl="0" w:tentative="0">
      <w:start w:val="1"/>
      <w:numFmt w:val="decimal"/>
      <w:lvlText w:val="(%1)"/>
      <w:lvlJc w:val="left"/>
      <w:pPr>
        <w:tabs>
          <w:tab w:val="left" w:pos="312"/>
        </w:tabs>
        <w:ind w:left="540" w:leftChars="0" w:firstLine="0" w:firstLineChars="0"/>
      </w:pPr>
    </w:lvl>
  </w:abstractNum>
  <w:abstractNum w:abstractNumId="2">
    <w:nsid w:val="FC6E829A"/>
    <w:multiLevelType w:val="singleLevel"/>
    <w:tmpl w:val="FC6E829A"/>
    <w:lvl w:ilvl="0" w:tentative="0">
      <w:start w:val="1"/>
      <w:numFmt w:val="decimal"/>
      <w:lvlText w:val="(%1)"/>
      <w:lvlJc w:val="left"/>
      <w:pPr>
        <w:tabs>
          <w:tab w:val="left" w:pos="420"/>
        </w:tabs>
        <w:ind w:left="845" w:hanging="425"/>
      </w:pPr>
      <w:rPr>
        <w:rFonts w:hint="default"/>
      </w:rPr>
    </w:lvl>
  </w:abstractNum>
  <w:abstractNum w:abstractNumId="3">
    <w:nsid w:val="7EF6B16F"/>
    <w:multiLevelType w:val="singleLevel"/>
    <w:tmpl w:val="7EF6B16F"/>
    <w:lvl w:ilvl="0" w:tentative="0">
      <w:start w:val="1"/>
      <w:numFmt w:val="decimal"/>
      <w:lvlText w:val="(%1)"/>
      <w:lvlJc w:val="left"/>
      <w:pPr>
        <w:tabs>
          <w:tab w:val="left" w:pos="420"/>
        </w:tabs>
        <w:ind w:left="845" w:hanging="425"/>
      </w:pPr>
      <w:rPr>
        <w:rFont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doNotWrapTextWithPunct/>
    <w:doNotUseEastAsianBreakRules/>
    <w:useFELayout/>
    <w:compatSetting w:name="compatibilityMode" w:uri="http://schemas.microsoft.com/office/word" w:val="12"/>
  </w:compat>
  <w:rsids>
    <w:rsidRoot w:val="000D75E4"/>
    <w:rsid w:val="000D75E4"/>
    <w:rsid w:val="00A35DF6"/>
    <w:rsid w:val="0FF55B68"/>
    <w:rsid w:val="13FD43AD"/>
    <w:rsid w:val="38875404"/>
    <w:rsid w:val="3B39C583"/>
    <w:rsid w:val="3DAB898B"/>
    <w:rsid w:val="3F5F67BA"/>
    <w:rsid w:val="3FCF611B"/>
    <w:rsid w:val="3FF5E013"/>
    <w:rsid w:val="47EE4514"/>
    <w:rsid w:val="4F7D2015"/>
    <w:rsid w:val="57DD93A9"/>
    <w:rsid w:val="5AB20154"/>
    <w:rsid w:val="5AEF4015"/>
    <w:rsid w:val="5BB5E3B4"/>
    <w:rsid w:val="5E378C54"/>
    <w:rsid w:val="5E7150A3"/>
    <w:rsid w:val="5EDFA669"/>
    <w:rsid w:val="5F4BD764"/>
    <w:rsid w:val="5F779C15"/>
    <w:rsid w:val="5FD5E6DB"/>
    <w:rsid w:val="5FF35B8C"/>
    <w:rsid w:val="678F2EDF"/>
    <w:rsid w:val="6A77F8F4"/>
    <w:rsid w:val="6FE21F59"/>
    <w:rsid w:val="71E70508"/>
    <w:rsid w:val="7347D96D"/>
    <w:rsid w:val="73FEBDF9"/>
    <w:rsid w:val="7B77B331"/>
    <w:rsid w:val="7FFFCBAA"/>
    <w:rsid w:val="9D7BC328"/>
    <w:rsid w:val="9FFE5197"/>
    <w:rsid w:val="B6574623"/>
    <w:rsid w:val="B75F9244"/>
    <w:rsid w:val="B7CFA6D7"/>
    <w:rsid w:val="CFEB5894"/>
    <w:rsid w:val="D3F9AA2D"/>
    <w:rsid w:val="D74CC7FD"/>
    <w:rsid w:val="DF5CAC4F"/>
    <w:rsid w:val="DF6F32FE"/>
    <w:rsid w:val="DFB36DAA"/>
    <w:rsid w:val="DFDDCD3A"/>
    <w:rsid w:val="EBFF886A"/>
    <w:rsid w:val="F3E7BCCF"/>
    <w:rsid w:val="F3FF675C"/>
    <w:rsid w:val="F5DD7FF9"/>
    <w:rsid w:val="F76EAF6C"/>
    <w:rsid w:val="F77F6B2F"/>
    <w:rsid w:val="F8FD7C26"/>
    <w:rsid w:val="FAEE1943"/>
    <w:rsid w:val="FAF8D1A6"/>
    <w:rsid w:val="FB9F6379"/>
    <w:rsid w:val="FBE3A585"/>
    <w:rsid w:val="FD73857D"/>
    <w:rsid w:val="FE4FB526"/>
    <w:rsid w:val="FE5BA79F"/>
    <w:rsid w:val="FECD7118"/>
    <w:rsid w:val="FED6D1D4"/>
    <w:rsid w:val="FEFF92A1"/>
    <w:rsid w:val="FFCAD9D2"/>
    <w:rsid w:val="FFFEB1FF"/>
    <w:rsid w:val="FFFEF20F"/>
    <w:rsid w:val="FFFF4A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link w:val="13"/>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link w:val="14"/>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Body Text Indent"/>
    <w:basedOn w:val="1"/>
    <w:qFormat/>
    <w:uiPriority w:val="0"/>
    <w:pPr>
      <w:ind w:left="378" w:hanging="378" w:hangingChars="180"/>
    </w:pPr>
    <w:rPr>
      <w:rFonts w:ascii="宋体" w:hAnsi="宋体"/>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paragraph" w:customStyle="1" w:styleId="12">
    <w:name w:val="批注框文本1"/>
    <w:basedOn w:val="1"/>
    <w:semiHidden/>
    <w:qFormat/>
    <w:uiPriority w:val="0"/>
    <w:rPr>
      <w:sz w:val="18"/>
      <w:szCs w:val="18"/>
    </w:rPr>
  </w:style>
  <w:style w:type="character" w:customStyle="1" w:styleId="13">
    <w:name w:val="标题 3 Char"/>
    <w:link w:val="3"/>
    <w:uiPriority w:val="0"/>
    <w:rPr>
      <w:b/>
      <w:sz w:val="32"/>
    </w:rPr>
  </w:style>
  <w:style w:type="character" w:customStyle="1" w:styleId="14">
    <w:name w:val="标题 4 Char"/>
    <w:link w:val="4"/>
    <w:uiPriority w:val="0"/>
    <w:rPr>
      <w:rFonts w:ascii="Arial" w:hAnsi="Arial" w:eastAsia="黑体"/>
      <w:b/>
      <w:sz w:val="2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Info spid="_x0000_s2054"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sipo</Company>
  <Pages>10</Pages>
  <Words>420</Words>
  <Characters>172</Characters>
  <Lines>1</Lines>
  <Paragraphs>1</Paragraphs>
  <TotalTime>39</TotalTime>
  <ScaleCrop>false</ScaleCrop>
  <LinksUpToDate>false</LinksUpToDate>
  <CharactersWithSpaces>591</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2009-09-16T12:03:00Z</dcterms:created>
  <dc:creator>cxf</dc:creator>
  <cp:lastModifiedBy>王美平</cp:lastModifiedBy>
  <cp:lastPrinted>2003-06-11T03:06:00Z</cp:lastPrinted>
  <dcterms:modified xsi:type="dcterms:W3CDTF">2026-04-03T00:45:02Z</dcterms:modified>
  <dc:title>10003     2002</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F74926D39440B387641D116415F67F4B</vt:lpwstr>
  </property>
</Properties>
</file>