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00D654">
      <w:pPr>
        <w:widowControl/>
        <w:suppressAutoHyphens/>
        <w:bidi w:val="0"/>
        <w:spacing w:before="0" w:after="240" w:line="276" w:lineRule="auto"/>
        <w:jc w:val="center"/>
        <w:rPr>
          <w:rFonts w:hint="eastAsia" w:asciiTheme="minorEastAsia" w:hAnsiTheme="minorEastAsia" w:eastAsiaTheme="minorEastAsia" w:cstheme="minorEastAsia"/>
          <w:b/>
          <w:color w:val="auto"/>
          <w:kern w:val="0"/>
          <w:sz w:val="32"/>
          <w:szCs w:val="22"/>
          <w:lang w:eastAsia="zh-CN"/>
        </w:rPr>
      </w:pPr>
      <w:r>
        <w:rPr>
          <w:rFonts w:hint="eastAsia" w:asciiTheme="minorEastAsia" w:hAnsiTheme="minorEastAsia" w:eastAsiaTheme="minorEastAsia" w:cstheme="minorEastAsia"/>
          <w:b/>
          <w:color w:val="auto"/>
          <w:kern w:val="0"/>
          <w:sz w:val="32"/>
          <w:szCs w:val="22"/>
          <w:lang w:eastAsia="zh-CN"/>
        </w:rPr>
        <w:t>一种基于知识图谱的 DeepResearch 报告评估方法及系统</w:t>
      </w:r>
    </w:p>
    <w:p w14:paraId="0CA63348">
      <w:pPr>
        <w:widowControl/>
        <w:suppressAutoHyphens/>
        <w:bidi w:val="0"/>
        <w:spacing w:before="120" w:after="120" w:line="400" w:lineRule="exact"/>
        <w:jc w:val="left"/>
        <w:rPr>
          <w:rFonts w:hint="eastAsia" w:asciiTheme="minorEastAsia" w:hAnsiTheme="minorEastAsia" w:eastAsiaTheme="minorEastAsia" w:cstheme="minorEastAsia"/>
          <w:color w:val="auto"/>
          <w:kern w:val="0"/>
          <w:sz w:val="24"/>
          <w:szCs w:val="22"/>
          <w:lang w:eastAsia="en-US"/>
        </w:rPr>
      </w:pPr>
      <w:r>
        <w:rPr>
          <w:rFonts w:hint="eastAsia" w:asciiTheme="minorEastAsia" w:hAnsiTheme="minorEastAsia" w:eastAsiaTheme="minorEastAsia" w:cstheme="minorEastAsia"/>
          <w:b/>
          <w:color w:val="auto"/>
          <w:kern w:val="0"/>
          <w:sz w:val="28"/>
          <w:szCs w:val="22"/>
          <w:lang w:eastAsia="en-US"/>
        </w:rPr>
        <w:t>【技术领域】</w:t>
      </w:r>
    </w:p>
    <w:p w14:paraId="4846191F">
      <w:pPr>
        <w:widowControl w:val="0"/>
        <w:suppressAutoHyphens/>
        <w:bidi w:val="0"/>
        <w:spacing w:before="0" w:after="0" w:line="360" w:lineRule="auto"/>
        <w:ind w:firstLine="420" w:firstLineChars="0"/>
        <w:jc w:val="both"/>
        <w:rPr>
          <w:rFonts w:hint="eastAsia" w:asciiTheme="minorEastAsia" w:hAnsiTheme="minorEastAsia" w:eastAsiaTheme="minorEastAsia" w:cstheme="minorEastAsia"/>
          <w:color w:val="auto"/>
          <w:kern w:val="2"/>
          <w:sz w:val="24"/>
          <w:szCs w:val="24"/>
          <w:lang w:val="en-US" w:eastAsia="zh-CN"/>
        </w:rPr>
      </w:pPr>
      <w:r>
        <w:rPr>
          <w:rFonts w:hint="eastAsia" w:asciiTheme="minorEastAsia" w:hAnsiTheme="minorEastAsia" w:eastAsiaTheme="minorEastAsia" w:cstheme="minorEastAsia"/>
          <w:color w:val="auto"/>
          <w:kern w:val="2"/>
          <w:sz w:val="24"/>
          <w:szCs w:val="24"/>
          <w:lang w:val="en-US" w:eastAsia="zh-CN"/>
        </w:rPr>
        <w:t>本发明涉及人工智能、自然语言处理以及知识图谱分析技术领域，尤其涉及一种面向</w:t>
      </w:r>
      <w:r>
        <w:rPr>
          <w:rFonts w:hint="eastAsia" w:asciiTheme="minorEastAsia" w:hAnsiTheme="minorEastAsia" w:eastAsiaTheme="minorEastAsia" w:cstheme="minorEastAsia"/>
          <w:color w:val="auto"/>
          <w:kern w:val="2"/>
          <w:sz w:val="24"/>
          <w:szCs w:val="24"/>
          <w:lang w:val="en-US" w:eastAsia="zh-CN"/>
        </w:rPr>
        <w:t>DeepResearch</w:t>
      </w:r>
      <w:r>
        <w:rPr>
          <w:rFonts w:hint="eastAsia" w:asciiTheme="minorEastAsia" w:hAnsiTheme="minorEastAsia" w:eastAsiaTheme="minorEastAsia" w:cstheme="minorEastAsia"/>
          <w:color w:val="auto"/>
          <w:kern w:val="2"/>
          <w:sz w:val="24"/>
          <w:szCs w:val="24"/>
          <w:lang w:val="en-US" w:eastAsia="zh-CN"/>
        </w:rPr>
        <w:t>系统生成之研究报告的全面性与深度性度量方法及系统。</w:t>
      </w:r>
    </w:p>
    <w:p w14:paraId="45C19671">
      <w:pPr>
        <w:widowControl/>
        <w:suppressAutoHyphens/>
        <w:bidi w:val="0"/>
        <w:spacing w:before="120" w:after="120" w:line="400" w:lineRule="exact"/>
        <w:jc w:val="left"/>
        <w:rPr>
          <w:rFonts w:hint="eastAsia" w:asciiTheme="minorEastAsia" w:hAnsiTheme="minorEastAsia" w:eastAsiaTheme="minorEastAsia" w:cstheme="minorEastAsia"/>
          <w:color w:val="auto"/>
          <w:kern w:val="0"/>
          <w:sz w:val="24"/>
          <w:szCs w:val="22"/>
          <w:lang w:eastAsia="en-US"/>
        </w:rPr>
      </w:pPr>
      <w:r>
        <w:rPr>
          <w:rFonts w:hint="eastAsia" w:asciiTheme="minorEastAsia" w:hAnsiTheme="minorEastAsia" w:eastAsiaTheme="minorEastAsia" w:cstheme="minorEastAsia"/>
          <w:b/>
          <w:color w:val="auto"/>
          <w:kern w:val="0"/>
          <w:sz w:val="28"/>
          <w:szCs w:val="22"/>
          <w:lang w:eastAsia="en-US"/>
        </w:rPr>
        <w:t>【背景技术】</w:t>
      </w:r>
    </w:p>
    <w:p w14:paraId="2CC07B45">
      <w:pPr>
        <w:widowControl w:val="0"/>
        <w:suppressAutoHyphens/>
        <w:bidi w:val="0"/>
        <w:spacing w:before="0" w:after="0" w:line="360" w:lineRule="auto"/>
        <w:ind w:firstLine="420" w:firstLineChars="0"/>
        <w:jc w:val="both"/>
        <w:rPr>
          <w:rFonts w:hint="eastAsia" w:asciiTheme="minorEastAsia" w:hAnsiTheme="minorEastAsia" w:eastAsiaTheme="minorEastAsia" w:cstheme="minorEastAsia"/>
          <w:color w:val="auto"/>
          <w:kern w:val="2"/>
          <w:sz w:val="24"/>
          <w:szCs w:val="24"/>
          <w:lang w:val="en-US" w:eastAsia="zh-CN"/>
        </w:rPr>
      </w:pPr>
      <w:r>
        <w:rPr>
          <w:rFonts w:hint="eastAsia" w:asciiTheme="minorEastAsia" w:hAnsiTheme="minorEastAsia" w:eastAsiaTheme="minorEastAsia" w:cstheme="minorEastAsia"/>
          <w:color w:val="auto"/>
          <w:kern w:val="2"/>
          <w:sz w:val="24"/>
          <w:szCs w:val="24"/>
          <w:lang w:val="en-US" w:eastAsia="zh-CN"/>
        </w:rPr>
        <w:t>当前，由</w:t>
      </w:r>
      <w:r>
        <w:rPr>
          <w:rFonts w:hint="eastAsia" w:asciiTheme="minorEastAsia" w:hAnsiTheme="minorEastAsia" w:eastAsiaTheme="minorEastAsia" w:cstheme="minorEastAsia"/>
          <w:color w:val="auto"/>
          <w:kern w:val="2"/>
          <w:sz w:val="24"/>
          <w:szCs w:val="24"/>
          <w:lang w:val="en-US" w:eastAsia="zh-CN"/>
        </w:rPr>
        <w:t>DeepResearch</w:t>
      </w:r>
      <w:r>
        <w:rPr>
          <w:rFonts w:hint="eastAsia" w:asciiTheme="minorEastAsia" w:hAnsiTheme="minorEastAsia" w:eastAsiaTheme="minorEastAsia" w:cstheme="minorEastAsia"/>
          <w:color w:val="auto"/>
          <w:kern w:val="2"/>
          <w:sz w:val="24"/>
          <w:szCs w:val="24"/>
          <w:lang w:val="en-US" w:eastAsia="zh-CN"/>
        </w:rPr>
        <w:t>等自动化研究系统生成的长篇研究报告，已经成为行业洞察、市场分析、技术趋势研判等场景中的重要信息载体。此类报告通常篇幅较长、信息来源复杂、论证链条多层展开，因而其质量评估不仅关系到报告本身的可用性，也直接关系到上游生成模型与下游业务决策的可靠性。</w:t>
      </w:r>
    </w:p>
    <w:p w14:paraId="35B0DE79">
      <w:pPr>
        <w:widowControl w:val="0"/>
        <w:suppressAutoHyphens/>
        <w:bidi w:val="0"/>
        <w:spacing w:before="0" w:after="0" w:line="360" w:lineRule="auto"/>
        <w:ind w:firstLine="420" w:firstLineChars="0"/>
        <w:jc w:val="both"/>
        <w:rPr>
          <w:rFonts w:hint="eastAsia" w:asciiTheme="minorEastAsia" w:hAnsiTheme="minorEastAsia" w:eastAsiaTheme="minorEastAsia" w:cstheme="minorEastAsia"/>
          <w:color w:val="auto"/>
          <w:kern w:val="2"/>
          <w:sz w:val="24"/>
          <w:szCs w:val="24"/>
          <w:lang w:val="en-US" w:eastAsia="zh-CN"/>
        </w:rPr>
      </w:pPr>
      <w:r>
        <w:rPr>
          <w:rFonts w:hint="eastAsia" w:asciiTheme="minorEastAsia" w:hAnsiTheme="minorEastAsia" w:eastAsiaTheme="minorEastAsia" w:cstheme="minorEastAsia"/>
          <w:color w:val="auto"/>
          <w:kern w:val="2"/>
          <w:sz w:val="24"/>
          <w:szCs w:val="24"/>
          <w:lang w:val="en-US" w:eastAsia="zh-CN"/>
        </w:rPr>
        <w:t>现有技术中，对于此类研究报告的质量控制，通常主要采用两类方式。第一类方式是人工抽样审查。该方式通过组织领域专家，对平台产出的部分报告进行抽样或重点审阅，由专家从观点正确性、数据时效性、分析合理性以及结论价值等方面作出综合判断。该方式虽然具有较高的权威性，但强依赖专家经验，成本较高，且难以适配高通量、持续化的报告生产场景。</w:t>
      </w:r>
    </w:p>
    <w:p w14:paraId="006500B3">
      <w:pPr>
        <w:widowControl w:val="0"/>
        <w:suppressAutoHyphens/>
        <w:bidi w:val="0"/>
        <w:spacing w:before="0" w:after="0" w:line="360" w:lineRule="auto"/>
        <w:ind w:firstLine="420" w:firstLineChars="0"/>
        <w:jc w:val="both"/>
        <w:rPr>
          <w:rFonts w:hint="eastAsia" w:asciiTheme="minorEastAsia" w:hAnsiTheme="minorEastAsia" w:eastAsiaTheme="minorEastAsia" w:cstheme="minorEastAsia"/>
          <w:color w:val="auto"/>
          <w:kern w:val="2"/>
          <w:sz w:val="24"/>
          <w:szCs w:val="24"/>
          <w:lang w:val="en-US" w:eastAsia="zh-CN"/>
        </w:rPr>
      </w:pPr>
      <w:r>
        <w:rPr>
          <w:rFonts w:hint="eastAsia" w:asciiTheme="minorEastAsia" w:hAnsiTheme="minorEastAsia" w:eastAsiaTheme="minorEastAsia" w:cstheme="minorEastAsia"/>
          <w:color w:val="auto"/>
          <w:kern w:val="2"/>
          <w:sz w:val="24"/>
          <w:szCs w:val="24"/>
          <w:lang w:val="en-US" w:eastAsia="zh-CN"/>
        </w:rPr>
        <w:t>第二类方式是自动化内容指标监控。该方式通常在平台中集成若干基于自然语言处理技术的分析工具，对大规模生成的报告进行初筛和基础质量监控。常见做法包括：通过关键词覆盖度、主题模型或领域词库比对分析内容覆盖范围；通过外部数据源核查验证报告中数据和信息来源的准确性与时效性；通过可读性指数、语法错误率等指标衡量文本基本质量；以及通过历史报告库比对检测内容重复度，从而评估报告的新颖性。</w:t>
      </w:r>
    </w:p>
    <w:p w14:paraId="5E671DBD">
      <w:pPr>
        <w:widowControl w:val="0"/>
        <w:suppressAutoHyphens/>
        <w:bidi w:val="0"/>
        <w:spacing w:before="0" w:after="0" w:line="360" w:lineRule="auto"/>
        <w:ind w:firstLine="420" w:firstLineChars="0"/>
        <w:jc w:val="both"/>
        <w:rPr>
          <w:rFonts w:hint="eastAsia" w:asciiTheme="minorEastAsia" w:hAnsiTheme="minorEastAsia" w:eastAsiaTheme="minorEastAsia" w:cstheme="minorEastAsia"/>
          <w:color w:val="auto"/>
          <w:kern w:val="2"/>
          <w:sz w:val="24"/>
          <w:szCs w:val="24"/>
          <w:lang w:val="en-US" w:eastAsia="zh-CN"/>
        </w:rPr>
      </w:pPr>
      <w:r>
        <w:rPr>
          <w:rFonts w:hint="eastAsia" w:asciiTheme="minorEastAsia" w:hAnsiTheme="minorEastAsia" w:eastAsiaTheme="minorEastAsia" w:cstheme="minorEastAsia"/>
          <w:color w:val="auto"/>
          <w:kern w:val="2"/>
          <w:sz w:val="24"/>
          <w:szCs w:val="24"/>
          <w:lang w:val="en-US" w:eastAsia="zh-CN"/>
        </w:rPr>
        <w:t>但是，上述自动化方法本质上仍然偏向表层文本分析，主要回答“报告是否提到了某些内容”“报告是否包含某些数据”之类的问题，难以回答“这些内容之间是否形成了严谨的论证链条”“报告是否形成了完整而均衡的知识结构”等更高层次的问题。</w:t>
      </w:r>
    </w:p>
    <w:p w14:paraId="5529D121">
      <w:pPr>
        <w:widowControl w:val="0"/>
        <w:suppressAutoHyphens/>
        <w:bidi w:val="0"/>
        <w:spacing w:before="0" w:after="0" w:line="360" w:lineRule="auto"/>
        <w:ind w:firstLine="420" w:firstLineChars="0"/>
        <w:jc w:val="both"/>
        <w:rPr>
          <w:rFonts w:hint="eastAsia" w:asciiTheme="minorEastAsia" w:hAnsiTheme="minorEastAsia" w:eastAsiaTheme="minorEastAsia" w:cstheme="minorEastAsia"/>
          <w:color w:val="auto"/>
          <w:kern w:val="2"/>
          <w:sz w:val="24"/>
          <w:szCs w:val="24"/>
          <w:lang w:val="en-US" w:eastAsia="zh-CN"/>
        </w:rPr>
      </w:pPr>
      <w:r>
        <w:rPr>
          <w:rFonts w:hint="eastAsia" w:asciiTheme="minorEastAsia" w:hAnsiTheme="minorEastAsia" w:eastAsiaTheme="minorEastAsia" w:cstheme="minorEastAsia"/>
          <w:color w:val="auto"/>
          <w:kern w:val="2"/>
          <w:sz w:val="24"/>
          <w:szCs w:val="24"/>
          <w:lang w:val="en-US" w:eastAsia="zh-CN"/>
        </w:rPr>
        <w:t>进一步地，现有部分技术（例如中国专利文献 CN202510106809.0，公开了“一种基于知识图谱的大模型回答效果评估方法及系统”）虽尝试将知识图谱用于大模型输出效果评估，但其多数评估对象仍是简单的问答对或者短文本回答，图谱节点通常采用碎片化的关键词或实体，边关系多为静态属性关联或分类关系，评估重点偏向回答准确性校验。对于</w:t>
      </w:r>
      <w:r>
        <w:rPr>
          <w:rFonts w:hint="eastAsia" w:asciiTheme="minorEastAsia" w:hAnsiTheme="minorEastAsia" w:eastAsiaTheme="minorEastAsia" w:cstheme="minorEastAsia"/>
          <w:color w:val="auto"/>
          <w:kern w:val="2"/>
          <w:sz w:val="24"/>
          <w:szCs w:val="24"/>
          <w:lang w:val="en-US" w:eastAsia="zh-CN"/>
        </w:rPr>
        <w:t>DeepResearch</w:t>
      </w:r>
      <w:r>
        <w:rPr>
          <w:rFonts w:hint="eastAsia" w:asciiTheme="minorEastAsia" w:hAnsiTheme="minorEastAsia" w:eastAsiaTheme="minorEastAsia" w:cstheme="minorEastAsia"/>
          <w:color w:val="auto"/>
          <w:kern w:val="2"/>
          <w:sz w:val="24"/>
          <w:szCs w:val="24"/>
          <w:lang w:val="en-US" w:eastAsia="zh-CN"/>
        </w:rPr>
        <w:t>系统生成的长篇复杂研究报告，上述技术路线难以刻画报告内部由背景、数据、发现、结论所构成的语义完整事实单元，也难以表达因果、归纳、演绎、比较等动态推理关系，因而无法有效量化报告的逻辑深度与内容全面性。</w:t>
      </w:r>
    </w:p>
    <w:p w14:paraId="4C4F72F9">
      <w:pPr>
        <w:widowControl w:val="0"/>
        <w:suppressAutoHyphens/>
        <w:bidi w:val="0"/>
        <w:spacing w:before="0" w:after="0" w:line="360" w:lineRule="auto"/>
        <w:ind w:firstLine="420" w:firstLineChars="0"/>
        <w:jc w:val="both"/>
        <w:rPr>
          <w:rFonts w:hint="eastAsia" w:asciiTheme="minorEastAsia" w:hAnsiTheme="minorEastAsia" w:eastAsiaTheme="minorEastAsia" w:cstheme="minorEastAsia"/>
          <w:color w:val="auto"/>
          <w:kern w:val="2"/>
          <w:sz w:val="24"/>
          <w:szCs w:val="24"/>
          <w:lang w:val="en-US" w:eastAsia="zh-CN"/>
        </w:rPr>
      </w:pPr>
      <w:r>
        <w:rPr>
          <w:rFonts w:hint="eastAsia" w:asciiTheme="minorEastAsia" w:hAnsiTheme="minorEastAsia" w:eastAsiaTheme="minorEastAsia" w:cstheme="minorEastAsia"/>
          <w:color w:val="auto"/>
          <w:kern w:val="2"/>
          <w:sz w:val="24"/>
          <w:szCs w:val="24"/>
          <w:lang w:val="en-US" w:eastAsia="zh-CN"/>
        </w:rPr>
        <w:t>具体而言，现有技术至少存在以下缺陷：一是评估维度表面化，现有自动化指标更多是“清单式”检查，无法区分事实罗列与严谨推演；二是缺乏结构化的全面性评估，难以判断报告的知识体系是否完整以及不同知识模块是否均衡；三是诊断反馈能力不足，当报告质量较低时，现有方法难以定位论证链条中的薄弱环节，也难以给出应补充何类事实、应强化何种推理的可操作建议；四是人工审查成本高昂而自动化方法又过于浅表，导致评估体系在可扩展性与深度之间长期处于失衡状态。</w:t>
      </w:r>
    </w:p>
    <w:p w14:paraId="6180CAF6">
      <w:pPr>
        <w:widowControl w:val="0"/>
        <w:suppressAutoHyphens/>
        <w:bidi w:val="0"/>
        <w:spacing w:before="0" w:after="0" w:line="360" w:lineRule="auto"/>
        <w:ind w:firstLine="420" w:firstLineChars="0"/>
        <w:jc w:val="both"/>
        <w:rPr>
          <w:rFonts w:hint="eastAsia" w:asciiTheme="minorEastAsia" w:hAnsiTheme="minorEastAsia" w:eastAsiaTheme="minorEastAsia" w:cstheme="minorEastAsia"/>
          <w:color w:val="auto"/>
          <w:kern w:val="2"/>
          <w:sz w:val="24"/>
          <w:szCs w:val="24"/>
          <w:lang w:val="en-US" w:eastAsia="zh-CN"/>
        </w:rPr>
      </w:pPr>
      <w:r>
        <w:rPr>
          <w:rFonts w:hint="eastAsia" w:asciiTheme="minorEastAsia" w:hAnsiTheme="minorEastAsia" w:eastAsiaTheme="minorEastAsia" w:cstheme="minorEastAsia"/>
          <w:color w:val="auto"/>
          <w:kern w:val="2"/>
          <w:sz w:val="24"/>
          <w:szCs w:val="24"/>
          <w:lang w:val="en-US" w:eastAsia="zh-CN"/>
        </w:rPr>
        <w:t>因此，亟需一种能够把非结构化研究报告转化为可计算、可分析的结构化知识表示，并基于图谱的结构特征对报告的全面性与深度性进行客观量化和诊断分析的新方法。</w:t>
      </w:r>
    </w:p>
    <w:p w14:paraId="0511390B">
      <w:pPr>
        <w:widowControl/>
        <w:suppressAutoHyphens/>
        <w:bidi w:val="0"/>
        <w:spacing w:before="120" w:after="120" w:line="400" w:lineRule="exact"/>
        <w:jc w:val="left"/>
        <w:rPr>
          <w:rFonts w:hint="eastAsia" w:asciiTheme="minorEastAsia" w:hAnsiTheme="minorEastAsia" w:eastAsiaTheme="minorEastAsia" w:cstheme="minorEastAsia"/>
          <w:b/>
          <w:color w:val="auto"/>
          <w:kern w:val="0"/>
          <w:sz w:val="24"/>
          <w:szCs w:val="22"/>
          <w:lang w:eastAsia="en-US"/>
        </w:rPr>
      </w:pPr>
      <w:r>
        <w:rPr>
          <w:rFonts w:hint="eastAsia" w:asciiTheme="minorEastAsia" w:hAnsiTheme="minorEastAsia" w:eastAsiaTheme="minorEastAsia" w:cstheme="minorEastAsia"/>
          <w:b/>
          <w:color w:val="auto"/>
          <w:kern w:val="0"/>
          <w:sz w:val="28"/>
          <w:szCs w:val="22"/>
          <w:lang w:eastAsia="en-US"/>
        </w:rPr>
        <w:t>【发明内容】</w:t>
      </w:r>
    </w:p>
    <w:p w14:paraId="1CC27951">
      <w:pPr>
        <w:widowControl/>
        <w:suppressAutoHyphens/>
        <w:bidi w:val="0"/>
        <w:spacing w:before="60" w:after="60" w:line="360" w:lineRule="exact"/>
        <w:jc w:val="left"/>
        <w:rPr>
          <w:rFonts w:hint="eastAsia" w:asciiTheme="minorEastAsia" w:hAnsiTheme="minorEastAsia" w:eastAsiaTheme="minorEastAsia" w:cstheme="minorEastAsia"/>
          <w:color w:val="auto"/>
          <w:kern w:val="0"/>
          <w:sz w:val="24"/>
          <w:szCs w:val="22"/>
          <w:lang w:eastAsia="en-US"/>
        </w:rPr>
      </w:pPr>
      <w:r>
        <w:rPr>
          <w:rFonts w:hint="eastAsia" w:asciiTheme="minorEastAsia" w:hAnsiTheme="minorEastAsia" w:eastAsiaTheme="minorEastAsia" w:cstheme="minorEastAsia"/>
          <w:b/>
          <w:color w:val="auto"/>
          <w:kern w:val="0"/>
          <w:sz w:val="24"/>
          <w:szCs w:val="22"/>
          <w:lang w:eastAsia="en-US"/>
        </w:rPr>
        <w:t>技术问题</w:t>
      </w:r>
    </w:p>
    <w:p w14:paraId="04F18D00">
      <w:pPr>
        <w:widowControl w:val="0"/>
        <w:suppressAutoHyphens/>
        <w:bidi w:val="0"/>
        <w:spacing w:before="0" w:after="0" w:line="360" w:lineRule="auto"/>
        <w:ind w:firstLine="420" w:firstLineChars="0"/>
        <w:jc w:val="both"/>
        <w:rPr>
          <w:rFonts w:hint="eastAsia" w:asciiTheme="minorEastAsia" w:hAnsiTheme="minorEastAsia" w:eastAsiaTheme="minorEastAsia" w:cstheme="minorEastAsia"/>
          <w:b/>
          <w:color w:val="auto"/>
          <w:kern w:val="0"/>
          <w:sz w:val="24"/>
          <w:szCs w:val="22"/>
          <w:lang w:eastAsia="en-US"/>
        </w:rPr>
      </w:pPr>
      <w:r>
        <w:rPr>
          <w:rFonts w:hint="eastAsia" w:asciiTheme="minorEastAsia" w:hAnsiTheme="minorEastAsia" w:eastAsiaTheme="minorEastAsia" w:cstheme="minorEastAsia"/>
          <w:color w:val="auto"/>
          <w:kern w:val="2"/>
          <w:sz w:val="24"/>
          <w:szCs w:val="24"/>
          <w:lang w:val="en-US" w:eastAsia="zh-CN"/>
        </w:rPr>
        <w:t>本发明要解决的技术问题是：如何提供一种面向</w:t>
      </w:r>
      <w:r>
        <w:rPr>
          <w:rFonts w:hint="eastAsia" w:asciiTheme="minorEastAsia" w:hAnsiTheme="minorEastAsia" w:eastAsiaTheme="minorEastAsia" w:cstheme="minorEastAsia"/>
          <w:color w:val="auto"/>
          <w:kern w:val="2"/>
          <w:sz w:val="24"/>
          <w:szCs w:val="24"/>
          <w:lang w:val="en-US" w:eastAsia="zh-CN"/>
        </w:rPr>
        <w:t>DeepResearch</w:t>
      </w:r>
      <w:r>
        <w:rPr>
          <w:rFonts w:hint="eastAsia" w:asciiTheme="minorEastAsia" w:hAnsiTheme="minorEastAsia" w:eastAsiaTheme="minorEastAsia" w:cstheme="minorEastAsia"/>
          <w:color w:val="auto"/>
          <w:kern w:val="2"/>
          <w:sz w:val="24"/>
          <w:szCs w:val="24"/>
          <w:lang w:val="en-US" w:eastAsia="zh-CN"/>
        </w:rPr>
        <w:t>系统研究报告的质量评估方法及系统，使其能够在不依赖大规模人工逐份审阅的情况下，深入刻画报告内部的知识结构与论证脉络，实现对研究报告全面性与深度性的客观量化评估，并进一步输出具有诊断意义的分析结果。</w:t>
      </w:r>
    </w:p>
    <w:p w14:paraId="5285DEDC">
      <w:pPr>
        <w:widowControl/>
        <w:suppressAutoHyphens/>
        <w:bidi w:val="0"/>
        <w:spacing w:before="60" w:after="60" w:line="360" w:lineRule="exact"/>
        <w:jc w:val="left"/>
        <w:rPr>
          <w:rFonts w:hint="eastAsia" w:asciiTheme="minorEastAsia" w:hAnsiTheme="minorEastAsia" w:eastAsiaTheme="minorEastAsia" w:cstheme="minorEastAsia"/>
          <w:color w:val="auto"/>
          <w:kern w:val="0"/>
          <w:sz w:val="24"/>
          <w:szCs w:val="22"/>
          <w:lang w:eastAsia="en-US"/>
        </w:rPr>
      </w:pPr>
      <w:r>
        <w:rPr>
          <w:rFonts w:hint="eastAsia" w:asciiTheme="minorEastAsia" w:hAnsiTheme="minorEastAsia" w:eastAsiaTheme="minorEastAsia" w:cstheme="minorEastAsia"/>
          <w:b/>
          <w:color w:val="auto"/>
          <w:kern w:val="0"/>
          <w:sz w:val="24"/>
          <w:szCs w:val="22"/>
          <w:lang w:eastAsia="en-US"/>
        </w:rPr>
        <w:t>技术方案</w:t>
      </w:r>
    </w:p>
    <w:p w14:paraId="3BE24E0E">
      <w:pPr>
        <w:widowControl w:val="0"/>
        <w:suppressAutoHyphens/>
        <w:bidi w:val="0"/>
        <w:spacing w:before="0" w:after="0" w:line="360" w:lineRule="auto"/>
        <w:ind w:firstLine="420" w:firstLineChars="0"/>
        <w:jc w:val="both"/>
        <w:rPr>
          <w:rFonts w:hint="eastAsia" w:asciiTheme="minorEastAsia" w:hAnsiTheme="minorEastAsia" w:eastAsiaTheme="minorEastAsia" w:cstheme="minorEastAsia"/>
          <w:color w:val="auto"/>
          <w:kern w:val="2"/>
          <w:sz w:val="24"/>
          <w:szCs w:val="24"/>
          <w:lang w:val="en-US" w:eastAsia="zh-CN"/>
        </w:rPr>
      </w:pPr>
      <w:r>
        <w:rPr>
          <w:rFonts w:hint="eastAsia" w:asciiTheme="minorEastAsia" w:hAnsiTheme="minorEastAsia" w:eastAsiaTheme="minorEastAsia" w:cstheme="minorEastAsia"/>
          <w:color w:val="auto"/>
          <w:kern w:val="2"/>
          <w:sz w:val="24"/>
          <w:szCs w:val="24"/>
          <w:lang w:val="en-US" w:eastAsia="zh-CN"/>
        </w:rPr>
        <w:t>为解决上述技术问题，本发明提供一种基于知识图谱的</w:t>
      </w:r>
      <w:r>
        <w:rPr>
          <w:rFonts w:hint="eastAsia" w:asciiTheme="minorEastAsia" w:hAnsiTheme="minorEastAsia" w:eastAsiaTheme="minorEastAsia" w:cstheme="minorEastAsia"/>
          <w:color w:val="auto"/>
          <w:kern w:val="2"/>
          <w:sz w:val="24"/>
          <w:szCs w:val="24"/>
          <w:lang w:val="en-US" w:eastAsia="zh-CN"/>
        </w:rPr>
        <w:t>DeepResearch</w:t>
      </w:r>
      <w:r>
        <w:rPr>
          <w:rFonts w:hint="eastAsia" w:asciiTheme="minorEastAsia" w:hAnsiTheme="minorEastAsia" w:eastAsiaTheme="minorEastAsia" w:cstheme="minorEastAsia"/>
          <w:color w:val="auto"/>
          <w:kern w:val="2"/>
          <w:sz w:val="24"/>
          <w:szCs w:val="24"/>
          <w:lang w:val="en-US" w:eastAsia="zh-CN"/>
        </w:rPr>
        <w:t>研究报告全面性与深度性度量方法，所述方法包括以下步骤：</w:t>
      </w:r>
    </w:p>
    <w:p w14:paraId="34C37ADC">
      <w:pPr>
        <w:widowControl w:val="0"/>
        <w:suppressAutoHyphens/>
        <w:bidi w:val="0"/>
        <w:spacing w:before="0" w:after="0" w:line="360" w:lineRule="auto"/>
        <w:ind w:firstLine="420" w:firstLineChars="0"/>
        <w:jc w:val="both"/>
        <w:rPr>
          <w:rFonts w:hint="eastAsia" w:asciiTheme="minorEastAsia" w:hAnsiTheme="minorEastAsia" w:eastAsiaTheme="minorEastAsia" w:cstheme="minorEastAsia"/>
          <w:color w:val="auto"/>
          <w:kern w:val="2"/>
          <w:sz w:val="24"/>
          <w:szCs w:val="24"/>
          <w:lang w:val="en-US" w:eastAsia="zh-CN"/>
        </w:rPr>
      </w:pPr>
      <w:r>
        <w:rPr>
          <w:rFonts w:hint="eastAsia" w:asciiTheme="minorEastAsia" w:hAnsiTheme="minorEastAsia" w:eastAsiaTheme="minorEastAsia" w:cstheme="minorEastAsia"/>
          <w:color w:val="auto"/>
          <w:kern w:val="2"/>
          <w:sz w:val="24"/>
          <w:szCs w:val="24"/>
          <w:lang w:val="en-US" w:eastAsia="zh-CN"/>
        </w:rPr>
        <w:t>步骤S1，研究报告预处理与文本分块：获取待评估的</w:t>
      </w:r>
      <w:r>
        <w:rPr>
          <w:rFonts w:hint="eastAsia" w:asciiTheme="minorEastAsia" w:hAnsiTheme="minorEastAsia" w:eastAsiaTheme="minorEastAsia" w:cstheme="minorEastAsia"/>
          <w:color w:val="auto"/>
          <w:kern w:val="2"/>
          <w:sz w:val="24"/>
          <w:szCs w:val="24"/>
          <w:lang w:val="en-US" w:eastAsia="zh-CN"/>
        </w:rPr>
        <w:t>DeepResearch</w:t>
      </w:r>
      <w:r>
        <w:rPr>
          <w:rFonts w:hint="eastAsia" w:asciiTheme="minorEastAsia" w:hAnsiTheme="minorEastAsia" w:eastAsiaTheme="minorEastAsia" w:cstheme="minorEastAsia"/>
          <w:color w:val="auto"/>
          <w:kern w:val="2"/>
          <w:sz w:val="24"/>
          <w:szCs w:val="24"/>
          <w:lang w:val="en-US" w:eastAsia="zh-CN"/>
        </w:rPr>
        <w:t>研究报告，将报告导出为可解析文本格式，并依据章节结构、语义边界或者上下文窗口大小将报告划分为多个文本块，为后续事实提取和推理识别提供处理单元。</w:t>
      </w:r>
    </w:p>
    <w:p w14:paraId="2F733280">
      <w:pPr>
        <w:widowControl w:val="0"/>
        <w:suppressAutoHyphens/>
        <w:bidi w:val="0"/>
        <w:spacing w:before="0" w:after="0" w:line="360" w:lineRule="auto"/>
        <w:ind w:firstLine="420" w:firstLineChars="0"/>
        <w:jc w:val="both"/>
        <w:rPr>
          <w:rFonts w:hint="eastAsia" w:asciiTheme="minorEastAsia" w:hAnsiTheme="minorEastAsia" w:eastAsiaTheme="minorEastAsia" w:cstheme="minorEastAsia"/>
          <w:color w:val="auto"/>
          <w:kern w:val="2"/>
          <w:sz w:val="24"/>
          <w:szCs w:val="24"/>
          <w:lang w:val="en-US" w:eastAsia="zh-CN"/>
        </w:rPr>
      </w:pPr>
      <w:r>
        <w:rPr>
          <w:rFonts w:hint="eastAsia" w:asciiTheme="minorEastAsia" w:hAnsiTheme="minorEastAsia" w:eastAsiaTheme="minorEastAsia" w:cstheme="minorEastAsia"/>
          <w:color w:val="auto"/>
          <w:kern w:val="2"/>
          <w:sz w:val="24"/>
          <w:szCs w:val="24"/>
          <w:lang w:val="en-US" w:eastAsia="zh-CN"/>
        </w:rPr>
        <w:t>步骤S2，事实提取与归一化：针对各文本块，调用大语言模型按照预设的事实定义、提取原则及事实分类体系，从文本中抽取具有相对独立语义且可验证的事实单元；所述事实单元至少包括背景/常识事实、方法/过程事实、数据事实、发现/现象事实以及结论/论断事实；随后对全部文本块中提取出的事实节点执行向量化表示、语义相似度计算、重复候选筛选以及基于大语言模型的语义等价判定，以完成事实节点的全局规范化与去重。</w:t>
      </w:r>
    </w:p>
    <w:p w14:paraId="42E04D39">
      <w:pPr>
        <w:widowControl w:val="0"/>
        <w:suppressAutoHyphens/>
        <w:bidi w:val="0"/>
        <w:spacing w:before="0" w:after="0" w:line="360" w:lineRule="auto"/>
        <w:ind w:firstLine="420" w:firstLineChars="0"/>
        <w:jc w:val="both"/>
        <w:rPr>
          <w:rFonts w:hint="eastAsia" w:asciiTheme="minorEastAsia" w:hAnsiTheme="minorEastAsia" w:eastAsiaTheme="minorEastAsia" w:cstheme="minorEastAsia"/>
          <w:color w:val="auto"/>
          <w:kern w:val="2"/>
          <w:sz w:val="24"/>
          <w:szCs w:val="24"/>
          <w:lang w:val="en-US" w:eastAsia="zh-CN"/>
        </w:rPr>
      </w:pPr>
      <w:r>
        <w:rPr>
          <w:rFonts w:hint="eastAsia" w:asciiTheme="minorEastAsia" w:hAnsiTheme="minorEastAsia" w:eastAsiaTheme="minorEastAsia" w:cstheme="minorEastAsia"/>
          <w:color w:val="auto"/>
          <w:kern w:val="2"/>
          <w:sz w:val="24"/>
          <w:szCs w:val="24"/>
          <w:lang w:val="en-US" w:eastAsia="zh-CN"/>
        </w:rPr>
        <w:t>步骤S3，推理关系识别：基于各文本块的原始文本与对应事实节点列表，调用大语言模型识别事实节点之间的逻辑推导关系，并为每一条关系确定推理类型、推理强度及原文证据；所述推理类型至少包括演绎推理、归纳推理、因果推理、类比推理、条件推理和比较推理；系统据此在事实节点之间建立由前提指向结论的有向边。</w:t>
      </w:r>
    </w:p>
    <w:p w14:paraId="13C10692">
      <w:pPr>
        <w:widowControl w:val="0"/>
        <w:suppressAutoHyphens/>
        <w:bidi w:val="0"/>
        <w:spacing w:before="0" w:after="0" w:line="360" w:lineRule="auto"/>
        <w:ind w:firstLine="420" w:firstLineChars="0"/>
        <w:jc w:val="both"/>
        <w:rPr>
          <w:rFonts w:hint="eastAsia" w:asciiTheme="minorEastAsia" w:hAnsiTheme="minorEastAsia" w:eastAsiaTheme="minorEastAsia" w:cstheme="minorEastAsia"/>
          <w:color w:val="auto"/>
          <w:kern w:val="2"/>
          <w:sz w:val="24"/>
          <w:szCs w:val="24"/>
          <w:lang w:val="en-US" w:eastAsia="zh-CN"/>
        </w:rPr>
      </w:pPr>
      <w:r>
        <w:rPr>
          <w:rFonts w:hint="eastAsia" w:asciiTheme="minorEastAsia" w:hAnsiTheme="minorEastAsia" w:eastAsiaTheme="minorEastAsia" w:cstheme="minorEastAsia"/>
          <w:color w:val="auto"/>
          <w:kern w:val="2"/>
          <w:sz w:val="24"/>
          <w:szCs w:val="24"/>
          <w:lang w:val="en-US" w:eastAsia="zh-CN"/>
        </w:rPr>
        <w:t>步骤S4，知识图谱构建与全局聚合：在各文本块内完成局部子图构建后，提取局部子图中具备跨块连接潜力的边缘节点及其局部前提骨架，结合研究报告原文或宏观摘要，识别不同文本块之间的跨块推理关系，在不同子图之间补充有向边，从而形成覆盖全文论证脉络的全局知识图谱；同时对冗余边执行剪枝，以降低图结构噪声。</w:t>
      </w:r>
    </w:p>
    <w:p w14:paraId="0FB6A0D6">
      <w:pPr>
        <w:widowControl w:val="0"/>
        <w:suppressAutoHyphens/>
        <w:bidi w:val="0"/>
        <w:spacing w:before="0" w:after="0" w:line="360" w:lineRule="auto"/>
        <w:ind w:firstLine="420" w:firstLineChars="0"/>
        <w:jc w:val="both"/>
        <w:rPr>
          <w:rFonts w:hint="eastAsia" w:asciiTheme="minorEastAsia" w:hAnsiTheme="minorEastAsia" w:eastAsiaTheme="minorEastAsia" w:cstheme="minorEastAsia"/>
          <w:color w:val="auto"/>
          <w:kern w:val="2"/>
          <w:sz w:val="24"/>
          <w:szCs w:val="24"/>
          <w:lang w:val="en-US" w:eastAsia="zh-CN"/>
        </w:rPr>
      </w:pPr>
      <w:r>
        <w:rPr>
          <w:rFonts w:hint="eastAsia" w:asciiTheme="minorEastAsia" w:hAnsiTheme="minorEastAsia" w:eastAsiaTheme="minorEastAsia" w:cstheme="minorEastAsia"/>
          <w:color w:val="auto"/>
          <w:kern w:val="2"/>
          <w:sz w:val="24"/>
          <w:szCs w:val="24"/>
          <w:lang w:val="en-US" w:eastAsia="zh-CN"/>
        </w:rPr>
        <w:t>步骤S5，量化指标计算：基于所述全局知识图谱，从知识广度和论证深度两个维度计算研究报告的量化指标；其中，知识广度维度至少包括事实节点总数、知识密度、事实类型多样性、主题覆盖广度、事实类型分布均衡度以及创新性事实比例；论证深度维度至少包括最大推理深度、平均推理深度、推理密度、平均论证支撑度、高强度推理比例以及推理类型多样性。</w:t>
      </w:r>
    </w:p>
    <w:p w14:paraId="45F12E6A">
      <w:pPr>
        <w:widowControl w:val="0"/>
        <w:suppressAutoHyphens/>
        <w:bidi w:val="0"/>
        <w:spacing w:before="0" w:after="0" w:line="360" w:lineRule="auto"/>
        <w:ind w:firstLine="420" w:firstLineChars="0"/>
        <w:jc w:val="both"/>
        <w:rPr>
          <w:rFonts w:hint="eastAsia" w:asciiTheme="minorEastAsia" w:hAnsiTheme="minorEastAsia" w:eastAsiaTheme="minorEastAsia" w:cstheme="minorEastAsia"/>
          <w:color w:val="auto"/>
          <w:kern w:val="2"/>
          <w:sz w:val="24"/>
          <w:szCs w:val="24"/>
          <w:lang w:val="en-US" w:eastAsia="zh-CN"/>
        </w:rPr>
      </w:pPr>
      <w:r>
        <w:rPr>
          <w:rFonts w:hint="eastAsia" w:asciiTheme="minorEastAsia" w:hAnsiTheme="minorEastAsia" w:eastAsiaTheme="minorEastAsia" w:cstheme="minorEastAsia"/>
          <w:color w:val="auto"/>
          <w:kern w:val="2"/>
          <w:sz w:val="24"/>
          <w:szCs w:val="24"/>
          <w:lang w:val="en-US" w:eastAsia="zh-CN"/>
        </w:rPr>
        <w:t>步骤S6，综合评估与诊断输出：依据所述量化指标生成研究报告的全面性评分、深度评分及综合评分，并结合知识图谱的节点、边和局部结构，识别结构性缺陷、逻辑跳跃、证据不足、结论支撑薄弱等问题，输出包含强项分析、薄弱环节定位以及改进建议的诊断报告。</w:t>
      </w:r>
    </w:p>
    <w:p w14:paraId="71985E8A">
      <w:pPr>
        <w:widowControl w:val="0"/>
        <w:suppressAutoHyphens/>
        <w:bidi w:val="0"/>
        <w:spacing w:before="0" w:after="0" w:line="360" w:lineRule="auto"/>
        <w:ind w:firstLine="420" w:firstLineChars="0"/>
        <w:jc w:val="both"/>
        <w:rPr>
          <w:rFonts w:hint="eastAsia" w:asciiTheme="minorEastAsia" w:hAnsiTheme="minorEastAsia" w:eastAsiaTheme="minorEastAsia" w:cstheme="minorEastAsia"/>
          <w:color w:val="auto"/>
          <w:kern w:val="2"/>
          <w:sz w:val="24"/>
          <w:szCs w:val="24"/>
          <w:lang w:val="en-US" w:eastAsia="zh-CN"/>
        </w:rPr>
      </w:pPr>
      <w:r>
        <w:rPr>
          <w:rFonts w:hint="eastAsia" w:asciiTheme="minorEastAsia" w:hAnsiTheme="minorEastAsia" w:eastAsiaTheme="minorEastAsia" w:cstheme="minorEastAsia"/>
          <w:color w:val="auto"/>
          <w:kern w:val="2"/>
          <w:sz w:val="24"/>
          <w:szCs w:val="24"/>
          <w:lang w:val="en-US" w:eastAsia="zh-CN"/>
        </w:rPr>
        <w:t>本发明还提供一种基于知识图谱的</w:t>
      </w:r>
      <w:r>
        <w:rPr>
          <w:rFonts w:hint="eastAsia" w:asciiTheme="minorEastAsia" w:hAnsiTheme="minorEastAsia" w:eastAsiaTheme="minorEastAsia" w:cstheme="minorEastAsia"/>
          <w:color w:val="auto"/>
          <w:kern w:val="2"/>
          <w:sz w:val="24"/>
          <w:szCs w:val="24"/>
          <w:lang w:val="en-US" w:eastAsia="zh-CN"/>
        </w:rPr>
        <w:t>DeepResearch</w:t>
      </w:r>
      <w:r>
        <w:rPr>
          <w:rFonts w:hint="eastAsia" w:asciiTheme="minorEastAsia" w:hAnsiTheme="minorEastAsia" w:eastAsiaTheme="minorEastAsia" w:cstheme="minorEastAsia"/>
          <w:color w:val="auto"/>
          <w:kern w:val="2"/>
          <w:sz w:val="24"/>
          <w:szCs w:val="24"/>
          <w:lang w:val="en-US" w:eastAsia="zh-CN"/>
        </w:rPr>
        <w:t>研究报告全面性与深度性度量系统，所述系统包括：研究报告预处理模块，用于获取并分块处理待评估报告；事实提取与归一化模块，用于抽取并规范化事实节点；推理识别模块，用于识别事实之间的推理关系并生成有向边；知识图谱构建模块，用于形成局部子图并完成跨块逻辑缝合；量化评估模块，用于计算全面性与深度性指标；以及诊断输出模块，用于生成综合评分和可解释的诊断结果。</w:t>
      </w:r>
    </w:p>
    <w:p w14:paraId="357139B9">
      <w:pPr>
        <w:widowControl/>
        <w:suppressAutoHyphens/>
        <w:bidi w:val="0"/>
        <w:spacing w:before="60" w:after="60" w:line="360" w:lineRule="exact"/>
        <w:jc w:val="left"/>
        <w:rPr>
          <w:rFonts w:hint="eastAsia" w:asciiTheme="minorEastAsia" w:hAnsiTheme="minorEastAsia" w:eastAsiaTheme="minorEastAsia" w:cstheme="minorEastAsia"/>
          <w:color w:val="auto"/>
          <w:kern w:val="0"/>
          <w:sz w:val="24"/>
          <w:szCs w:val="22"/>
          <w:lang w:eastAsia="en-US"/>
        </w:rPr>
      </w:pPr>
      <w:r>
        <w:rPr>
          <w:rFonts w:hint="eastAsia" w:asciiTheme="minorEastAsia" w:hAnsiTheme="minorEastAsia" w:eastAsiaTheme="minorEastAsia" w:cstheme="minorEastAsia"/>
          <w:b/>
          <w:color w:val="auto"/>
          <w:kern w:val="0"/>
          <w:sz w:val="24"/>
          <w:szCs w:val="22"/>
          <w:lang w:eastAsia="en-US"/>
        </w:rPr>
        <w:t>有益效果</w:t>
      </w:r>
    </w:p>
    <w:p w14:paraId="6FC1BD49">
      <w:pPr>
        <w:widowControl w:val="0"/>
        <w:suppressAutoHyphens/>
        <w:bidi w:val="0"/>
        <w:spacing w:before="0" w:after="0" w:line="360" w:lineRule="auto"/>
        <w:ind w:firstLine="420" w:firstLineChars="0"/>
        <w:jc w:val="both"/>
        <w:rPr>
          <w:rFonts w:hint="eastAsia" w:asciiTheme="minorEastAsia" w:hAnsiTheme="minorEastAsia" w:eastAsiaTheme="minorEastAsia" w:cstheme="minorEastAsia"/>
          <w:color w:val="auto"/>
          <w:kern w:val="2"/>
          <w:sz w:val="24"/>
          <w:szCs w:val="24"/>
          <w:lang w:val="en-US" w:eastAsia="zh-CN"/>
        </w:rPr>
      </w:pPr>
      <w:r>
        <w:rPr>
          <w:rFonts w:hint="eastAsia" w:asciiTheme="minorEastAsia" w:hAnsiTheme="minorEastAsia" w:eastAsiaTheme="minorEastAsia" w:cstheme="minorEastAsia"/>
          <w:color w:val="auto"/>
          <w:kern w:val="2"/>
          <w:sz w:val="24"/>
          <w:szCs w:val="24"/>
          <w:lang w:val="en-US" w:eastAsia="zh-CN"/>
        </w:rPr>
        <w:t>（1）本发明将研究报告中的语义完整事实作为知识图谱的基本节点，而非停留于实体或关键词层面，因而能够更真实地映射报告的知识内容与表达单元。</w:t>
      </w:r>
    </w:p>
    <w:p w14:paraId="52FDFB13">
      <w:pPr>
        <w:widowControl w:val="0"/>
        <w:suppressAutoHyphens/>
        <w:bidi w:val="0"/>
        <w:spacing w:before="0" w:after="0" w:line="360" w:lineRule="auto"/>
        <w:ind w:firstLine="420" w:firstLineChars="0"/>
        <w:jc w:val="both"/>
        <w:rPr>
          <w:rFonts w:hint="eastAsia" w:asciiTheme="minorEastAsia" w:hAnsiTheme="minorEastAsia" w:eastAsiaTheme="minorEastAsia" w:cstheme="minorEastAsia"/>
          <w:color w:val="auto"/>
          <w:kern w:val="2"/>
          <w:sz w:val="24"/>
          <w:szCs w:val="24"/>
          <w:lang w:val="en-US" w:eastAsia="zh-CN"/>
        </w:rPr>
      </w:pPr>
      <w:r>
        <w:rPr>
          <w:rFonts w:hint="eastAsia" w:asciiTheme="minorEastAsia" w:hAnsiTheme="minorEastAsia" w:eastAsiaTheme="minorEastAsia" w:cstheme="minorEastAsia"/>
          <w:color w:val="auto"/>
          <w:kern w:val="2"/>
          <w:sz w:val="24"/>
          <w:szCs w:val="24"/>
          <w:lang w:val="en-US" w:eastAsia="zh-CN"/>
        </w:rPr>
        <w:t>（2）本发明将因果、归纳、演绎、条件、比较等逻辑关系作为图谱边进行建模，能够从结构层面对研究报告的论证深度进行量化分析，而非仅对内容出现与否进行表层核查。</w:t>
      </w:r>
    </w:p>
    <w:p w14:paraId="5F895DFD">
      <w:pPr>
        <w:widowControl w:val="0"/>
        <w:suppressAutoHyphens/>
        <w:bidi w:val="0"/>
        <w:spacing w:before="0" w:after="0" w:line="360" w:lineRule="auto"/>
        <w:ind w:firstLine="420" w:firstLineChars="0"/>
        <w:jc w:val="both"/>
        <w:rPr>
          <w:rFonts w:hint="eastAsia" w:asciiTheme="minorEastAsia" w:hAnsiTheme="minorEastAsia" w:eastAsiaTheme="minorEastAsia" w:cstheme="minorEastAsia"/>
          <w:color w:val="auto"/>
          <w:kern w:val="2"/>
          <w:sz w:val="24"/>
          <w:szCs w:val="24"/>
          <w:lang w:val="en-US" w:eastAsia="zh-CN"/>
        </w:rPr>
      </w:pPr>
      <w:r>
        <w:rPr>
          <w:rFonts w:hint="eastAsia" w:asciiTheme="minorEastAsia" w:hAnsiTheme="minorEastAsia" w:eastAsiaTheme="minorEastAsia" w:cstheme="minorEastAsia"/>
          <w:color w:val="auto"/>
          <w:kern w:val="2"/>
          <w:sz w:val="24"/>
          <w:szCs w:val="24"/>
          <w:lang w:val="en-US" w:eastAsia="zh-CN"/>
        </w:rPr>
        <w:t>（3）本发明通过事实类型、主题覆盖、推理链长度、支撑强度等多类指标联合评估，能够同时刻画研究报告的内容全面性与逻辑深度，并识别仅有结论而缺少数据支撑、仅有现象而缺少推理衔接等结构性缺陷。</w:t>
      </w:r>
    </w:p>
    <w:p w14:paraId="14A00054">
      <w:pPr>
        <w:widowControl w:val="0"/>
        <w:suppressAutoHyphens/>
        <w:bidi w:val="0"/>
        <w:spacing w:before="0" w:after="0" w:line="360" w:lineRule="auto"/>
        <w:ind w:firstLine="420" w:firstLineChars="0"/>
        <w:jc w:val="both"/>
        <w:rPr>
          <w:rFonts w:hint="eastAsia" w:asciiTheme="minorEastAsia" w:hAnsiTheme="minorEastAsia" w:eastAsiaTheme="minorEastAsia" w:cstheme="minorEastAsia"/>
          <w:color w:val="auto"/>
          <w:kern w:val="2"/>
          <w:sz w:val="24"/>
          <w:szCs w:val="24"/>
          <w:lang w:val="en-US" w:eastAsia="zh-CN"/>
        </w:rPr>
      </w:pPr>
      <w:r>
        <w:rPr>
          <w:rFonts w:hint="eastAsia" w:asciiTheme="minorEastAsia" w:hAnsiTheme="minorEastAsia" w:eastAsiaTheme="minorEastAsia" w:cstheme="minorEastAsia"/>
          <w:color w:val="auto"/>
          <w:kern w:val="2"/>
          <w:sz w:val="24"/>
          <w:szCs w:val="24"/>
          <w:lang w:val="en-US" w:eastAsia="zh-CN"/>
        </w:rPr>
        <w:t>（4）本发明基于知识图谱拓扑结构输出诊断结论，能够精确定位论证链条中的薄弱节点和薄弱边，相比人工笼统反馈或简单自动化低分结果，更具有可操作性与可解释性。</w:t>
      </w:r>
    </w:p>
    <w:p w14:paraId="53B702B7">
      <w:pPr>
        <w:widowControl w:val="0"/>
        <w:suppressAutoHyphens/>
        <w:bidi w:val="0"/>
        <w:spacing w:before="0" w:after="0" w:line="360" w:lineRule="auto"/>
        <w:ind w:firstLine="420" w:firstLineChars="0"/>
        <w:jc w:val="both"/>
        <w:rPr>
          <w:rFonts w:hint="eastAsia" w:asciiTheme="minorEastAsia" w:hAnsiTheme="minorEastAsia" w:eastAsiaTheme="minorEastAsia" w:cstheme="minorEastAsia"/>
          <w:color w:val="auto"/>
          <w:kern w:val="2"/>
          <w:sz w:val="24"/>
          <w:szCs w:val="24"/>
          <w:lang w:val="en-US" w:eastAsia="zh-CN"/>
        </w:rPr>
      </w:pPr>
      <w:r>
        <w:rPr>
          <w:rFonts w:hint="eastAsia" w:asciiTheme="minorEastAsia" w:hAnsiTheme="minorEastAsia" w:eastAsiaTheme="minorEastAsia" w:cstheme="minorEastAsia"/>
          <w:color w:val="auto"/>
          <w:kern w:val="2"/>
          <w:sz w:val="24"/>
          <w:szCs w:val="24"/>
          <w:lang w:val="en-US" w:eastAsia="zh-CN"/>
        </w:rPr>
        <w:t>（5）本发明采用基于大语言模型的端到端提取与识别范式，并通过分块处理、跨块缝合和全局去重机制提升规模化处理能力，能够在保证评估深度的同时兼顾客观性、可复现性和可扩展性。</w:t>
      </w:r>
    </w:p>
    <w:p w14:paraId="3F0C5518">
      <w:pPr>
        <w:widowControl/>
        <w:suppressAutoHyphens/>
        <w:bidi w:val="0"/>
        <w:spacing w:before="120" w:after="120" w:line="400" w:lineRule="exact"/>
        <w:jc w:val="left"/>
        <w:rPr>
          <w:rFonts w:hint="eastAsia" w:asciiTheme="minorEastAsia" w:hAnsiTheme="minorEastAsia" w:eastAsiaTheme="minorEastAsia" w:cstheme="minorEastAsia"/>
          <w:b/>
          <w:color w:val="auto"/>
          <w:kern w:val="0"/>
          <w:sz w:val="32"/>
          <w:szCs w:val="24"/>
          <w:lang w:eastAsia="en-US"/>
        </w:rPr>
      </w:pPr>
      <w:r>
        <w:rPr>
          <w:rFonts w:hint="eastAsia" w:asciiTheme="minorEastAsia" w:hAnsiTheme="minorEastAsia" w:eastAsiaTheme="minorEastAsia" w:cstheme="minorEastAsia"/>
          <w:b/>
          <w:color w:val="auto"/>
          <w:kern w:val="0"/>
          <w:sz w:val="32"/>
          <w:szCs w:val="24"/>
          <w:lang w:eastAsia="en-US"/>
        </w:rPr>
        <w:t>【附图说明】</w:t>
      </w:r>
    </w:p>
    <w:p w14:paraId="07367165">
      <w:pPr>
        <w:widowControl w:val="0"/>
        <w:suppressAutoHyphens/>
        <w:bidi w:val="0"/>
        <w:spacing w:before="0" w:after="0" w:line="360" w:lineRule="auto"/>
        <w:ind w:firstLine="420" w:firstLineChars="0"/>
        <w:jc w:val="both"/>
        <w:rPr>
          <w:rFonts w:hint="eastAsia" w:asciiTheme="minorEastAsia" w:hAnsiTheme="minorEastAsia" w:eastAsiaTheme="minorEastAsia" w:cstheme="minorEastAsia"/>
          <w:color w:val="auto"/>
          <w:kern w:val="2"/>
          <w:sz w:val="24"/>
          <w:szCs w:val="24"/>
          <w:lang w:val="en-US" w:eastAsia="zh-CN"/>
        </w:rPr>
      </w:pPr>
      <w:r>
        <w:rPr>
          <w:rFonts w:hint="eastAsia" w:asciiTheme="minorEastAsia" w:hAnsiTheme="minorEastAsia" w:eastAsiaTheme="minorEastAsia" w:cstheme="minorEastAsia"/>
          <w:color w:val="auto"/>
          <w:kern w:val="2"/>
          <w:sz w:val="24"/>
          <w:szCs w:val="24"/>
          <w:lang w:val="en-US" w:eastAsia="zh-CN"/>
        </w:rPr>
        <w:t>图1为本发明基于知识图谱的研究报告评估系统整体架构图；</w:t>
      </w:r>
    </w:p>
    <w:p w14:paraId="143C8144">
      <w:pPr>
        <w:widowControl w:val="0"/>
        <w:suppressAutoHyphens/>
        <w:bidi w:val="0"/>
        <w:spacing w:before="0" w:after="0" w:line="360" w:lineRule="auto"/>
        <w:ind w:firstLine="420" w:firstLineChars="0"/>
        <w:jc w:val="both"/>
        <w:rPr>
          <w:rFonts w:hint="eastAsia" w:asciiTheme="minorEastAsia" w:hAnsiTheme="minorEastAsia" w:eastAsiaTheme="minorEastAsia" w:cstheme="minorEastAsia"/>
          <w:color w:val="auto"/>
          <w:kern w:val="2"/>
          <w:sz w:val="24"/>
          <w:szCs w:val="24"/>
          <w:lang w:val="en-US" w:eastAsia="zh-CN"/>
        </w:rPr>
      </w:pPr>
      <w:r>
        <w:rPr>
          <w:rFonts w:hint="eastAsia" w:asciiTheme="minorEastAsia" w:hAnsiTheme="minorEastAsia" w:eastAsiaTheme="minorEastAsia" w:cstheme="minorEastAsia"/>
          <w:color w:val="auto"/>
          <w:kern w:val="2"/>
          <w:sz w:val="24"/>
          <w:szCs w:val="24"/>
          <w:lang w:val="en-US" w:eastAsia="zh-CN"/>
        </w:rPr>
        <w:t>图2为本发明知识图谱构建流程示意图；</w:t>
      </w:r>
    </w:p>
    <w:p w14:paraId="04AC9283">
      <w:pPr>
        <w:widowControl w:val="0"/>
        <w:suppressAutoHyphens/>
        <w:bidi w:val="0"/>
        <w:spacing w:before="0" w:after="0" w:line="360" w:lineRule="auto"/>
        <w:ind w:firstLine="420" w:firstLineChars="0"/>
        <w:jc w:val="both"/>
        <w:rPr>
          <w:rFonts w:hint="eastAsia" w:asciiTheme="minorEastAsia" w:hAnsiTheme="minorEastAsia" w:eastAsiaTheme="minorEastAsia" w:cstheme="minorEastAsia"/>
          <w:color w:val="auto"/>
          <w:kern w:val="2"/>
          <w:sz w:val="24"/>
          <w:szCs w:val="24"/>
          <w:lang w:val="en-US" w:eastAsia="zh-CN"/>
        </w:rPr>
      </w:pPr>
      <w:r>
        <w:rPr>
          <w:rFonts w:hint="eastAsia" w:asciiTheme="minorEastAsia" w:hAnsiTheme="minorEastAsia" w:eastAsiaTheme="minorEastAsia" w:cstheme="minorEastAsia"/>
          <w:color w:val="auto"/>
          <w:kern w:val="2"/>
          <w:sz w:val="24"/>
          <w:szCs w:val="24"/>
          <w:lang w:val="en-US" w:eastAsia="zh-CN"/>
        </w:rPr>
        <w:t>图3为本发明事实分类体系结构图；</w:t>
      </w:r>
    </w:p>
    <w:p w14:paraId="3D456A07">
      <w:pPr>
        <w:widowControl w:val="0"/>
        <w:suppressAutoHyphens/>
        <w:bidi w:val="0"/>
        <w:spacing w:before="0" w:after="0" w:line="360" w:lineRule="auto"/>
        <w:ind w:firstLine="420" w:firstLineChars="0"/>
        <w:jc w:val="both"/>
        <w:rPr>
          <w:rFonts w:hint="eastAsia" w:asciiTheme="minorEastAsia" w:hAnsiTheme="minorEastAsia" w:eastAsiaTheme="minorEastAsia" w:cstheme="minorEastAsia"/>
          <w:color w:val="auto"/>
          <w:kern w:val="2"/>
          <w:sz w:val="24"/>
          <w:szCs w:val="24"/>
          <w:lang w:val="en-US" w:eastAsia="zh-CN"/>
        </w:rPr>
      </w:pPr>
      <w:r>
        <w:rPr>
          <w:rFonts w:hint="eastAsia" w:asciiTheme="minorEastAsia" w:hAnsiTheme="minorEastAsia" w:eastAsiaTheme="minorEastAsia" w:cstheme="minorEastAsia"/>
          <w:color w:val="auto"/>
          <w:kern w:val="2"/>
          <w:sz w:val="24"/>
          <w:szCs w:val="24"/>
          <w:lang w:val="en-US" w:eastAsia="zh-CN"/>
        </w:rPr>
        <w:t>图4为本发明推理分类体系结构图；</w:t>
      </w:r>
    </w:p>
    <w:p w14:paraId="79C4308E">
      <w:pPr>
        <w:widowControl w:val="0"/>
        <w:suppressAutoHyphens/>
        <w:bidi w:val="0"/>
        <w:spacing w:before="0" w:after="0" w:line="360" w:lineRule="auto"/>
        <w:ind w:firstLine="420" w:firstLineChars="0"/>
        <w:jc w:val="both"/>
        <w:rPr>
          <w:rFonts w:hint="eastAsia" w:asciiTheme="minorEastAsia" w:hAnsiTheme="minorEastAsia" w:eastAsiaTheme="minorEastAsia" w:cstheme="minorEastAsia"/>
          <w:color w:val="auto"/>
          <w:kern w:val="2"/>
          <w:sz w:val="24"/>
          <w:szCs w:val="24"/>
          <w:lang w:val="en-US" w:eastAsia="zh-CN"/>
        </w:rPr>
      </w:pPr>
      <w:r>
        <w:rPr>
          <w:rFonts w:hint="eastAsia" w:asciiTheme="minorEastAsia" w:hAnsiTheme="minorEastAsia" w:eastAsiaTheme="minorEastAsia" w:cstheme="minorEastAsia"/>
          <w:color w:val="auto"/>
          <w:kern w:val="2"/>
          <w:sz w:val="24"/>
          <w:szCs w:val="24"/>
          <w:lang w:val="en-US" w:eastAsia="zh-CN"/>
        </w:rPr>
        <w:t>图5为本发明评估指标体系框架图。</w:t>
      </w:r>
    </w:p>
    <w:p w14:paraId="2BEEB670">
      <w:pPr>
        <w:widowControl/>
        <w:suppressAutoHyphens/>
        <w:bidi w:val="0"/>
        <w:spacing w:before="120" w:after="120" w:line="400" w:lineRule="exact"/>
        <w:jc w:val="left"/>
        <w:rPr>
          <w:rFonts w:hint="eastAsia" w:asciiTheme="minorEastAsia" w:hAnsiTheme="minorEastAsia" w:eastAsiaTheme="minorEastAsia" w:cstheme="minorEastAsia"/>
          <w:b/>
          <w:color w:val="auto"/>
          <w:kern w:val="0"/>
          <w:sz w:val="32"/>
          <w:szCs w:val="24"/>
          <w:lang w:eastAsia="en-US"/>
        </w:rPr>
      </w:pPr>
      <w:r>
        <w:rPr>
          <w:rFonts w:hint="eastAsia" w:asciiTheme="minorEastAsia" w:hAnsiTheme="minorEastAsia" w:eastAsiaTheme="minorEastAsia" w:cstheme="minorEastAsia"/>
          <w:b/>
          <w:color w:val="auto"/>
          <w:kern w:val="0"/>
          <w:sz w:val="32"/>
          <w:szCs w:val="24"/>
          <w:lang w:eastAsia="en-US"/>
        </w:rPr>
        <w:t>【具体实施方式】</w:t>
      </w:r>
    </w:p>
    <w:p w14:paraId="1BFEEEA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0" w:right="0" w:firstLine="0"/>
        <w:rPr>
          <w:rFonts w:hint="eastAsia" w:asciiTheme="minorEastAsia" w:hAnsiTheme="minorEastAsia" w:eastAsiaTheme="minorEastAsia" w:cstheme="minorEastAsia"/>
          <w:i w:val="0"/>
          <w:iCs w:val="0"/>
          <w:caps w:val="0"/>
          <w:color w:val="000000"/>
          <w:spacing w:val="0"/>
          <w:sz w:val="28"/>
          <w:szCs w:val="28"/>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下面结合附图和具体实施方式，对本发明作进一步详细说明。应当理解，下述实施方式仅用于解释本发明，而非用于限定本发明的保护范围。</w:t>
      </w:r>
    </w:p>
    <w:p w14:paraId="21EC8CF6">
      <w:pPr>
        <w:pStyle w:val="6"/>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0" w:right="0" w:firstLine="0"/>
        <w:rPr>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总体实施流程</w:t>
      </w:r>
      <w:r>
        <w:rPr>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 xml:space="preserve"> </w:t>
      </w:r>
    </w:p>
    <w:p w14:paraId="0272E03D">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Chars="0" w:right="0" w:rightChars="0" w:firstLine="420" w:firstLineChars="0"/>
        <w:rPr>
          <w:rFonts w:hint="eastAsia" w:asciiTheme="minorEastAsia" w:hAnsiTheme="minorEastAsia" w:eastAsiaTheme="minorEastAsia" w:cstheme="minorEastAsia"/>
          <w:i w:val="0"/>
          <w:iCs w:val="0"/>
          <w:caps w:val="0"/>
          <w:color w:val="000000"/>
          <w:spacing w:val="0"/>
          <w:sz w:val="28"/>
          <w:szCs w:val="28"/>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本发明的核心思想在于：首先将非结构化研究报告转化为以事实为节点、以推理为边的结构化知识图谱；随后基于该图谱的结构与属性特征，对报告的全面性与深度性进行量化计算；最后依据图谱结构自动生成诊断结论。该流程可以概括为“文本分块—事实提取—推理识别—图谱聚合—指标计算—诊断输出”六个阶段。</w:t>
      </w:r>
    </w:p>
    <w:p w14:paraId="0EC32236">
      <w:pPr>
        <w:pStyle w:val="6"/>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273" w:beforeAutospacing="0" w:after="0" w:afterAutospacing="0" w:line="32" w:lineRule="atLeast"/>
        <w:ind w:left="0" w:leftChars="0" w:right="0" w:firstLine="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知识图谱构建模块的实施</w:t>
      </w: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 </w:t>
      </w:r>
    </w:p>
    <w:p w14:paraId="7BE7462B">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73" w:beforeAutospacing="0" w:after="0" w:afterAutospacing="0" w:line="32" w:lineRule="atLeast"/>
        <w:ind w:leftChars="0" w:right="0" w:right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2.1 事实提取子系统</w:t>
      </w: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 </w:t>
      </w:r>
    </w:p>
    <w:p w14:paraId="46D2F2B6">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73" w:beforeAutospacing="0" w:after="0" w:afterAutospacing="0" w:line="32" w:lineRule="atLeast"/>
        <w:ind w:leftChars="0" w:right="0" w:rightChars="0" w:firstLine="42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本子系统负责将非结构化研究报告文本转化为结构化的事实节点集合。本发明的一个重要特点在于，不再沿用传统实体中心式图谱构建方法，而是直接以更具信息量和上下文语义的事实作为图谱基本节点，从而更直接地映射研究报告中的知识体系与论证单元。 </w:t>
      </w:r>
    </w:p>
    <w:p w14:paraId="3C30F039">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73" w:beforeAutospacing="0" w:after="0" w:afterAutospacing="0" w:line="32" w:lineRule="atLeast"/>
        <w:ind w:leftChars="0" w:right="0" w:right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2.1.1 事实定义与提取原则</w:t>
      </w: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 </w:t>
      </w:r>
    </w:p>
    <w:p w14:paraId="32D3143F">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73" w:beforeAutospacing="0" w:after="0" w:afterAutospacing="0" w:line="32" w:lineRule="atLeast"/>
        <w:ind w:leftChars="0" w:right="0" w:rightChars="0" w:firstLine="42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在本发明中，“事实”是指研究报告文本中被明确陈述、具有相对独立语义且可被验证的最小信息单元。为保证提取结果的一致性与可计算性，事实提取过程优选遵循以下原则： 原子性原则：每个事实应尽可能保持为不可再分的最小语义单元，单个事实对应一个完整信息点； 明确性原则：优先抽取文本中明确表达的内容，并通过指代消解等方式消除歧义； 客观性原则：剔除主观情绪、评价性修饰和难以验证的臆测性表述，保留可验证内容； 规范化原则：对语义等价但表达形式不同的事实，映射为统一、标准化的表述形式。</w:t>
      </w:r>
    </w:p>
    <w:p w14:paraId="4DC2D5EF">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73" w:beforeAutospacing="0" w:after="0" w:afterAutospacing="0" w:line="32" w:lineRule="atLeast"/>
        <w:ind w:right="0" w:right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2.1.2 事实分类体系</w:t>
      </w: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 </w:t>
      </w:r>
    </w:p>
    <w:p w14:paraId="2104B12F">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73" w:beforeAutospacing="0" w:after="0" w:afterAutospacing="0" w:line="32" w:lineRule="atLeast"/>
        <w:ind w:right="0" w:rightChars="0" w:firstLine="420" w:firstLineChars="0"/>
        <w:rPr>
          <w:rFonts w:hint="eastAsia" w:asciiTheme="minorEastAsia" w:hAnsiTheme="minorEastAsia" w:eastAsiaTheme="minorEastAsia" w:cstheme="minorEastAsia"/>
          <w:i w:val="0"/>
          <w:iCs w:val="0"/>
          <w:caps w:val="0"/>
          <w:color w:val="000000"/>
          <w:spacing w:val="0"/>
          <w:sz w:val="28"/>
          <w:szCs w:val="28"/>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为对研究报告进行结构化解析，本发明将事实划分为如下五种类型：</w:t>
      </w:r>
    </w:p>
    <w:p w14:paraId="61A2C1E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105" w:afterAutospacing="0"/>
        <w:ind w:left="840" w:leftChars="0" w:right="0" w:hanging="360"/>
        <w:rPr>
          <w:rStyle w:val="9"/>
          <w:rFonts w:hint="eastAsia" w:asciiTheme="minorEastAsia" w:hAnsiTheme="minorEastAsia" w:eastAsiaTheme="minorEastAsia" w:cstheme="minorEastAsia"/>
          <w:b/>
          <w:bCs/>
          <w:i w:val="0"/>
          <w:iCs w:val="0"/>
          <w:caps w:val="0"/>
          <w:color w:val="000000"/>
          <w:spacing w:val="0"/>
          <w:sz w:val="28"/>
          <w:szCs w:val="28"/>
          <w:shd w:val="clear" w:fill="FFFFFF"/>
        </w:rPr>
      </w:pPr>
      <w:r>
        <w:rPr>
          <w:rStyle w:val="9"/>
          <w:rFonts w:hint="eastAsia" w:asciiTheme="minorEastAsia" w:hAnsiTheme="minorEastAsia" w:eastAsiaTheme="minorEastAsia" w:cstheme="minorEastAsia"/>
          <w:b/>
          <w:bCs/>
          <w:i w:val="0"/>
          <w:iCs w:val="0"/>
          <w:caps w:val="0"/>
          <w:color w:val="000000"/>
          <w:spacing w:val="0"/>
          <w:sz w:val="28"/>
          <w:szCs w:val="28"/>
          <w:shd w:val="clear" w:fill="FFFFFF"/>
        </w:rPr>
        <w:t>背景/常识事实：引入领域背景、公认理论或常识性信息，为研究提供上下文。“人工智能是计算机科学的一个分支。”</w:t>
      </w:r>
    </w:p>
    <w:p w14:paraId="0D14454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105" w:afterAutospacing="0"/>
        <w:ind w:left="840" w:leftChars="0" w:right="0" w:hanging="360"/>
        <w:rPr>
          <w:rStyle w:val="9"/>
          <w:rFonts w:hint="eastAsia" w:asciiTheme="minorEastAsia" w:hAnsiTheme="minorEastAsia" w:eastAsiaTheme="minorEastAsia" w:cstheme="minorEastAsia"/>
          <w:b/>
          <w:bCs/>
          <w:i w:val="0"/>
          <w:iCs w:val="0"/>
          <w:caps w:val="0"/>
          <w:color w:val="000000"/>
          <w:spacing w:val="0"/>
          <w:sz w:val="28"/>
          <w:szCs w:val="28"/>
          <w:shd w:val="clear" w:fill="FFFFFF"/>
        </w:rPr>
      </w:pPr>
      <w:r>
        <w:rPr>
          <w:rStyle w:val="9"/>
          <w:rFonts w:hint="eastAsia" w:asciiTheme="minorEastAsia" w:hAnsiTheme="minorEastAsia" w:eastAsiaTheme="minorEastAsia" w:cstheme="minorEastAsia"/>
          <w:b/>
          <w:bCs/>
          <w:i w:val="0"/>
          <w:iCs w:val="0"/>
          <w:caps w:val="0"/>
          <w:color w:val="000000"/>
          <w:spacing w:val="0"/>
          <w:sz w:val="28"/>
          <w:szCs w:val="28"/>
          <w:shd w:val="clear" w:fill="FFFFFF"/>
        </w:rPr>
        <w:t>方法/过程事实：描述研究采用的技术、实验流程、模型架构等操作性信息。“本研究采用双盲、随机对照试验设计。”</w:t>
      </w:r>
    </w:p>
    <w:p w14:paraId="05AEBCD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105" w:afterAutospacing="0"/>
        <w:ind w:left="840" w:leftChars="0" w:right="0" w:hanging="360"/>
        <w:rPr>
          <w:rStyle w:val="9"/>
          <w:rFonts w:hint="eastAsia" w:asciiTheme="minorEastAsia" w:hAnsiTheme="minorEastAsia" w:eastAsiaTheme="minorEastAsia" w:cstheme="minorEastAsia"/>
          <w:b/>
          <w:bCs/>
          <w:i w:val="0"/>
          <w:iCs w:val="0"/>
          <w:caps w:val="0"/>
          <w:color w:val="000000"/>
          <w:spacing w:val="0"/>
          <w:sz w:val="28"/>
          <w:szCs w:val="28"/>
          <w:shd w:val="clear" w:fill="FFFFFF"/>
        </w:rPr>
      </w:pPr>
      <w:r>
        <w:rPr>
          <w:rStyle w:val="9"/>
          <w:rFonts w:hint="eastAsia" w:asciiTheme="minorEastAsia" w:hAnsiTheme="minorEastAsia" w:eastAsiaTheme="minorEastAsia" w:cstheme="minorEastAsia"/>
          <w:b/>
          <w:bCs/>
          <w:i w:val="0"/>
          <w:iCs w:val="0"/>
          <w:caps w:val="0"/>
          <w:color w:val="000000"/>
          <w:spacing w:val="0"/>
          <w:sz w:val="28"/>
          <w:szCs w:val="28"/>
          <w:shd w:val="clear" w:fill="FFFFFF"/>
        </w:rPr>
        <w:t>数据事实：包含具体数值、统计量或量化描述的定量信息。“实验组的平均响应时间为250ms。”</w:t>
      </w:r>
    </w:p>
    <w:p w14:paraId="4E1CCB9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105" w:afterAutospacing="0"/>
        <w:ind w:left="840" w:leftChars="0" w:right="0" w:hanging="360"/>
        <w:rPr>
          <w:rStyle w:val="9"/>
          <w:rFonts w:hint="eastAsia" w:asciiTheme="minorEastAsia" w:hAnsiTheme="minorEastAsia" w:eastAsiaTheme="minorEastAsia" w:cstheme="minorEastAsia"/>
          <w:b/>
          <w:bCs/>
          <w:i w:val="0"/>
          <w:iCs w:val="0"/>
          <w:caps w:val="0"/>
          <w:color w:val="000000"/>
          <w:spacing w:val="0"/>
          <w:sz w:val="28"/>
          <w:szCs w:val="28"/>
          <w:shd w:val="clear" w:fill="FFFFFF"/>
        </w:rPr>
      </w:pPr>
      <w:r>
        <w:rPr>
          <w:rStyle w:val="9"/>
          <w:rFonts w:hint="eastAsia" w:asciiTheme="minorEastAsia" w:hAnsiTheme="minorEastAsia" w:eastAsiaTheme="minorEastAsia" w:cstheme="minorEastAsia"/>
          <w:b/>
          <w:bCs/>
          <w:i w:val="0"/>
          <w:iCs w:val="0"/>
          <w:caps w:val="0"/>
          <w:color w:val="000000"/>
          <w:spacing w:val="0"/>
          <w:sz w:val="28"/>
          <w:szCs w:val="28"/>
          <w:shd w:val="clear" w:fill="FFFFFF"/>
        </w:rPr>
        <w:t>发现/现象事实：陈述研究过程中观察到的初步、中立结果或现象，通常为结论的前奏。“我们观察到，施加药物A后，细胞活性显著增强。”</w:t>
      </w:r>
    </w:p>
    <w:p w14:paraId="5FFAB4D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105" w:afterAutospacing="0"/>
        <w:ind w:left="840" w:leftChars="0" w:right="0" w:hanging="360"/>
        <w:rPr>
          <w:rStyle w:val="9"/>
          <w:rFonts w:hint="eastAsia" w:asciiTheme="minorEastAsia" w:hAnsiTheme="minorEastAsia" w:eastAsiaTheme="minorEastAsia" w:cstheme="minorEastAsia"/>
          <w:b/>
          <w:bCs/>
          <w:i w:val="0"/>
          <w:iCs w:val="0"/>
          <w:caps w:val="0"/>
          <w:color w:val="000000"/>
          <w:spacing w:val="0"/>
          <w:sz w:val="28"/>
          <w:szCs w:val="28"/>
          <w:shd w:val="clear" w:fill="FFFFFF"/>
        </w:rPr>
      </w:pPr>
      <w:r>
        <w:rPr>
          <w:rStyle w:val="9"/>
          <w:rFonts w:hint="eastAsia" w:asciiTheme="minorEastAsia" w:hAnsiTheme="minorEastAsia" w:eastAsiaTheme="minorEastAsia" w:cstheme="minorEastAsia"/>
          <w:b/>
          <w:bCs/>
          <w:i w:val="0"/>
          <w:iCs w:val="0"/>
          <w:caps w:val="0"/>
          <w:color w:val="000000"/>
          <w:spacing w:val="0"/>
          <w:sz w:val="28"/>
          <w:szCs w:val="28"/>
          <w:shd w:val="clear" w:fill="FFFFFF"/>
        </w:rPr>
        <w:t>结论事实：研究得出的核心观点、最终结论或主要论断，通常具有概括性和解释性。“综合分析表明，吸烟是导致肺癌的主要风险因素。”</w:t>
      </w:r>
    </w:p>
    <w:p w14:paraId="617299E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0" w:right="0" w:firstLine="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2.1.3 基于大语言模型的端到端事实提取</w:t>
      </w: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 </w:t>
      </w:r>
    </w:p>
    <w:p w14:paraId="7D19219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0" w:right="0" w:firstLine="42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优选地，本发明采用大语言模型执行端到端的事实提取，而非采用分词、句法分析、独立分类器串联的传统流水线方案。该实现方式利用大语言模型的长上下文理解能力与指令遵循能力，直接完成事实识别、类型判定与标准化输出。 具体实施时，可包括如下步骤： </w:t>
      </w:r>
    </w:p>
    <w:p w14:paraId="28B775C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0" w:right="0" w:firstLine="42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步骤A1：将DeepResearch系统生成的研究报告导出为Markdown、纯文本或等效可解析格式，并依据章节边界、段落边界或模型上下文窗口要求进行文本分块； </w:t>
      </w:r>
    </w:p>
    <w:p w14:paraId="288066E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0" w:right="0" w:firstLine="42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步骤A2：针对每个文本块动态构建结构化提示词，所述提示词至少包括任务指令、事实定义、提取原则、事实分类体系、输出格式约束以及示例； </w:t>
      </w:r>
    </w:p>
    <w:p w14:paraId="3B26ED2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0" w:right="0" w:firstLine="42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步骤A3：调用大语言模型对文本块进行处理，要求其以统一JSON格式返回事实对象列表，每个事实对象至少包括事实内容和事实类型； </w:t>
      </w:r>
    </w:p>
    <w:p w14:paraId="15F91A8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0" w:right="0" w:firstLine="42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步骤A4：解析模型返回结果，形成“文本块—事实节点”映射关系，并为每个事实分配唯一标识； </w:t>
      </w:r>
    </w:p>
    <w:p w14:paraId="0FBF33F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0" w:right="0" w:firstLine="42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步骤A5：对全部事实节点执行向量化表示，计算节点之间的语义相似度，并依据预设阈值筛选候选重复节点对； </w:t>
      </w:r>
    </w:p>
    <w:p w14:paraId="077E91A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0" w:right="0" w:firstLine="42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步骤A6：将候选重复节点对再次输入大语言模型执行语义等价性判定，当判定为等价时，保留主节点并将从节点重映射至主节点，从而完成全局事实节点的归一化和去重。 在一优选实现中，用于事实提取的提示词模板可以包含如下要素：角色定义部分用于限定模型为研究报告分析专家；核心定义部分用于约束“事实”的语义边界；分类体系部分用于明确五类事实的判定标准；输出格式部分用于要求仅输出JSON对象数组；示例部分用于给出“输入文本—输出事实列表”的对照样例，从而提高模型输出的一致性。 </w:t>
      </w:r>
    </w:p>
    <w:p w14:paraId="7E8ADCC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0" w:right="0" w:firstLine="420" w:firstLineChars="0"/>
        <w:rPr>
          <w:rFonts w:hint="eastAsia" w:asciiTheme="minorEastAsia" w:hAnsiTheme="minorEastAsia" w:eastAsiaTheme="minorEastAsia" w:cstheme="minorEastAsia"/>
          <w:i w:val="0"/>
          <w:iCs w:val="0"/>
          <w:caps w:val="0"/>
          <w:color w:val="000000"/>
          <w:spacing w:val="0"/>
          <w:sz w:val="28"/>
          <w:szCs w:val="28"/>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例如，对于“为了验证新药效能，我们采用双盲随机对照试验。实验结果显示，治疗组的康复率达到85%，而对照组仅为60%。这表明该新药在临床上具有显著疗效。”这一输入文本块，模型可分别输出“研究采用了双盲随机对照试验设计”“治疗组的康复率为85%”“对照组的康复率为60%”以及“该新药在临床上具有显著疗效”等事实节点，并分别归类为方法事实、数据事实和结论事实。</w:t>
      </w:r>
    </w:p>
    <w:p w14:paraId="38DB6A9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0" w:afterAutospacing="0" w:line="32" w:lineRule="atLeast"/>
        <w:ind w:left="0" w:right="0" w:firstLine="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2.2 推理识别子系统</w:t>
      </w: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 </w:t>
      </w:r>
    </w:p>
    <w:p w14:paraId="5079E4F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0" w:afterAutospacing="0" w:line="32" w:lineRule="atLeast"/>
        <w:ind w:left="0" w:right="0" w:firstLine="42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本子系统用于在已提取的事实节点集合之上进一步识别逻辑关联，构建图谱中的有向边。所谓“推理”，是指一个或多个前提事实推导出一个结论事实的逻辑过程。每一条推理关系都表现为从源节点指向目标节点的有向边，并可附带推理类型、推理强度及证据片段等属性。 </w:t>
      </w:r>
    </w:p>
    <w:p w14:paraId="2BBC3E3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0" w:afterAutospacing="0" w:line="32" w:lineRule="atLeast"/>
        <w:ind w:right="0"/>
        <w:rPr>
          <w:rFonts w:hint="eastAsia" w:asciiTheme="minorEastAsia" w:hAnsiTheme="minorEastAsia" w:eastAsiaTheme="minorEastAsia" w:cstheme="minorEastAsia"/>
          <w:i w:val="0"/>
          <w:iCs w:val="0"/>
          <w:caps w:val="0"/>
          <w:color w:val="000000"/>
          <w:spacing w:val="0"/>
          <w:sz w:val="28"/>
          <w:szCs w:val="28"/>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2.2.1 推理分类体系</w:t>
      </w:r>
    </w:p>
    <w:p w14:paraId="7150328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105" w:afterAutospacing="0"/>
        <w:ind w:left="840" w:leftChars="0" w:right="0" w:hanging="360"/>
        <w:rPr>
          <w:rFonts w:hint="eastAsia" w:asciiTheme="minorEastAsia" w:hAnsiTheme="minorEastAsia" w:eastAsiaTheme="minorEastAsia" w:cstheme="minorEastAsia"/>
          <w:b w:val="0"/>
          <w:bCs w:val="0"/>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演绎推理</w:t>
      </w: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rPr>
        <w:t>：从一般性原则推导出特殊性结论的逻辑过程。</w:t>
      </w:r>
    </w:p>
    <w:p w14:paraId="524E3EB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105" w:afterAutospacing="0"/>
        <w:ind w:left="840" w:leftChars="0" w:right="0" w:hanging="360"/>
        <w:rPr>
          <w:rFonts w:hint="eastAsia" w:asciiTheme="minorEastAsia" w:hAnsiTheme="minorEastAsia" w:eastAsiaTheme="minorEastAsia" w:cstheme="minorEastAsia"/>
          <w:b w:val="0"/>
          <w:bCs w:val="0"/>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归纳推理</w:t>
      </w: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rPr>
        <w:t>：从多个具体实例或观察中总结出一般性规律的过程。</w:t>
      </w:r>
    </w:p>
    <w:p w14:paraId="3285A6D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105" w:afterAutospacing="0"/>
        <w:ind w:left="840" w:leftChars="0" w:right="0" w:hanging="360"/>
        <w:rPr>
          <w:rFonts w:hint="eastAsia" w:asciiTheme="minorEastAsia" w:hAnsiTheme="minorEastAsia" w:eastAsiaTheme="minorEastAsia" w:cstheme="minorEastAsia"/>
          <w:b w:val="0"/>
          <w:bCs w:val="0"/>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因果推理</w:t>
      </w: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rPr>
        <w:t>：识别事件或事实之间明确的原因—结果关系。</w:t>
      </w:r>
    </w:p>
    <w:p w14:paraId="17A0912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105" w:afterAutospacing="0"/>
        <w:ind w:left="840" w:leftChars="0" w:right="0" w:hanging="360"/>
        <w:rPr>
          <w:rFonts w:hint="eastAsia" w:asciiTheme="minorEastAsia" w:hAnsiTheme="minorEastAsia" w:eastAsiaTheme="minorEastAsia" w:cstheme="minorEastAsia"/>
          <w:b w:val="0"/>
          <w:bCs w:val="0"/>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类比推理</w:t>
      </w: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rPr>
        <w:t>：基于两个事物在某些属性上的相似性，推断其在其他属性上也可能相似。</w:t>
      </w:r>
    </w:p>
    <w:p w14:paraId="050F3D9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105" w:afterAutospacing="0"/>
        <w:ind w:left="840" w:leftChars="0" w:right="0" w:hanging="360"/>
        <w:rPr>
          <w:rFonts w:hint="eastAsia" w:asciiTheme="minorEastAsia" w:hAnsiTheme="minorEastAsia" w:eastAsiaTheme="minorEastAsia" w:cstheme="minorEastAsia"/>
          <w:b w:val="0"/>
          <w:bCs w:val="0"/>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条件推理</w:t>
      </w: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rPr>
        <w:t>：识别基于如果—那么假设性前提得出的结论。</w:t>
      </w:r>
    </w:p>
    <w:p w14:paraId="3EE7059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105" w:afterAutospacing="0"/>
        <w:ind w:left="840" w:leftChars="0" w:right="0" w:hanging="360"/>
        <w:rPr>
          <w:rFonts w:hint="eastAsia" w:asciiTheme="minorEastAsia" w:hAnsiTheme="minorEastAsia" w:eastAsiaTheme="minorEastAsia" w:cstheme="minorEastAsia"/>
          <w:b w:val="0"/>
          <w:bCs w:val="0"/>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比较推理</w:t>
      </w: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rPr>
        <w:t>：通过比较两个或多个事实得出优劣或差异性结论。</w:t>
      </w:r>
    </w:p>
    <w:p w14:paraId="025CD86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0" w:right="0" w:firstLine="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2.2.2 基于上下文的推理识别实施方式</w:t>
      </w: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 </w:t>
      </w:r>
    </w:p>
    <w:p w14:paraId="3274A63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0" w:right="0" w:firstLine="42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优选地，推理识别阶段以“原始文本块+带标识的事实节点列表”作为联合输入，使大语言模型能够在原文语境下判断事实之间是否存在明确推导关系，而非脱离语境地对事实进行静态配对。 </w:t>
      </w:r>
    </w:p>
    <w:p w14:paraId="6684EAE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0" w:right="0" w:firstLine="42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步骤B1：对于每个文本块，准备原始文本内容以及从该文本块中提取出的事实节点列表； </w:t>
      </w:r>
    </w:p>
    <w:p w14:paraId="3CDDE6F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0" w:right="0" w:firstLine="42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步骤B2：构建推理识别提示词，提示词中至少注入原始文本、事实节点ID及内容、推理类型定义、输出格式约束和示例； </w:t>
      </w:r>
    </w:p>
    <w:p w14:paraId="49B7E55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0" w:right="0" w:firstLine="42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步骤B3：调用大语言模型识别各事实之间的逻辑关系，并输出结构化结果；所述结构化结果优选至少包括source_id、target_id、relation_type、strength和evidence字段； </w:t>
      </w:r>
    </w:p>
    <w:p w14:paraId="0E57A77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0" w:right="0" w:firstLine="42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步骤B4：系统解析模型输出，在source_id对应的前提事实节点与target_id对应的结论事实节点之间创建有向边； </w:t>
      </w:r>
    </w:p>
    <w:p w14:paraId="5922A06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0" w:right="0" w:firstLine="42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步骤B5：将relation_type写入边的分类属性，将strength写入边的权重属性，将evidence写入边的可解释性元数据属性。 </w:t>
      </w:r>
    </w:p>
    <w:p w14:paraId="3271657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right="0" w:firstLine="420" w:firstLineChars="0"/>
        <w:rPr>
          <w:rFonts w:hint="eastAsia" w:asciiTheme="minorEastAsia" w:hAnsiTheme="minorEastAsia" w:eastAsiaTheme="minorEastAsia" w:cstheme="minorEastAsia"/>
          <w:i w:val="0"/>
          <w:iCs w:val="0"/>
          <w:caps w:val="0"/>
          <w:color w:val="000000"/>
          <w:spacing w:val="0"/>
          <w:sz w:val="28"/>
          <w:szCs w:val="28"/>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在一优选实施例中，推理识别提示词还可进一步要求模型先识别结论节点，再回溯其前提节点，并将“多前提—单结论”的复杂关系拆解为多条“单前提—单结论”的逻辑边，以便后续进行统一的图结构计算。</w:t>
      </w:r>
    </w:p>
    <w:p w14:paraId="1B1EC63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0" w:right="0" w:firstLine="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2.3 图谱构建与跨块聚合子系统</w:t>
      </w: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 </w:t>
      </w:r>
    </w:p>
    <w:p w14:paraId="152FBC9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0" w:right="0" w:firstLine="42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在单个文本块内部完成事实提取与推理识别后，可以得到若干局部子图。由于长篇研究报告通常需要分块处理，为避免将全文全部内容一次性输入模型导致上下文窗口溢出，本发明进一步设计了面向全局图谱构建的局部桥接与跨块缝合机制。 </w:t>
      </w:r>
    </w:p>
    <w:p w14:paraId="03E8DEC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0" w:right="0" w:firstLine="42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步骤C1：在各局部子图中识别出度为零的边缘节点；所述边缘节点通常对应文本块中的局部结论、孤立发现或尚未继续展开的数据点，具有较高的跨块连接潜力； </w:t>
      </w:r>
    </w:p>
    <w:p w14:paraId="530E493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0" w:right="0" w:firstLine="42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步骤C2：对上述边缘节点进行局部前提回溯，获取其直接前提节点，形成边缘骨架集合；所述边缘骨架至少包含节点ID、节点文本及其局部逻辑关系摘要； </w:t>
      </w:r>
    </w:p>
    <w:p w14:paraId="3AB5987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0" w:right="0" w:firstLine="42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步骤C3：将全部文本块的边缘骨架集合与研究报告原文或核心章节摘要共同输入大语言模型，识别不同文本块之间的潜在逻辑关系，重点判断前序文本块的局部结论是否构成后序文本块的前提，或者多个离散结论是否共同支撑某一全局结论； </w:t>
      </w:r>
    </w:p>
    <w:p w14:paraId="60DFC0F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0" w:right="0" w:firstLine="42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步骤C4：将识别到的跨块逻辑关系写入图数据库或等效图结构存储中，在不同局部子图之间建立新的有向边； </w:t>
      </w:r>
    </w:p>
    <w:p w14:paraId="1B2D426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0" w:right="0" w:firstLine="42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步骤C5：随着跨块边的补充，形成覆盖全文的全局知识图谱，并在全图层面对冗余边和噪声边进行剪枝，以提升后续指标计算的稳定性。</w:t>
      </w:r>
    </w:p>
    <w:p w14:paraId="72CA5C0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0" w:right="0" w:firstLine="420" w:firstLineChars="0"/>
        <w:rPr>
          <w:rFonts w:hint="eastAsia" w:asciiTheme="minorEastAsia" w:hAnsiTheme="minorEastAsia" w:eastAsiaTheme="minorEastAsia" w:cstheme="minorEastAsia"/>
          <w:i w:val="0"/>
          <w:iCs w:val="0"/>
          <w:caps w:val="0"/>
          <w:color w:val="000000"/>
          <w:spacing w:val="0"/>
          <w:sz w:val="28"/>
          <w:szCs w:val="28"/>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通过上述设计，最终生成的知识图谱既保留段落内部的微观推理细节，也能够表达章节之间的宏观论证脉络，从而为深度与全面性评估提供完整的数据基础。</w:t>
      </w:r>
    </w:p>
    <w:p w14:paraId="7BB00E39">
      <w:pPr>
        <w:pStyle w:val="6"/>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273" w:beforeAutospacing="0" w:after="0" w:afterAutospacing="0" w:line="32" w:lineRule="atLeast"/>
        <w:ind w:left="0" w:leftChars="0" w:right="0" w:firstLine="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量化指标体系模块的实施</w:t>
      </w: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 </w:t>
      </w:r>
    </w:p>
    <w:p w14:paraId="6466CE48">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73" w:beforeAutospacing="0" w:after="0" w:afterAutospacing="0" w:line="32" w:lineRule="atLeast"/>
        <w:ind w:leftChars="0" w:right="0" w:rightChars="0" w:firstLine="42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本模块在全局知识图谱基础上，对研究报告的知识广度和论证深度进行量化评估。 </w:t>
      </w:r>
    </w:p>
    <w:p w14:paraId="749F61C2">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73" w:beforeAutospacing="0" w:after="0" w:afterAutospacing="0" w:line="32" w:lineRule="atLeast"/>
        <w:ind w:right="0" w:rightChars="0"/>
        <w:rPr>
          <w:rFonts w:hint="eastAsia" w:asciiTheme="minorEastAsia" w:hAnsiTheme="minorEastAsia" w:eastAsiaTheme="minorEastAsia" w:cstheme="minorEastAsia"/>
          <w:i w:val="0"/>
          <w:iCs w:val="0"/>
          <w:caps w:val="0"/>
          <w:color w:val="000000"/>
          <w:spacing w:val="0"/>
          <w:sz w:val="28"/>
          <w:szCs w:val="28"/>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3.1 知识广度评估指标</w:t>
      </w:r>
    </w:p>
    <w:p w14:paraId="143A04D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05" w:afterAutospacing="0"/>
        <w:ind w:left="420" w:leftChars="0" w:right="0" w:hanging="360"/>
        <w:rPr>
          <w:rFonts w:hint="eastAsia" w:asciiTheme="minorEastAsia" w:hAnsiTheme="minorEastAsia" w:eastAsiaTheme="minorEastAsia" w:cstheme="minorEastAsia"/>
          <w:b w:val="0"/>
          <w:bCs w:val="0"/>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知识容量</w:t>
      </w: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rPr>
        <w:t>：统计合并去重后的事实节点总数，用于反映报告包含的有效信息单元总量；</w:t>
      </w:r>
    </w:p>
    <w:p w14:paraId="27C532C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05" w:afterAutospacing="0"/>
        <w:ind w:left="420" w:leftChars="0" w:right="0" w:hanging="360"/>
        <w:rPr>
          <w:rFonts w:hint="eastAsia" w:asciiTheme="minorEastAsia" w:hAnsiTheme="minorEastAsia" w:eastAsiaTheme="minorEastAsia" w:cstheme="minorEastAsia"/>
          <w:b w:val="0"/>
          <w:bCs w:val="0"/>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知识密度</w:t>
      </w: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rPr>
        <w:t>：以事实节点总数与报告正文字数之比表示，用于衡量单位篇幅内的信息承载能力；</w:t>
      </w:r>
    </w:p>
    <w:p w14:paraId="07C02627">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05" w:afterAutospacing="0"/>
        <w:ind w:left="420" w:leftChars="0" w:right="0" w:hanging="360"/>
        <w:rPr>
          <w:rFonts w:hint="eastAsia" w:asciiTheme="minorEastAsia" w:hAnsiTheme="minorEastAsia" w:eastAsiaTheme="minorEastAsia" w:cstheme="minorEastAsia"/>
          <w:b w:val="0"/>
          <w:bCs w:val="0"/>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事实类型多样性</w:t>
      </w: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rPr>
        <w:t>：统计图谱中出现的不同事实类型数量，用于反映报告结构是否完整；</w:t>
      </w:r>
    </w:p>
    <w:p w14:paraId="53CBB6E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05" w:afterAutospacing="0"/>
        <w:ind w:left="420" w:leftChars="0" w:right="0" w:hanging="360"/>
        <w:rPr>
          <w:rFonts w:hint="eastAsia" w:asciiTheme="minorEastAsia" w:hAnsiTheme="minorEastAsia" w:eastAsiaTheme="minorEastAsia" w:cstheme="minorEastAsia"/>
          <w:b w:val="0"/>
          <w:bCs w:val="0"/>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主题覆盖广度</w:t>
      </w: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rPr>
        <w:t>：对事实节点的语义向量进行聚类，以聚类簇数量表征报告覆盖的主题或子领域数量；</w:t>
      </w:r>
    </w:p>
    <w:p w14:paraId="5011A2C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05" w:afterAutospacing="0"/>
        <w:ind w:left="420" w:leftChars="0" w:right="0" w:hanging="360"/>
        <w:rPr>
          <w:rFonts w:hint="eastAsia" w:asciiTheme="minorEastAsia" w:hAnsiTheme="minorEastAsia" w:eastAsiaTheme="minorEastAsia" w:cstheme="minorEastAsia"/>
          <w:b w:val="0"/>
          <w:bCs w:val="0"/>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事实类型分布均衡度</w:t>
      </w: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rPr>
        <w:t>：统计各类事实节点数量，计算其概率分布，并采用香农熵衡量不同事实类型之间的均衡程度；</w:t>
      </w:r>
    </w:p>
    <w:p w14:paraId="2EE89ED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05" w:afterAutospacing="0"/>
        <w:ind w:left="420" w:leftChars="0" w:right="0" w:hanging="360"/>
        <w:rPr>
          <w:rFonts w:hint="eastAsia" w:asciiTheme="minorEastAsia" w:hAnsiTheme="minorEastAsia" w:eastAsiaTheme="minorEastAsia" w:cstheme="minorEastAsia"/>
          <w:b w:val="0"/>
          <w:bCs w:val="0"/>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创新性事实比例</w:t>
      </w: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rPr>
        <w:t>：对事实节点进行创新性分类，并以创新知识节点数与全部事实节点数之比反映报告的原创性贡献。 其中，事实类型分布均衡度可以按如下方式计算：首先设事实类型集合为T={t1,t2,...,tm}，对应节点数量为{n1,n2,...,nm}，总节点数为N_total；然后计算各类型出现概率pi=ni/N_total；再依据香农熵公式H_balance=-Σ(pi·log2pi)计算分布均衡度。其中 p_i 表示第 i 种事实类型节点数占总事实节点数的比例，i 的取值为 1 到 m。熵值越高，表示不同事实类型的分布越均衡，报告结构越完善。</w:t>
      </w:r>
    </w:p>
    <w:p w14:paraId="5B1EA7D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0" w:afterAutospacing="0" w:line="32" w:lineRule="atLeast"/>
        <w:ind w:left="0" w:right="0" w:firstLine="0"/>
        <w:rPr>
          <w:rFonts w:hint="eastAsia" w:asciiTheme="minorEastAsia" w:hAnsiTheme="minorEastAsia" w:eastAsiaTheme="minorEastAsia" w:cstheme="minorEastAsia"/>
          <w:i w:val="0"/>
          <w:iCs w:val="0"/>
          <w:caps w:val="0"/>
          <w:color w:val="000000"/>
          <w:spacing w:val="0"/>
          <w:sz w:val="28"/>
          <w:szCs w:val="28"/>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3.2 论证深度评估指标</w:t>
      </w:r>
    </w:p>
    <w:p w14:paraId="089CB10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05" w:afterAutospacing="0"/>
        <w:ind w:left="420" w:leftChars="0" w:right="0" w:hanging="360"/>
        <w:rPr>
          <w:rFonts w:hint="eastAsia" w:asciiTheme="minorEastAsia" w:hAnsiTheme="minorEastAsia" w:eastAsiaTheme="minorEastAsia" w:cstheme="minorEastAsia"/>
          <w:b w:val="0"/>
          <w:bCs w:val="0"/>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最大推理深度</w:t>
      </w: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rPr>
        <w:t>：在图谱中搜索从根节点到叶节点的最长路径长度，用于表征报告中最复杂论证所达到的逻辑层级；</w:t>
      </w:r>
    </w:p>
    <w:p w14:paraId="1081186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05" w:afterAutospacing="0"/>
        <w:ind w:left="420" w:leftChars="0" w:right="0" w:hanging="360"/>
        <w:rPr>
          <w:rFonts w:hint="eastAsia" w:asciiTheme="minorEastAsia" w:hAnsiTheme="minorEastAsia" w:eastAsiaTheme="minorEastAsia" w:cstheme="minorEastAsia"/>
          <w:b w:val="0"/>
          <w:bCs w:val="0"/>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平均推理深度</w:t>
      </w: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rPr>
        <w:t>：计算独立推理链的平均长度，用于反映整体论证的普遍复杂程度；</w:t>
      </w:r>
    </w:p>
    <w:p w14:paraId="12E37E3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05" w:afterAutospacing="0"/>
        <w:ind w:left="420" w:leftChars="0" w:right="0" w:hanging="360"/>
        <w:rPr>
          <w:rFonts w:hint="eastAsia" w:asciiTheme="minorEastAsia" w:hAnsiTheme="minorEastAsia" w:eastAsiaTheme="minorEastAsia" w:cstheme="minorEastAsia"/>
          <w:b w:val="0"/>
          <w:bCs w:val="0"/>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推理密度</w:t>
      </w: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rPr>
        <w:t>：以推理边总数与事实节点总数之比表示，用于衡量事实之间逻辑连接的紧密程度；</w:t>
      </w:r>
    </w:p>
    <w:p w14:paraId="228C868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05" w:afterAutospacing="0"/>
        <w:ind w:left="420" w:leftChars="0" w:right="0" w:hanging="360"/>
        <w:rPr>
          <w:rFonts w:hint="eastAsia" w:asciiTheme="minorEastAsia" w:hAnsiTheme="minorEastAsia" w:eastAsiaTheme="minorEastAsia" w:cstheme="minorEastAsia"/>
          <w:b w:val="0"/>
          <w:bCs w:val="0"/>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平均论证支撑度</w:t>
      </w: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rPr>
        <w:t>：计算所有非根节点的平均入度，用于反映每个结论平均由多少直接前提支撑；</w:t>
      </w:r>
    </w:p>
    <w:p w14:paraId="66ABD7E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05" w:afterAutospacing="0"/>
        <w:ind w:left="420" w:leftChars="0" w:right="0" w:hanging="360"/>
        <w:rPr>
          <w:rFonts w:hint="eastAsia" w:asciiTheme="minorEastAsia" w:hAnsiTheme="minorEastAsia" w:eastAsiaTheme="minorEastAsia" w:cstheme="minorEastAsia"/>
          <w:b w:val="0"/>
          <w:bCs w:val="0"/>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高强度推理比例</w:t>
      </w: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rPr>
        <w:t>：以推理强度为4级或5级的边数占全部边数的比例表示，用于衡量强逻辑关联的占比；</w:t>
      </w:r>
    </w:p>
    <w:p w14:paraId="6A3DB48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05" w:afterAutospacing="0"/>
        <w:ind w:left="420" w:leftChars="0" w:right="0" w:hanging="360"/>
        <w:rPr>
          <w:rFonts w:hint="eastAsia" w:asciiTheme="minorEastAsia" w:hAnsiTheme="minorEastAsia" w:eastAsiaTheme="minorEastAsia" w:cstheme="minorEastAsia"/>
          <w:b w:val="0"/>
          <w:bCs w:val="0"/>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推理类型多样性</w:t>
      </w: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rPr>
        <w:t>：统计图谱中不同推理类型的数量，用于衡量报告采用的论证手法是否丰富。</w:t>
      </w:r>
    </w:p>
    <w:p w14:paraId="373509D5">
      <w:pPr>
        <w:pStyle w:val="6"/>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0" w:leftChars="0" w:right="0" w:firstLine="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综合评分与诊断输出</w:t>
      </w: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 </w:t>
      </w:r>
    </w:p>
    <w:p w14:paraId="3906291B">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Chars="0" w:right="0" w:rightChars="0" w:firstLine="42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在获得上述各项指标后，系统可以依据预设权重、标准化方法或评分规则分别生成研究报告的全面性评分、深度评分以及综合评分。进一步地，系统还可以围绕局部图结构输出诊断性结果。例如，当某结论节点入度过低且支撑边强度较弱时，可判定该结论存在证据不足问题；当不同事实类型分布极不均衡时，可判定报告存在结构失衡问题；当跨块推理链条断裂或重要主题缺失时，可判定报告存在逻辑跳跃或覆盖不全问题。 </w:t>
      </w:r>
    </w:p>
    <w:p w14:paraId="0B07A07E">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Chars="0" w:right="0" w:rightChars="0" w:firstLine="420" w:firstLineChars="0"/>
        <w:rPr>
          <w:rFonts w:hint="eastAsia" w:asciiTheme="minorEastAsia" w:hAnsiTheme="minorEastAsia" w:eastAsiaTheme="minorEastAsia" w:cstheme="minorEastAsia"/>
          <w:i w:val="0"/>
          <w:iCs w:val="0"/>
          <w:caps w:val="0"/>
          <w:color w:val="000000"/>
          <w:spacing w:val="0"/>
          <w:sz w:val="28"/>
          <w:szCs w:val="28"/>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诊断报告优选至少包括以下内容：关键优势项、主要薄弱项、薄弱节点定位、薄弱边定位、建议补充的事实类型、建议强化的推理类型以及综合改进建议。由此，本发明不仅能够给出分数，还能够给出可解释、可执行的改进方向。</w:t>
      </w:r>
    </w:p>
    <w:p w14:paraId="49054B2E">
      <w:pPr>
        <w:pStyle w:val="6"/>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0" w:leftChars="0" w:right="0" w:firstLine="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实施例说明：基于测试文本的端到端评估过程</w:t>
      </w: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 </w:t>
      </w:r>
    </w:p>
    <w:p w14:paraId="37E052CE">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Chars="0" w:right="0" w:rightChars="0" w:firstLine="420" w:firstLineChars="0"/>
        <w:rPr>
          <w:rFonts w:hint="eastAsia" w:asciiTheme="minorEastAsia" w:hAnsiTheme="minorEastAsia" w:eastAsiaTheme="minorEastAsia" w:cstheme="minorEastAsia"/>
          <w:i w:val="0"/>
          <w:iCs w:val="0"/>
          <w:caps w:val="0"/>
          <w:color w:val="000000"/>
          <w:spacing w:val="0"/>
          <w:sz w:val="28"/>
          <w:szCs w:val="28"/>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为了清晰展示本发明前述方法的工作机理，本实施例构建了一段包含两个段落的微型测试文本（</w:t>
      </w: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lang w:val="en-US" w:eastAsia="zh-CN"/>
        </w:rPr>
        <w:t>约120</w:t>
      </w: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个字符），以此详述本系统从输入到量化诊断的完整闭环计算过程：</w:t>
      </w:r>
    </w:p>
    <w:p w14:paraId="71BFB3B2">
      <w:pPr>
        <w:pStyle w:val="6"/>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spacing w:before="273" w:beforeAutospacing="0" w:after="0" w:afterAutospacing="0" w:line="32" w:lineRule="atLeast"/>
        <w:ind w:left="0" w:right="0" w:firstLine="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步骤S1：输入与文本分块</w:t>
      </w: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 </w:t>
      </w:r>
    </w:p>
    <w:p w14:paraId="3D10F38A">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73" w:beforeAutospacing="0" w:after="0" w:afterAutospacing="0" w:line="32" w:lineRule="atLeast"/>
        <w:ind w:leftChars="0" w:right="0" w:rightChars="0" w:firstLine="420" w:firstLineChars="0"/>
        <w:rPr>
          <w:rFonts w:hint="eastAsia" w:asciiTheme="minorEastAsia" w:hAnsiTheme="minorEastAsia" w:eastAsiaTheme="minorEastAsia" w:cstheme="minorEastAsia"/>
          <w:i w:val="0"/>
          <w:iCs w:val="0"/>
          <w:caps w:val="0"/>
          <w:color w:val="000000"/>
          <w:spacing w:val="0"/>
          <w:sz w:val="28"/>
          <w:szCs w:val="28"/>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系统接收如下测试文本，并将其划分为两个文本块：</w:t>
      </w:r>
    </w:p>
    <w:p w14:paraId="1759803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05" w:afterAutospacing="0"/>
        <w:ind w:left="420" w:leftChars="0" w:right="0" w:hanging="360"/>
        <w:rPr>
          <w:rFonts w:hint="eastAsia" w:asciiTheme="minorEastAsia" w:hAnsiTheme="minorEastAsia" w:eastAsiaTheme="minorEastAsia" w:cstheme="minorEastAsia"/>
          <w:b w:val="0"/>
          <w:bCs w:val="0"/>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文本块-01</w:t>
      </w: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rPr>
        <w:t>：“2023年全球人形机器人风险投资总额达到50亿美元。同时，头部企业硬件成本已从10万美元降至3万美元</w:t>
      </w: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lang w:eastAsia="zh-CN"/>
        </w:rPr>
        <w:t>……</w:t>
      </w: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rPr>
        <w:t>”</w:t>
      </w:r>
    </w:p>
    <w:p w14:paraId="7B972EDD">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05" w:afterAutospacing="0"/>
        <w:ind w:left="420" w:leftChars="0" w:right="0" w:hanging="360"/>
        <w:rPr>
          <w:rFonts w:hint="eastAsia" w:asciiTheme="minorEastAsia" w:hAnsiTheme="minorEastAsia" w:eastAsiaTheme="minorEastAsia" w:cstheme="minorEastAsia"/>
          <w:b w:val="0"/>
          <w:bCs w:val="0"/>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文本块-02</w:t>
      </w: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rPr>
        <w:t>：“综合来看，成本瓶颈已被打破。人形机器人有望在三年内迎来规模化商业落地，并将率先在仓储物流领域完成人工替代</w:t>
      </w: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lang w:eastAsia="zh-CN"/>
        </w:rPr>
        <w:t>……</w:t>
      </w: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rPr>
        <w:t>”</w:t>
      </w:r>
    </w:p>
    <w:p w14:paraId="1C838FEB">
      <w:pPr>
        <w:pStyle w:val="6"/>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spacing w:before="273" w:beforeAutospacing="0" w:after="0" w:afterAutospacing="0" w:line="32" w:lineRule="atLeast"/>
        <w:ind w:left="0" w:leftChars="0" w:right="0" w:firstLine="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步骤S2：事实提取与归一化</w:t>
      </w: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 </w:t>
      </w:r>
    </w:p>
    <w:p w14:paraId="7B6DBE62">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73" w:beforeAutospacing="0" w:after="0" w:afterAutospacing="0" w:line="32" w:lineRule="atLeast"/>
        <w:ind w:leftChars="0" w:right="0" w:rightChars="0" w:firstLine="420" w:firstLineChars="0"/>
        <w:rPr>
          <w:rFonts w:hint="eastAsia" w:asciiTheme="minorEastAsia" w:hAnsiTheme="minorEastAsia" w:eastAsiaTheme="minorEastAsia" w:cstheme="minorEastAsia"/>
          <w:i w:val="0"/>
          <w:iCs w:val="0"/>
          <w:caps w:val="0"/>
          <w:color w:val="000000"/>
          <w:spacing w:val="0"/>
          <w:sz w:val="28"/>
          <w:szCs w:val="28"/>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事实提取模块将上述文本块输入大语言模型，依据本发明设定的五大事实分类体系，精确提取出以下5个事实节点：</w:t>
      </w:r>
    </w:p>
    <w:p w14:paraId="0D1FAF8C">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05" w:afterAutospacing="0"/>
        <w:ind w:left="420" w:leftChars="0" w:right="0" w:hanging="360"/>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rPr>
        <w:t>节点F1（数据事实，来自块01）：2023年风险投资总额达到50亿美元。</w:t>
      </w:r>
    </w:p>
    <w:p w14:paraId="5D754EF1">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05" w:afterAutospacing="0"/>
        <w:ind w:left="420" w:leftChars="0" w:right="0" w:hanging="360"/>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rPr>
        <w:t>节点F2（数据事实，来自块01）：硬件成本从10万美元降至3万美元。</w:t>
      </w:r>
    </w:p>
    <w:p w14:paraId="24E277B1">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05" w:afterAutospacing="0"/>
        <w:ind w:left="420" w:leftChars="0" w:right="0" w:hanging="360"/>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rPr>
        <w:t>节点F3（发现事实，来自块02）：成本瓶颈已被打破。</w:t>
      </w:r>
    </w:p>
    <w:p w14:paraId="7739A929">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05" w:afterAutospacing="0"/>
        <w:ind w:left="420" w:leftChars="0" w:right="0" w:hanging="360"/>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rPr>
        <w:t>节点F4（结论事实，来自块02）：三年内迎来规模化商业落地。</w:t>
      </w:r>
    </w:p>
    <w:p w14:paraId="33574143">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05" w:afterAutospacing="0"/>
        <w:ind w:left="420" w:leftChars="0" w:right="0" w:hanging="360"/>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rPr>
        <w:t>节点F5（结论事实，来自块02）：率先在仓储物流领域完成人工替代。</w:t>
      </w:r>
    </w:p>
    <w:p w14:paraId="1293BB65">
      <w:pPr>
        <w:pStyle w:val="6"/>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spacing w:before="273" w:beforeAutospacing="0" w:after="0" w:afterAutospacing="0" w:line="32" w:lineRule="atLeast"/>
        <w:ind w:left="0" w:leftChars="0" w:right="0" w:firstLine="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步骤S3：推理关系识别</w:t>
      </w: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 </w:t>
      </w:r>
    </w:p>
    <w:p w14:paraId="3260F916">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73" w:beforeAutospacing="0" w:after="0" w:afterAutospacing="0" w:line="32" w:lineRule="atLeast"/>
        <w:ind w:leftChars="0" w:right="0" w:rightChars="0" w:firstLine="420" w:firstLineChars="0"/>
        <w:rPr>
          <w:rFonts w:hint="eastAsia" w:asciiTheme="minorEastAsia" w:hAnsiTheme="minorEastAsia" w:eastAsiaTheme="minorEastAsia" w:cstheme="minorEastAsia"/>
          <w:i w:val="0"/>
          <w:iCs w:val="0"/>
          <w:caps w:val="0"/>
          <w:color w:val="000000"/>
          <w:spacing w:val="0"/>
          <w:sz w:val="28"/>
          <w:szCs w:val="28"/>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系统在节点间建立局部逻辑关系有向边：</w:t>
      </w:r>
    </w:p>
    <w:p w14:paraId="705DC80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05" w:afterAutospacing="0"/>
        <w:ind w:left="420" w:leftChars="0" w:right="0" w:hanging="360"/>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rPr>
        <w:t>边E1（归纳推理）：由F2（数据事实）指向F3（发现事实），证据为成本数据支持了瓶颈被打破的观点。</w:t>
      </w:r>
    </w:p>
    <w:p w14:paraId="5C5C1AEC">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05" w:afterAutospacing="0"/>
        <w:ind w:left="420" w:leftChars="0" w:right="0" w:hanging="360"/>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rPr>
        <w:t>边E2（因果推理）：由F3（发现事实）指向F4（结论事实），证据为成本下降导致了商业落地。</w:t>
      </w:r>
    </w:p>
    <w:p w14:paraId="0821936F">
      <w:pPr>
        <w:pStyle w:val="6"/>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spacing w:before="273" w:beforeAutospacing="0" w:after="0" w:afterAutospacing="0" w:line="32" w:lineRule="atLeast"/>
        <w:ind w:left="0" w:leftChars="0" w:right="0" w:firstLine="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步骤S4：图谱构建与跨块缝合</w:t>
      </w: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 </w:t>
      </w:r>
    </w:p>
    <w:p w14:paraId="7D9674A9">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73" w:beforeAutospacing="0" w:after="0" w:afterAutospacing="0" w:line="32" w:lineRule="atLeast"/>
        <w:ind w:leftChars="0" w:right="0" w:rightChars="0" w:firstLine="420" w:firstLineChars="0"/>
        <w:rPr>
          <w:rFonts w:hint="eastAsia" w:asciiTheme="minorEastAsia" w:hAnsiTheme="minorEastAsia" w:eastAsiaTheme="minorEastAsia" w:cstheme="minorEastAsia"/>
          <w:i w:val="0"/>
          <w:iCs w:val="0"/>
          <w:caps w:val="0"/>
          <w:color w:val="000000"/>
          <w:spacing w:val="0"/>
          <w:sz w:val="28"/>
          <w:szCs w:val="28"/>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系统发现文本块-01和文本块-02之间存在语义关联，触发跨块缝合机制：</w:t>
      </w:r>
    </w:p>
    <w:p w14:paraId="68C44671">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105" w:afterAutospacing="0"/>
        <w:ind w:left="0" w:right="0" w:hanging="360"/>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rPr>
        <w:t>边E3（演进推理/因果推理，跨块边）：由F4（结论事实）指向F5（结论事实），建立“商业落地”到“仓储替代”的递进逻辑。 至此，系统构建了一个包含5个节点、3条有向边的连通知识图谱。</w:t>
      </w:r>
    </w:p>
    <w:p w14:paraId="2DDC3668">
      <w:pPr>
        <w:pStyle w:val="6"/>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spacing w:before="273" w:beforeAutospacing="0" w:after="0" w:afterAutospacing="0" w:line="32" w:lineRule="atLeast"/>
        <w:ind w:left="0" w:leftChars="0" w:right="0" w:firstLine="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步骤S5：量化指标计算</w:t>
      </w: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 </w:t>
      </w:r>
    </w:p>
    <w:p w14:paraId="6A778B63">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73" w:beforeAutospacing="0" w:after="0" w:afterAutospacing="0" w:line="32" w:lineRule="atLeast"/>
        <w:ind w:leftChars="0" w:right="0" w:rightChars="0" w:firstLine="420" w:firstLineChars="0"/>
        <w:rPr>
          <w:rFonts w:hint="eastAsia" w:asciiTheme="minorEastAsia" w:hAnsiTheme="minorEastAsia" w:eastAsiaTheme="minorEastAsia" w:cstheme="minorEastAsia"/>
          <w:i w:val="0"/>
          <w:iCs w:val="0"/>
          <w:caps w:val="0"/>
          <w:color w:val="000000"/>
          <w:spacing w:val="0"/>
          <w:sz w:val="28"/>
          <w:szCs w:val="28"/>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基于上述生成的结构化图谱，量化评估模块进行度量计算：</w:t>
      </w:r>
    </w:p>
    <w:p w14:paraId="1DAA460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05" w:afterAutospacing="0"/>
        <w:ind w:left="420" w:leftChars="0" w:right="0" w:hanging="360"/>
        <w:rPr>
          <w:rFonts w:hint="eastAsia" w:asciiTheme="minorEastAsia" w:hAnsiTheme="minorEastAsia" w:eastAsiaTheme="minorEastAsia" w:cstheme="minorEastAsia"/>
          <w:b w:val="0"/>
          <w:bCs w:val="0"/>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知识密度</w:t>
      </w: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rPr>
        <w:t>：全文共提取5个事实节点，文本总字符数为115字。计算知识密度 = 5 ÷ 115 ≈ 0.043 节点/字。</w:t>
      </w:r>
    </w:p>
    <w:p w14:paraId="5F10152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05" w:afterAutospacing="0"/>
        <w:ind w:left="420" w:leftChars="0" w:right="0" w:hanging="360"/>
        <w:rPr>
          <w:rFonts w:hint="eastAsia" w:asciiTheme="minorEastAsia" w:hAnsiTheme="minorEastAsia" w:eastAsiaTheme="minorEastAsia" w:cstheme="minorEastAsia"/>
          <w:b w:val="0"/>
          <w:bCs w:val="0"/>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事实类型分布均衡度</w:t>
      </w: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rPr>
        <w:t>：本样本中，数据事实2个（占40%），发现事实1个（占20%），结论事实2个（占40%）。代入前述香农熵公式计算后，系统判定当前测试文本缺乏“背景事实”与“方法事实”，类型分布呈现偏态。</w:t>
      </w:r>
    </w:p>
    <w:p w14:paraId="36C1723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05" w:afterAutospacing="0"/>
        <w:ind w:left="420" w:leftChars="0" w:right="0" w:hanging="360"/>
        <w:rPr>
          <w:rFonts w:hint="eastAsia" w:asciiTheme="minorEastAsia" w:hAnsiTheme="minorEastAsia" w:eastAsiaTheme="minorEastAsia" w:cstheme="minorEastAsia"/>
          <w:b w:val="0"/>
          <w:bCs w:val="0"/>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最大推理深度</w:t>
      </w: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rPr>
        <w:t>：系统遍历图谱路径，识别出最长有向路径为：F2(数据) -&gt; F3(发现) -&gt; F4(结论) -&gt; F5(结论)。该路径覆盖了4个节点，得出最大推理深度为 4。</w:t>
      </w:r>
    </w:p>
    <w:p w14:paraId="1A0B0FB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05" w:afterAutospacing="0"/>
        <w:ind w:left="420" w:leftChars="0" w:right="0" w:hanging="360"/>
        <w:rPr>
          <w:rFonts w:hint="eastAsia" w:asciiTheme="minorEastAsia" w:hAnsiTheme="minorEastAsia" w:eastAsiaTheme="minorEastAsia" w:cstheme="minorEastAsia"/>
          <w:b w:val="0"/>
          <w:bCs w:val="0"/>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平均论证支撑度</w:t>
      </w: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rPr>
        <w:t>：图谱中共有2个核心结论节点（F4, F5），其中F4仅有1条前置入度边（来自F3），F5仅有1条前置入度边（来自F4）。平均每个结论节点的直接支撑边数为 1.0。</w:t>
      </w:r>
    </w:p>
    <w:p w14:paraId="09A643BB">
      <w:pPr>
        <w:pStyle w:val="6"/>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0" w:leftChars="0" w:right="0" w:firstLine="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步骤S6：综合评估与诊断输出</w:t>
      </w: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 </w:t>
      </w:r>
    </w:p>
    <w:p w14:paraId="4431B9AE">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Chars="0" w:right="0" w:rightChars="0" w:firstLine="420" w:firstLineChars="0"/>
        <w:rPr>
          <w:rFonts w:hint="eastAsia" w:asciiTheme="minorEastAsia" w:hAnsiTheme="minorEastAsia" w:eastAsiaTheme="minorEastAsia" w:cstheme="minorEastAsia"/>
          <w:i w:val="0"/>
          <w:iCs w:val="0"/>
          <w:caps w:val="0"/>
          <w:color w:val="000000"/>
          <w:spacing w:val="0"/>
          <w:sz w:val="28"/>
          <w:szCs w:val="28"/>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诊断输出模块依据上述量化指标，自动生成对应的结构化诊断报告： “</w:t>
      </w: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诊断结论</w:t>
      </w: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w:t>
      </w:r>
    </w:p>
    <w:p w14:paraId="66FF3833">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05" w:afterAutospacing="0"/>
        <w:ind w:left="420" w:leftChars="0" w:right="0" w:hanging="360"/>
        <w:rPr>
          <w:rFonts w:hint="eastAsia" w:asciiTheme="minorEastAsia" w:hAnsiTheme="minorEastAsia" w:eastAsiaTheme="minorEastAsia" w:cstheme="minorEastAsia"/>
          <w:b w:val="0"/>
          <w:bCs w:val="0"/>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深度表现良好</w:t>
      </w: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rPr>
        <w:t>：最大推理深度达到4层，形成了从客观数据（成本下降）到最终预测（仓储替代）的连贯推演闭环。</w:t>
      </w:r>
    </w:p>
    <w:p w14:paraId="714A0031">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05" w:afterAutospacing="0"/>
        <w:ind w:left="420" w:leftChars="0" w:right="0" w:hanging="360"/>
        <w:rPr>
          <w:rFonts w:hint="eastAsia" w:asciiTheme="minorEastAsia" w:hAnsiTheme="minorEastAsia" w:eastAsiaTheme="minorEastAsia" w:cstheme="minorEastAsia"/>
          <w:b w:val="0"/>
          <w:bCs w:val="0"/>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广度与支撑度薄弱</w:t>
      </w: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rPr>
        <w:t>：核心结论的平均前置支撑度仅为1.0。 </w:t>
      </w: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修改建议</w:t>
      </w:r>
      <w:r>
        <w:rPr>
          <w:rFonts w:hint="eastAsia" w:asciiTheme="minorEastAsia" w:hAnsiTheme="minorEastAsia" w:eastAsiaTheme="minorEastAsia" w:cstheme="minorEastAsia"/>
          <w:b w:val="0"/>
          <w:bCs w:val="0"/>
          <w:i w:val="0"/>
          <w:iCs w:val="0"/>
          <w:caps w:val="0"/>
          <w:color w:val="000000"/>
          <w:spacing w:val="0"/>
          <w:sz w:val="28"/>
          <w:szCs w:val="28"/>
          <w:bdr w:val="none" w:color="auto" w:sz="0" w:space="0"/>
          <w:shd w:val="clear" w:fill="FFFFFF"/>
        </w:rPr>
        <w:t>：当前文本的论证属于‘单线推演’，建议在【文本块-02】中补充政策扶持数据或技术突破进展（补充背景事实/数据事实），使得结论节点F4能够获得多条逻辑边的交叉支撑，进而提升报告的严谨度。”</w:t>
      </w:r>
    </w:p>
    <w:p w14:paraId="17DB82C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0" w:right="0" w:firstLine="0"/>
        <w:rPr>
          <w:rFonts w:hint="eastAsia" w:asciiTheme="minorEastAsia" w:hAnsiTheme="minorEastAsia" w:eastAsiaTheme="minorEastAsia" w:cstheme="minorEastAsia"/>
          <w:i w:val="0"/>
          <w:iCs w:val="0"/>
          <w:caps w:val="0"/>
          <w:color w:val="000000"/>
          <w:spacing w:val="0"/>
          <w:sz w:val="28"/>
          <w:szCs w:val="28"/>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以上所述仅为本发明的优选实施方式。对于本技术领域的普通技术人员而言，在不脱离本发明原理和实质的前提下，还可以作出若干变形、替换和改进，这些变形、替换和改进均应落入本发明的保护范围。</w:t>
      </w:r>
    </w:p>
    <w:p w14:paraId="3FA0755A">
      <w:pPr>
        <w:pStyle w:val="6"/>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0" w:leftChars="0" w:right="0" w:firstLine="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Style w:val="9"/>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基于知识图谱的研究报告评估系统及设备实施例</w:t>
      </w: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 </w:t>
      </w:r>
    </w:p>
    <w:p w14:paraId="5296DAD9">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Chars="0" w:right="0" w:rightChars="0" w:firstLine="42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基于上述度量方法，本发明还提供一种基于知识图谱的研究报告全面性与深度性度量系统，该系统包括： </w:t>
      </w:r>
    </w:p>
    <w:p w14:paraId="6A079FE9">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Chars="0" w:right="0" w:rightChars="0" w:firstLine="42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研究报告预处理模块</w:t>
      </w: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 用于获取待评估报告并执行文本分块； </w:t>
      </w:r>
    </w:p>
    <w:p w14:paraId="4202CA25">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Chars="0" w:right="0" w:rightChars="0" w:firstLine="42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事实提取与归一化模块</w:t>
      </w: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 用于调用大语言模型抽取事实节点，并完成全局去重； </w:t>
      </w:r>
    </w:p>
    <w:p w14:paraId="312AABE8">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Chars="0" w:right="0" w:rightChars="0" w:firstLine="42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推理识别模块：</w:t>
      </w: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 用于识别事实之间的逻辑推理关系并生成有向边； </w:t>
      </w:r>
    </w:p>
    <w:p w14:paraId="753BFC00">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Chars="0" w:right="0" w:rightChars="0" w:firstLine="42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知识图谱构建模块：</w:t>
      </w: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 用于完成局部子图构建与跨块逻辑缝合，生成全局知识图谱； </w:t>
      </w:r>
    </w:p>
    <w:p w14:paraId="581C33E1">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Chars="0" w:right="0" w:rightChars="0" w:firstLine="42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量化评估模块：</w:t>
      </w: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 用于基于图谱拓扑结构计算知识广度与论证深度指标； </w:t>
      </w:r>
    </w:p>
    <w:p w14:paraId="36801B72">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Chars="0" w:right="0" w:rightChars="0" w:firstLine="420" w:firstLineChars="0"/>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pPr>
      <w:r>
        <w:rPr>
          <w:rFonts w:hint="eastAsia" w:asciiTheme="minorEastAsia" w:hAnsiTheme="minorEastAsia" w:eastAsiaTheme="minorEastAsia" w:cstheme="minorEastAsia"/>
          <w:b/>
          <w:bCs/>
          <w:i w:val="0"/>
          <w:iCs w:val="0"/>
          <w:caps w:val="0"/>
          <w:color w:val="000000"/>
          <w:spacing w:val="0"/>
          <w:sz w:val="28"/>
          <w:szCs w:val="28"/>
          <w:bdr w:val="none" w:color="auto" w:sz="0" w:space="0"/>
          <w:shd w:val="clear" w:fill="FFFFFF"/>
        </w:rPr>
        <w:t>诊断输出模块：</w:t>
      </w: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 xml:space="preserve"> 用于依据量化指标生成综合评分及诊断报告。 </w:t>
      </w:r>
    </w:p>
    <w:p w14:paraId="2DE46CE6">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73" w:beforeAutospacing="0" w:after="273" w:afterAutospacing="0" w:line="32" w:lineRule="atLeast"/>
        <w:ind w:leftChars="0" w:right="0" w:rightChars="0" w:firstLine="42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i w:val="0"/>
          <w:iCs w:val="0"/>
          <w:caps w:val="0"/>
          <w:color w:val="000000"/>
          <w:spacing w:val="0"/>
          <w:sz w:val="28"/>
          <w:szCs w:val="28"/>
          <w:bdr w:val="none" w:color="auto" w:sz="0" w:space="0"/>
          <w:shd w:val="clear" w:fill="FFFFFF"/>
        </w:rPr>
        <w:t>此外，本发明的技术方案也可以通过计算机设备来实现。该计算机设备包括处理器和存储器，存储器中存储有计算机程序，处理器执行所述计算机程序时实现上述任一实施例所述的度量方法的步骤。</w:t>
      </w:r>
    </w:p>
    <w:p w14:paraId="52827A80">
      <w:pPr>
        <w:spacing w:before="60"/>
        <w:rPr>
          <w:rFonts w:hint="eastAsia" w:asciiTheme="minorEastAsia" w:hAnsiTheme="minorEastAsia" w:eastAsiaTheme="minorEastAsia" w:cstheme="minorEastAsia"/>
        </w:rPr>
      </w:pPr>
    </w:p>
    <w:p w14:paraId="22FB5CEB">
      <w:pPr>
        <w:spacing w:before="60"/>
        <w:rPr>
          <w:rFonts w:hint="eastAsia" w:asciiTheme="minorEastAsia" w:hAnsiTheme="minorEastAsia" w:eastAsiaTheme="minorEastAsia" w:cstheme="minorEastAsia"/>
        </w:rPr>
      </w:pPr>
    </w:p>
    <w:p w14:paraId="58F3CB65">
      <w:pPr>
        <w:spacing w:before="60"/>
        <w:rPr>
          <w:rFonts w:hint="eastAsia" w:asciiTheme="minorEastAsia" w:hAnsiTheme="minorEastAsia" w:eastAsiaTheme="minorEastAsia" w:cstheme="minorEastAsia"/>
        </w:rPr>
      </w:pPr>
    </w:p>
    <w:p w14:paraId="50215895">
      <w:pPr>
        <w:spacing w:before="60"/>
        <w:rPr>
          <w:rFonts w:hint="eastAsia" w:asciiTheme="minorEastAsia" w:hAnsiTheme="minorEastAsia" w:eastAsiaTheme="minorEastAsia" w:cstheme="minorEastAsia"/>
        </w:rPr>
      </w:pPr>
      <w:bookmarkStart w:id="0" w:name="_GoBack"/>
      <w:bookmarkEnd w:id="0"/>
    </w:p>
    <w:sectPr>
      <w:headerReference r:id="rId3" w:type="default"/>
      <w:footerReference r:id="rId4" w:type="default"/>
      <w:pgSz w:w="11906" w:h="16838"/>
      <w:pgMar w:top="1418" w:right="851" w:bottom="851" w:left="1418" w:header="851" w:footer="113"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Helvetica Neue Bold">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BC2AF">
    <w:pPr>
      <w:pStyle w:val="4"/>
      <w:spacing w:line="200" w:lineRule="exact"/>
      <w:rPr>
        <w:rFonts w:hint="default" w:ascii="黑体" w:eastAsia="黑体"/>
        <w:lang w:val="en-US"/>
      </w:rPr>
    </w:pPr>
    <w:r>
      <w:rPr>
        <w:sz w:val="18"/>
      </w:rPr>
      <w:pict>
        <v:shape id="_x0000_s2051" o:spid="_x0000_s2051" o:spt="202" type="#_x0000_t202" style="position:absolute;left:0pt;margin-top:0pt;height:144pt;width:144pt;mso-position-horizontal:center;mso-position-horizontal-relative:margin;mso-wrap-style:none;z-index:251661312;mso-width-relative:page;mso-height-relative:page;" filled="f" stroked="f" coordsize="21600,21600">
          <v:path/>
          <v:fill on="f" focussize="0,0"/>
          <v:stroke on="f"/>
          <v:imagedata o:title=""/>
          <o:lock v:ext="edit" aspectratio="f"/>
          <v:textbox inset="0mm,0mm,0mm,0mm" style="mso-fit-shape-to-text:t;">
            <w:txbxContent>
              <w:p w14:paraId="2C4CE4EF">
                <w:pPr>
                  <w:pStyle w:val="4"/>
                </w:pPr>
                <w:r>
                  <w:fldChar w:fldCharType="begin"/>
                </w:r>
                <w:r>
                  <w:instrText xml:space="preserve"> PAGE  \* MERGEFORMAT </w:instrText>
                </w:r>
                <w:r>
                  <w:fldChar w:fldCharType="separate"/>
                </w:r>
                <w:r>
                  <w:t>1</w:t>
                </w:r>
                <w:r>
                  <w:fldChar w:fldCharType="end"/>
                </w:r>
              </w:p>
            </w:txbxContent>
          </v:textbox>
        </v:shape>
      </w:pict>
    </w:r>
  </w:p>
  <w:p w14:paraId="1F42CBDC">
    <w:pPr>
      <w:pStyle w:val="4"/>
      <w:spacing w:line="200" w:lineRule="exact"/>
      <w:rPr>
        <w:rFonts w:hint="default" w:ascii="黑体" w:eastAsia="黑体"/>
        <w:lang w:val="en-US"/>
      </w:rPr>
    </w:pPr>
    <w:r>
      <w:rPr>
        <w:rFonts w:ascii="黑体" w:eastAsia="黑体"/>
      </w:rPr>
      <w:pict>
        <v:line id="直线 9" o:spid="_x0000_s2049" o:spt="20" style="position:absolute;left:0pt;margin-left:-2.25pt;margin-top:-12.35pt;height:0pt;width:481.9pt;z-index:251660288;mso-width-relative:page;mso-height-relative:page;" coordsize="21600,21600" o:allowincell="f" o:gfxdata="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WAAAAZHJzL1BLAQIUABQAAAAIAIdO4kBVBFRK2QAA&#10;AAoBAAAPAAAAAAAAAAEAIAAAADgAAABkcnMvZG93bnJldi54bWxQSwECFAAUAAAACACHTuJAI5g8&#10;684BAACRAwAADgAAAAAAAAABACAAAAA+AQAAZHJzL2Uyb0RvYy54bWxQSwUGAAAAAAYABgBZAQAA&#10;fgUAAAAA&#10;">
          <v:path arrowok="t"/>
          <v:fill focussize="0,0"/>
          <v:stroke weight="1pt"/>
          <v:imagedata o:title=""/>
          <o:lock v:ext="edit"/>
        </v:line>
      </w:pict>
    </w:r>
  </w:p>
  <w:p w14:paraId="47FA77B9">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1AB227">
    <w:pPr>
      <w:jc w:val="center"/>
      <w:outlineLvl w:val="0"/>
      <w:rPr>
        <w:rFonts w:ascii="黑体" w:eastAsia="黑体"/>
        <w:b/>
        <w:spacing w:val="130"/>
        <w:sz w:val="28"/>
      </w:rPr>
    </w:pPr>
    <w:r>
      <w:rPr>
        <w:rFonts w:eastAsia="黑体"/>
        <w:spacing w:val="130"/>
        <w:sz w:val="28"/>
      </w:rPr>
      <w:pict>
        <v:line id="直线 5" o:spid="_x0000_s2050" o:spt="20" style="position:absolute;left:0pt;margin-left:0pt;margin-top:28.35pt;height:0pt;width:481.9pt;z-index:251659264;mso-width-relative:page;mso-height-relative:page;" coordsize="21600,21600" o:allowincell="f" o:gfxdata="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WAAAAZHJzL1BLAQIUABQAAAAIAIdO4kD/VJ2V1gAAAAYB&#10;AAAPAAAAAAAAAAEAIAAAADgAAABkcnMvZG93bnJldi54bWxQSwECFAAUAAAACACHTuJA1/Btes4B&#10;AACRAwAADgAAAAAAAAABACAAAAA7AQAAZHJzL2Uyb0RvYy54bWxQSwUGAAAAAAYABgBZAQAAewUA&#10;AAAA&#10;">
          <v:path arrowok="t"/>
          <v:fill focussize="0,0"/>
          <v:stroke weight="1pt"/>
          <v:imagedata o:title=""/>
          <o:lock v:ext="edit"/>
        </v:line>
      </w:pict>
    </w:r>
    <w:r>
      <w:rPr>
        <w:rFonts w:hint="eastAsia" w:eastAsia="黑体"/>
        <w:spacing w:val="130"/>
        <w:sz w:val="28"/>
      </w:rPr>
      <w:t>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BED5BC"/>
    <w:multiLevelType w:val="multilevel"/>
    <w:tmpl w:val="AFBED5BC"/>
    <w:lvl w:ilvl="0" w:tentative="0">
      <w:start w:val="1"/>
      <w:numFmt w:val="bullet"/>
      <w:lvlText w:val=""/>
      <w:lvlJc w:val="left"/>
      <w:pPr>
        <w:tabs>
          <w:tab w:val="left" w:pos="1560"/>
        </w:tabs>
        <w:ind w:left="1560" w:hanging="360"/>
      </w:pPr>
      <w:rPr>
        <w:rFonts w:hint="default" w:ascii="Symbol" w:hAnsi="Symbol" w:cs="Symbol"/>
        <w:sz w:val="20"/>
      </w:rPr>
    </w:lvl>
    <w:lvl w:ilvl="1" w:tentative="0">
      <w:start w:val="1"/>
      <w:numFmt w:val="bullet"/>
      <w:lvlText w:val="o"/>
      <w:lvlJc w:val="left"/>
      <w:pPr>
        <w:tabs>
          <w:tab w:val="left" w:pos="2280"/>
        </w:tabs>
        <w:ind w:left="2280" w:hanging="360"/>
      </w:pPr>
      <w:rPr>
        <w:rFonts w:hint="default" w:ascii="Courier New" w:hAnsi="Courier New" w:cs="Courier New"/>
        <w:sz w:val="20"/>
      </w:rPr>
    </w:lvl>
    <w:lvl w:ilvl="2" w:tentative="0">
      <w:start w:val="1"/>
      <w:numFmt w:val="bullet"/>
      <w:lvlText w:val=""/>
      <w:lvlJc w:val="left"/>
      <w:pPr>
        <w:tabs>
          <w:tab w:val="left" w:pos="3000"/>
        </w:tabs>
        <w:ind w:left="3000" w:hanging="360"/>
      </w:pPr>
      <w:rPr>
        <w:rFonts w:hint="default" w:ascii="Wingdings" w:hAnsi="Wingdings" w:cs="Wingdings"/>
        <w:sz w:val="20"/>
      </w:rPr>
    </w:lvl>
    <w:lvl w:ilvl="3" w:tentative="0">
      <w:start w:val="1"/>
      <w:numFmt w:val="bullet"/>
      <w:lvlText w:val=""/>
      <w:lvlJc w:val="left"/>
      <w:pPr>
        <w:tabs>
          <w:tab w:val="left" w:pos="3720"/>
        </w:tabs>
        <w:ind w:left="3720" w:hanging="360"/>
      </w:pPr>
      <w:rPr>
        <w:rFonts w:hint="default" w:ascii="Wingdings" w:hAnsi="Wingdings" w:cs="Wingdings"/>
        <w:sz w:val="20"/>
      </w:rPr>
    </w:lvl>
    <w:lvl w:ilvl="4" w:tentative="0">
      <w:start w:val="1"/>
      <w:numFmt w:val="bullet"/>
      <w:lvlText w:val=""/>
      <w:lvlJc w:val="left"/>
      <w:pPr>
        <w:tabs>
          <w:tab w:val="left" w:pos="4440"/>
        </w:tabs>
        <w:ind w:left="4440" w:hanging="360"/>
      </w:pPr>
      <w:rPr>
        <w:rFonts w:hint="default" w:ascii="Wingdings" w:hAnsi="Wingdings" w:cs="Wingdings"/>
        <w:sz w:val="20"/>
      </w:rPr>
    </w:lvl>
    <w:lvl w:ilvl="5" w:tentative="0">
      <w:start w:val="1"/>
      <w:numFmt w:val="bullet"/>
      <w:lvlText w:val=""/>
      <w:lvlJc w:val="left"/>
      <w:pPr>
        <w:tabs>
          <w:tab w:val="left" w:pos="5160"/>
        </w:tabs>
        <w:ind w:left="5160" w:hanging="360"/>
      </w:pPr>
      <w:rPr>
        <w:rFonts w:hint="default" w:ascii="Wingdings" w:hAnsi="Wingdings" w:cs="Wingdings"/>
        <w:sz w:val="20"/>
      </w:rPr>
    </w:lvl>
    <w:lvl w:ilvl="6" w:tentative="0">
      <w:start w:val="1"/>
      <w:numFmt w:val="bullet"/>
      <w:lvlText w:val=""/>
      <w:lvlJc w:val="left"/>
      <w:pPr>
        <w:tabs>
          <w:tab w:val="left" w:pos="5880"/>
        </w:tabs>
        <w:ind w:left="5880" w:hanging="360"/>
      </w:pPr>
      <w:rPr>
        <w:rFonts w:hint="default" w:ascii="Wingdings" w:hAnsi="Wingdings" w:cs="Wingdings"/>
        <w:sz w:val="20"/>
      </w:rPr>
    </w:lvl>
    <w:lvl w:ilvl="7" w:tentative="0">
      <w:start w:val="1"/>
      <w:numFmt w:val="bullet"/>
      <w:lvlText w:val=""/>
      <w:lvlJc w:val="left"/>
      <w:pPr>
        <w:tabs>
          <w:tab w:val="left" w:pos="6600"/>
        </w:tabs>
        <w:ind w:left="6600" w:hanging="360"/>
      </w:pPr>
      <w:rPr>
        <w:rFonts w:hint="default" w:ascii="Wingdings" w:hAnsi="Wingdings" w:cs="Wingdings"/>
        <w:sz w:val="20"/>
      </w:rPr>
    </w:lvl>
    <w:lvl w:ilvl="8" w:tentative="0">
      <w:start w:val="1"/>
      <w:numFmt w:val="bullet"/>
      <w:lvlText w:val=""/>
      <w:lvlJc w:val="left"/>
      <w:pPr>
        <w:tabs>
          <w:tab w:val="left" w:pos="7320"/>
        </w:tabs>
        <w:ind w:left="7320" w:hanging="360"/>
      </w:pPr>
      <w:rPr>
        <w:rFonts w:hint="default" w:ascii="Wingdings" w:hAnsi="Wingdings" w:cs="Wingdings"/>
        <w:sz w:val="20"/>
      </w:rPr>
    </w:lvl>
  </w:abstractNum>
  <w:abstractNum w:abstractNumId="1">
    <w:nsid w:val="B3C7C4F2"/>
    <w:multiLevelType w:val="multilevel"/>
    <w:tmpl w:val="B3C7C4F2"/>
    <w:lvl w:ilvl="0" w:tentative="0">
      <w:start w:val="1"/>
      <w:numFmt w:val="bullet"/>
      <w:lvlText w:val=""/>
      <w:lvlJc w:val="left"/>
      <w:pPr>
        <w:tabs>
          <w:tab w:val="left" w:pos="1140"/>
        </w:tabs>
        <w:ind w:left="1140" w:hanging="360"/>
      </w:pPr>
      <w:rPr>
        <w:rFonts w:hint="default" w:ascii="Symbol" w:hAnsi="Symbol" w:cs="Symbol"/>
        <w:sz w:val="20"/>
      </w:rPr>
    </w:lvl>
    <w:lvl w:ilvl="1" w:tentative="0">
      <w:start w:val="1"/>
      <w:numFmt w:val="bullet"/>
      <w:lvlText w:val="o"/>
      <w:lvlJc w:val="left"/>
      <w:pPr>
        <w:tabs>
          <w:tab w:val="left" w:pos="1860"/>
        </w:tabs>
        <w:ind w:left="1860" w:hanging="360"/>
      </w:pPr>
      <w:rPr>
        <w:rFonts w:hint="default" w:ascii="Courier New" w:hAnsi="Courier New" w:cs="Courier New"/>
        <w:sz w:val="20"/>
      </w:rPr>
    </w:lvl>
    <w:lvl w:ilvl="2" w:tentative="0">
      <w:start w:val="1"/>
      <w:numFmt w:val="bullet"/>
      <w:lvlText w:val=""/>
      <w:lvlJc w:val="left"/>
      <w:pPr>
        <w:tabs>
          <w:tab w:val="left" w:pos="2580"/>
        </w:tabs>
        <w:ind w:left="2580" w:hanging="360"/>
      </w:pPr>
      <w:rPr>
        <w:rFonts w:hint="default"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2">
    <w:nsid w:val="E43FD3B0"/>
    <w:multiLevelType w:val="multilevel"/>
    <w:tmpl w:val="E43FD3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95AC6F9"/>
    <w:multiLevelType w:val="multilevel"/>
    <w:tmpl w:val="F95AC6F9"/>
    <w:lvl w:ilvl="0" w:tentative="0">
      <w:start w:val="1"/>
      <w:numFmt w:val="bullet"/>
      <w:lvlText w:val=""/>
      <w:lvlJc w:val="left"/>
      <w:pPr>
        <w:tabs>
          <w:tab w:val="left" w:pos="1140"/>
        </w:tabs>
        <w:ind w:left="1140" w:hanging="360"/>
      </w:pPr>
      <w:rPr>
        <w:rFonts w:hint="default" w:ascii="Symbol" w:hAnsi="Symbol" w:cs="Symbol"/>
        <w:sz w:val="20"/>
      </w:rPr>
    </w:lvl>
    <w:lvl w:ilvl="1" w:tentative="0">
      <w:start w:val="1"/>
      <w:numFmt w:val="bullet"/>
      <w:lvlText w:val="o"/>
      <w:lvlJc w:val="left"/>
      <w:pPr>
        <w:tabs>
          <w:tab w:val="left" w:pos="1860"/>
        </w:tabs>
        <w:ind w:left="1860" w:hanging="360"/>
      </w:pPr>
      <w:rPr>
        <w:rFonts w:hint="default" w:ascii="Courier New" w:hAnsi="Courier New" w:cs="Courier New"/>
        <w:sz w:val="20"/>
      </w:rPr>
    </w:lvl>
    <w:lvl w:ilvl="2" w:tentative="0">
      <w:start w:val="1"/>
      <w:numFmt w:val="bullet"/>
      <w:lvlText w:val=""/>
      <w:lvlJc w:val="left"/>
      <w:pPr>
        <w:tabs>
          <w:tab w:val="left" w:pos="2580"/>
        </w:tabs>
        <w:ind w:left="2580" w:hanging="360"/>
      </w:pPr>
      <w:rPr>
        <w:rFonts w:hint="default"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4">
    <w:nsid w:val="F9F8A266"/>
    <w:multiLevelType w:val="multilevel"/>
    <w:tmpl w:val="F9F8A266"/>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5">
    <w:nsid w:val="FAB57F1D"/>
    <w:multiLevelType w:val="multilevel"/>
    <w:tmpl w:val="FAB57F1D"/>
    <w:lvl w:ilvl="0" w:tentative="0">
      <w:start w:val="1"/>
      <w:numFmt w:val="bullet"/>
      <w:lvlText w:val=""/>
      <w:lvlJc w:val="left"/>
      <w:pPr>
        <w:tabs>
          <w:tab w:val="left" w:pos="1140"/>
        </w:tabs>
        <w:ind w:left="1140" w:hanging="360"/>
      </w:pPr>
      <w:rPr>
        <w:rFonts w:hint="default" w:ascii="Symbol" w:hAnsi="Symbol" w:cs="Symbol"/>
        <w:sz w:val="20"/>
      </w:rPr>
    </w:lvl>
    <w:lvl w:ilvl="1" w:tentative="0">
      <w:start w:val="1"/>
      <w:numFmt w:val="bullet"/>
      <w:lvlText w:val="o"/>
      <w:lvlJc w:val="left"/>
      <w:pPr>
        <w:tabs>
          <w:tab w:val="left" w:pos="1860"/>
        </w:tabs>
        <w:ind w:left="1860" w:hanging="360"/>
      </w:pPr>
      <w:rPr>
        <w:rFonts w:hint="default" w:ascii="Courier New" w:hAnsi="Courier New" w:cs="Courier New"/>
        <w:sz w:val="20"/>
      </w:rPr>
    </w:lvl>
    <w:lvl w:ilvl="2" w:tentative="0">
      <w:start w:val="1"/>
      <w:numFmt w:val="bullet"/>
      <w:lvlText w:val=""/>
      <w:lvlJc w:val="left"/>
      <w:pPr>
        <w:tabs>
          <w:tab w:val="left" w:pos="2580"/>
        </w:tabs>
        <w:ind w:left="2580" w:hanging="360"/>
      </w:pPr>
      <w:rPr>
        <w:rFonts w:hint="default"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6">
    <w:nsid w:val="FE753585"/>
    <w:multiLevelType w:val="multilevel"/>
    <w:tmpl w:val="FE753585"/>
    <w:lvl w:ilvl="0" w:tentative="0">
      <w:start w:val="1"/>
      <w:numFmt w:val="decimal"/>
      <w:lvlText w:val="%1."/>
      <w:lvlJc w:val="left"/>
      <w:pPr>
        <w:tabs>
          <w:tab w:val="left" w:pos="1140"/>
        </w:tabs>
        <w:ind w:left="1140" w:hanging="360"/>
      </w:pPr>
      <w:rPr>
        <w:sz w:val="24"/>
        <w:szCs w:val="24"/>
      </w:rPr>
    </w:lvl>
    <w:lvl w:ilvl="1" w:tentative="0">
      <w:start w:val="1"/>
      <w:numFmt w:val="decimal"/>
      <w:lvlText w:val="%2."/>
      <w:lvlJc w:val="left"/>
      <w:pPr>
        <w:tabs>
          <w:tab w:val="left" w:pos="1860"/>
        </w:tabs>
        <w:ind w:left="1860" w:hanging="360"/>
      </w:pPr>
      <w:rPr>
        <w:sz w:val="24"/>
        <w:szCs w:val="24"/>
      </w:rPr>
    </w:lvl>
    <w:lvl w:ilvl="2" w:tentative="0">
      <w:start w:val="1"/>
      <w:numFmt w:val="decimal"/>
      <w:lvlText w:val="%3."/>
      <w:lvlJc w:val="left"/>
      <w:pPr>
        <w:tabs>
          <w:tab w:val="left" w:pos="2580"/>
        </w:tabs>
        <w:ind w:left="2580" w:hanging="360"/>
      </w:pPr>
      <w:rPr>
        <w:sz w:val="24"/>
        <w:szCs w:val="24"/>
      </w:rPr>
    </w:lvl>
    <w:lvl w:ilvl="3" w:tentative="0">
      <w:start w:val="1"/>
      <w:numFmt w:val="decimal"/>
      <w:lvlText w:val="%4."/>
      <w:lvlJc w:val="left"/>
      <w:pPr>
        <w:tabs>
          <w:tab w:val="left" w:pos="2937"/>
        </w:tabs>
        <w:ind w:left="3300" w:hanging="360"/>
      </w:pPr>
      <w:rPr>
        <w:sz w:val="24"/>
        <w:szCs w:val="24"/>
      </w:rPr>
    </w:lvl>
    <w:lvl w:ilvl="4" w:tentative="0">
      <w:start w:val="1"/>
      <w:numFmt w:val="decimal"/>
      <w:lvlText w:val="%5."/>
      <w:lvlJc w:val="left"/>
      <w:pPr>
        <w:tabs>
          <w:tab w:val="left" w:pos="3658"/>
        </w:tabs>
        <w:ind w:left="4020" w:hanging="360"/>
      </w:pPr>
      <w:rPr>
        <w:sz w:val="24"/>
        <w:szCs w:val="24"/>
      </w:rPr>
    </w:lvl>
    <w:lvl w:ilvl="5" w:tentative="0">
      <w:start w:val="1"/>
      <w:numFmt w:val="decimal"/>
      <w:lvlText w:val="%6."/>
      <w:lvlJc w:val="left"/>
      <w:pPr>
        <w:tabs>
          <w:tab w:val="left" w:pos="4378"/>
        </w:tabs>
        <w:ind w:left="4740" w:hanging="360"/>
      </w:pPr>
      <w:rPr>
        <w:sz w:val="24"/>
        <w:szCs w:val="24"/>
      </w:rPr>
    </w:lvl>
    <w:lvl w:ilvl="6" w:tentative="0">
      <w:start w:val="1"/>
      <w:numFmt w:val="decimal"/>
      <w:lvlText w:val="%7."/>
      <w:lvlJc w:val="left"/>
      <w:pPr>
        <w:tabs>
          <w:tab w:val="left" w:pos="5098"/>
        </w:tabs>
        <w:ind w:left="5460" w:hanging="360"/>
      </w:pPr>
      <w:rPr>
        <w:sz w:val="24"/>
        <w:szCs w:val="24"/>
      </w:rPr>
    </w:lvl>
    <w:lvl w:ilvl="7" w:tentative="0">
      <w:start w:val="1"/>
      <w:numFmt w:val="decimal"/>
      <w:lvlText w:val="%8."/>
      <w:lvlJc w:val="left"/>
      <w:pPr>
        <w:tabs>
          <w:tab w:val="left" w:pos="5818"/>
        </w:tabs>
        <w:ind w:left="6180" w:hanging="360"/>
      </w:pPr>
      <w:rPr>
        <w:sz w:val="24"/>
        <w:szCs w:val="24"/>
      </w:rPr>
    </w:lvl>
    <w:lvl w:ilvl="8" w:tentative="0">
      <w:start w:val="1"/>
      <w:numFmt w:val="decimal"/>
      <w:lvlText w:val="%9."/>
      <w:lvlJc w:val="left"/>
      <w:pPr>
        <w:tabs>
          <w:tab w:val="left" w:pos="6538"/>
        </w:tabs>
        <w:ind w:left="6900" w:hanging="360"/>
      </w:pPr>
      <w:rPr>
        <w:sz w:val="24"/>
        <w:szCs w:val="24"/>
      </w:rPr>
    </w:lvl>
  </w:abstractNum>
  <w:abstractNum w:abstractNumId="7">
    <w:nsid w:val="FFE699C0"/>
    <w:multiLevelType w:val="multilevel"/>
    <w:tmpl w:val="FFE699C0"/>
    <w:lvl w:ilvl="0" w:tentative="0">
      <w:start w:val="1"/>
      <w:numFmt w:val="bullet"/>
      <w:lvlText w:val=""/>
      <w:lvlJc w:val="left"/>
      <w:pPr>
        <w:tabs>
          <w:tab w:val="left" w:pos="1140"/>
        </w:tabs>
        <w:ind w:left="1140" w:hanging="360"/>
      </w:pPr>
      <w:rPr>
        <w:rFonts w:hint="default" w:ascii="Symbol" w:hAnsi="Symbol" w:cs="Symbol"/>
        <w:sz w:val="20"/>
      </w:rPr>
    </w:lvl>
    <w:lvl w:ilvl="1" w:tentative="0">
      <w:start w:val="1"/>
      <w:numFmt w:val="bullet"/>
      <w:lvlText w:val="o"/>
      <w:lvlJc w:val="left"/>
      <w:pPr>
        <w:tabs>
          <w:tab w:val="left" w:pos="1860"/>
        </w:tabs>
        <w:ind w:left="1860" w:hanging="360"/>
      </w:pPr>
      <w:rPr>
        <w:rFonts w:hint="default" w:ascii="Courier New" w:hAnsi="Courier New" w:cs="Courier New"/>
        <w:sz w:val="20"/>
      </w:rPr>
    </w:lvl>
    <w:lvl w:ilvl="2" w:tentative="0">
      <w:start w:val="1"/>
      <w:numFmt w:val="bullet"/>
      <w:lvlText w:val=""/>
      <w:lvlJc w:val="left"/>
      <w:pPr>
        <w:tabs>
          <w:tab w:val="left" w:pos="2580"/>
        </w:tabs>
        <w:ind w:left="2580" w:hanging="360"/>
      </w:pPr>
      <w:rPr>
        <w:rFonts w:hint="default"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8">
    <w:nsid w:val="FFFFD64E"/>
    <w:multiLevelType w:val="multilevel"/>
    <w:tmpl w:val="FFFFD64E"/>
    <w:lvl w:ilvl="0" w:tentative="0">
      <w:start w:val="1"/>
      <w:numFmt w:val="bullet"/>
      <w:lvlText w:val=""/>
      <w:lvlJc w:val="left"/>
      <w:pPr>
        <w:tabs>
          <w:tab w:val="left" w:pos="1140"/>
        </w:tabs>
        <w:ind w:left="1140" w:hanging="360"/>
      </w:pPr>
      <w:rPr>
        <w:rFonts w:hint="default" w:ascii="Symbol" w:hAnsi="Symbol" w:cs="Symbol"/>
        <w:sz w:val="20"/>
      </w:rPr>
    </w:lvl>
    <w:lvl w:ilvl="1" w:tentative="0">
      <w:start w:val="1"/>
      <w:numFmt w:val="bullet"/>
      <w:lvlText w:val="o"/>
      <w:lvlJc w:val="left"/>
      <w:pPr>
        <w:tabs>
          <w:tab w:val="left" w:pos="1860"/>
        </w:tabs>
        <w:ind w:left="1860" w:hanging="360"/>
      </w:pPr>
      <w:rPr>
        <w:rFonts w:hint="default" w:ascii="Courier New" w:hAnsi="Courier New" w:cs="Courier New"/>
        <w:sz w:val="20"/>
      </w:rPr>
    </w:lvl>
    <w:lvl w:ilvl="2" w:tentative="0">
      <w:start w:val="1"/>
      <w:numFmt w:val="bullet"/>
      <w:lvlText w:val=""/>
      <w:lvlJc w:val="left"/>
      <w:pPr>
        <w:tabs>
          <w:tab w:val="left" w:pos="2580"/>
        </w:tabs>
        <w:ind w:left="2580" w:hanging="360"/>
      </w:pPr>
      <w:rPr>
        <w:rFonts w:hint="default"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9">
    <w:nsid w:val="7ACB6501"/>
    <w:multiLevelType w:val="multilevel"/>
    <w:tmpl w:val="7ACB6501"/>
    <w:lvl w:ilvl="0" w:tentative="0">
      <w:start w:val="1"/>
      <w:numFmt w:val="bullet"/>
      <w:lvlText w:val=""/>
      <w:lvlJc w:val="left"/>
      <w:pPr>
        <w:tabs>
          <w:tab w:val="left" w:pos="1140"/>
        </w:tabs>
        <w:ind w:left="1140" w:hanging="360"/>
      </w:pPr>
      <w:rPr>
        <w:rFonts w:hint="default" w:ascii="Symbol" w:hAnsi="Symbol" w:cs="Symbol"/>
        <w:sz w:val="20"/>
      </w:rPr>
    </w:lvl>
    <w:lvl w:ilvl="1" w:tentative="0">
      <w:start w:val="1"/>
      <w:numFmt w:val="bullet"/>
      <w:lvlText w:val="o"/>
      <w:lvlJc w:val="left"/>
      <w:pPr>
        <w:tabs>
          <w:tab w:val="left" w:pos="1860"/>
        </w:tabs>
        <w:ind w:left="1860" w:hanging="360"/>
      </w:pPr>
      <w:rPr>
        <w:rFonts w:hint="default" w:ascii="Courier New" w:hAnsi="Courier New" w:cs="Courier New"/>
        <w:sz w:val="20"/>
      </w:rPr>
    </w:lvl>
    <w:lvl w:ilvl="2" w:tentative="0">
      <w:start w:val="1"/>
      <w:numFmt w:val="bullet"/>
      <w:lvlText w:val=""/>
      <w:lvlJc w:val="left"/>
      <w:pPr>
        <w:tabs>
          <w:tab w:val="left" w:pos="2580"/>
        </w:tabs>
        <w:ind w:left="2580" w:hanging="360"/>
      </w:pPr>
      <w:rPr>
        <w:rFonts w:hint="default"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10">
    <w:nsid w:val="7FFF8825"/>
    <w:multiLevelType w:val="singleLevel"/>
    <w:tmpl w:val="7FFF8825"/>
    <w:lvl w:ilvl="0" w:tentative="0">
      <w:start w:val="1"/>
      <w:numFmt w:val="decimal"/>
      <w:suff w:val="nothing"/>
      <w:lvlText w:val="（%1）"/>
      <w:lvlJc w:val="left"/>
    </w:lvl>
  </w:abstractNum>
  <w:num w:numId="1">
    <w:abstractNumId w:val="4"/>
  </w:num>
  <w:num w:numId="2">
    <w:abstractNumId w:val="0"/>
  </w:num>
  <w:num w:numId="3">
    <w:abstractNumId w:val="1"/>
  </w:num>
  <w:num w:numId="4">
    <w:abstractNumId w:val="9"/>
  </w:num>
  <w:num w:numId="5">
    <w:abstractNumId w:val="10"/>
  </w:num>
  <w:num w:numId="6">
    <w:abstractNumId w:val="3"/>
  </w:num>
  <w:num w:numId="7">
    <w:abstractNumId w:val="5"/>
  </w:num>
  <w:num w:numId="8">
    <w:abstractNumId w:val="7"/>
  </w:num>
  <w:num w:numId="9">
    <w:abstractNumId w:val="2"/>
  </w:num>
  <w:num w:numId="10">
    <w:abstractNumId w:val="8"/>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doNotWrapTextWithPunct/>
    <w:doNotUseEastAsianBreakRules/>
    <w:useFELayout/>
    <w:compatSetting w:name="compatibilityMode" w:uri="http://schemas.microsoft.com/office/word" w:val="12"/>
  </w:compat>
  <w:rsids>
    <w:rsidRoot w:val="000D75E4"/>
    <w:rsid w:val="000D75E4"/>
    <w:rsid w:val="00A35DF6"/>
    <w:rsid w:val="36F74AE5"/>
    <w:rsid w:val="38875404"/>
    <w:rsid w:val="6BF7D98A"/>
    <w:rsid w:val="7347D96D"/>
    <w:rsid w:val="77EF0C73"/>
    <w:rsid w:val="7F3F93B9"/>
    <w:rsid w:val="7FFFCBAA"/>
    <w:rsid w:val="9D7BC328"/>
    <w:rsid w:val="B7779789"/>
    <w:rsid w:val="BED3508E"/>
    <w:rsid w:val="BFEECAAB"/>
    <w:rsid w:val="EDF40508"/>
    <w:rsid w:val="FB9F63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ody Text Indent"/>
    <w:basedOn w:val="1"/>
    <w:qFormat/>
    <w:uiPriority w:val="0"/>
    <w:pPr>
      <w:ind w:left="378" w:hanging="378" w:hangingChars="180"/>
    </w:pPr>
    <w:rPr>
      <w:rFonts w:ascii="宋体" w:hAnsi="宋体"/>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paragraph" w:customStyle="1" w:styleId="10">
    <w:name w:val="批注框文本1"/>
    <w:basedOn w:val="1"/>
    <w:semiHidden/>
    <w:qFormat/>
    <w:uiPriority w:val="0"/>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Info spid="_x0000_s2051" textRotate="1"/>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sipo</Company>
  <Pages>15</Pages>
  <Words>420</Words>
  <Characters>172</Characters>
  <Lines>1</Lines>
  <Paragraphs>1</Paragraphs>
  <TotalTime>52</TotalTime>
  <ScaleCrop>false</ScaleCrop>
  <LinksUpToDate>false</LinksUpToDate>
  <CharactersWithSpaces>591</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2009-09-16T12:03:00Z</dcterms:created>
  <dc:creator>cxf</dc:creator>
  <cp:lastModifiedBy>王美平</cp:lastModifiedBy>
  <cp:lastPrinted>2003-06-11T03:06:00Z</cp:lastPrinted>
  <dcterms:modified xsi:type="dcterms:W3CDTF">2026-04-09T16:59:38Z</dcterms:modified>
  <dc:title>10003     2002</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F74926D39440B387641D116415F67F4B</vt:lpwstr>
  </property>
</Properties>
</file>