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media/rId24.png" ContentType="image/png"/>
  <Override PartName="/word/media/rId32.pdf" ContentType="application/pdf"/>
  <Override PartName="/word/media/rId51.pdf" ContentType="application/pdf"/>
  <Override PartName="/word/media/rId40.pdf" ContentType="application/pdf"/>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WoLKE CAEO 2025 Report</w:t>
      </w:r>
    </w:p>
    <w:p>
      <w:pPr>
        <w:pStyle w:val="Author"/>
      </w:pPr>
      <w:r>
        <w:t xml:space="preserve">Heiko Holz</w:t>
      </w:r>
    </w:p>
    <w:p>
      <w:pPr>
        <w:pStyle w:val="Date"/>
      </w:pPr>
      <w:r>
        <w:t xml:space="preserve">August 29, 2025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t xml:space="preserve">This document contains the analysis scripts and report for the manuscript</w:t>
      </w:r>
      <w:r>
        <w:t xml:space="preserve"> </w:t>
      </w:r>
      <w:r>
        <w:t xml:space="preserve">“A Course on AI for Pre-Service STEM and Language Teachers: A Quasi-Experimental Evaluation of Learning Outcomes Using Intelligent-TPACK and AI Literacy Instruments”</w:t>
      </w:r>
      <w:r>
        <w:t xml:space="preserve">. The R scripts, data are hosted at</w:t>
      </w:r>
      <w:r>
        <w:t xml:space="preserve"> </w:t>
      </w:r>
      <w:r>
        <w:t xml:space="preserve">.</w:t>
      </w:r>
    </w:p>
    <w:p>
      <w:pPr>
        <w:pStyle w:val="SourceCode"/>
      </w:pPr>
      <w:r>
        <w:br/>
      </w:r>
      <w:r>
        <w:rPr>
          <w:rStyle w:val="VerbatimChar"/>
        </w:rPr>
        <w:t xml:space="preserve">Attaching package: 'flextable'</w:t>
      </w:r>
    </w:p>
    <w:p>
      <w:pPr>
        <w:pStyle w:val="SourceCode"/>
      </w:pPr>
      <w:r>
        <w:rPr>
          <w:rStyle w:val="VerbatimChar"/>
        </w:rPr>
        <w:t xml:space="preserve">The following object is masked from 'package:papaja':</w:t>
      </w:r>
      <w:r>
        <w:br/>
      </w:r>
      <w:r>
        <w:br/>
      </w:r>
      <w:r>
        <w:rPr>
          <w:rStyle w:val="VerbatimChar"/>
        </w:rPr>
        <w:t xml:space="preserve">    theme_apa</w:t>
      </w:r>
    </w:p>
    <w:p>
      <w:pPr>
        <w:pStyle w:val="SourceCode"/>
      </w:pPr>
      <w:r>
        <w:rPr>
          <w:rStyle w:val="VerbatimChar"/>
        </w:rPr>
        <w:t xml:space="preserve">The following object is masked from 'package:jtools':</w:t>
      </w:r>
      <w:r>
        <w:br/>
      </w:r>
      <w:r>
        <w:br/>
      </w:r>
      <w:r>
        <w:rPr>
          <w:rStyle w:val="VerbatimChar"/>
        </w:rPr>
        <w:t xml:space="preserve">    theme_apa</w:t>
      </w:r>
    </w:p>
    <w:p>
      <w:pPr>
        <w:pStyle w:val="SourceCode"/>
      </w:pPr>
      <w:r>
        <w:rPr>
          <w:rStyle w:val="VerbatimChar"/>
        </w:rPr>
        <w:t xml:space="preserve">The following objects are masked from 'package:kableExtra':</w:t>
      </w:r>
      <w:r>
        <w:br/>
      </w:r>
      <w:r>
        <w:br/>
      </w:r>
      <w:r>
        <w:rPr>
          <w:rStyle w:val="VerbatimChar"/>
        </w:rPr>
        <w:t xml:space="preserve">    as_image, footnote</w:t>
      </w:r>
    </w:p>
    <w:bookmarkStart w:id="30" w:name="methods"/>
    <w:p>
      <w:pPr>
        <w:pStyle w:val="Heading1"/>
      </w:pPr>
      <w:r>
        <w:t xml:space="preserve">1. Methods</w:t>
      </w:r>
    </w:p>
    <w:bookmarkStart w:id="21" w:name="participants"/>
    <w:p>
      <w:pPr>
        <w:pStyle w:val="Heading2"/>
      </w:pPr>
      <w:r>
        <w:t xml:space="preserve">1.1 Participants</w:t>
      </w:r>
    </w:p>
    <w:p>
      <w:pPr>
        <w:pStyle w:val="SourceCode"/>
      </w:pPr>
      <w:r>
        <w:rPr>
          <w:rStyle w:val="VerbatimChar"/>
        </w:rPr>
        <w:t xml:space="preserve">`summarise()` has grouped output by 'intervention', 'location'. You can</w:t>
      </w:r>
      <w:r>
        <w:br/>
      </w:r>
      <w:r>
        <w:rPr>
          <w:rStyle w:val="VerbatimChar"/>
        </w:rPr>
        <w:t xml:space="preserve">override using the `.groups` argument.</w:t>
      </w:r>
    </w:p>
    <w:p>
      <w:pPr>
        <w:pStyle w:val="FirstParagraph"/>
      </w:pPr>
      <w:r>
        <w:t xml:space="preserve">The study involved pre-service teachers from two universities of education in Baden-Württemberg, Germany. Participants were divided into a</w:t>
      </w:r>
      <w:r>
        <w:t xml:space="preserve"> </w:t>
      </w:r>
      <w:r>
        <w:rPr>
          <w:b/>
          <w:bCs/>
        </w:rPr>
        <w:t xml:space="preserve">treatment group</w:t>
      </w:r>
      <w:r>
        <w:t xml:space="preserve"> </w:t>
      </w:r>
      <w:r>
        <w:t xml:space="preserve">consisting of two intervention groups (STEM and language course), and a</w:t>
      </w:r>
      <w:r>
        <w:t xml:space="preserve"> </w:t>
      </w:r>
      <w:r>
        <w:rPr>
          <w:b/>
          <w:bCs/>
        </w:rPr>
        <w:t xml:space="preserve">control group</w:t>
      </w:r>
      <w:r>
        <w:t xml:space="preserve">.</w:t>
      </w:r>
      <w:r>
        <w:t xml:space="preserve"> </w:t>
      </w:r>
      <w:r>
        <w:t xml:space="preserve">Students in the treatment groups self-selected the courses</w:t>
      </w:r>
      <w:r>
        <w:t xml:space="preserve"> </w:t>
      </w:r>
      <w:r>
        <w:t xml:space="preserve">“AI in STEM/Language Education”</w:t>
      </w:r>
      <w:r>
        <w:t xml:space="preserve"> </w:t>
      </w:r>
      <w:r>
        <w:t xml:space="preserve">as part of their compulsory elective studies. The control group was recruited from other STEM courses at University 1 during the same semester.</w:t>
      </w:r>
    </w:p>
    <w:p>
      <w:pPr>
        <w:pStyle w:val="BodyText"/>
      </w:pPr>
      <w:r>
        <w:t xml:space="preserve">In total,</w:t>
      </w:r>
      <w:r>
        <w:t xml:space="preserve"> </w:t>
      </w:r>
      <m:oMath>
        <m:r>
          <m:t>N</m:t>
        </m:r>
        <m:r>
          <m:rPr>
            <m:sty m:val="p"/>
          </m:rPr>
          <m:t>=</m:t>
        </m:r>
        <m:r>
          <m:t>145</m:t>
        </m:r>
      </m:oMath>
      <w:r>
        <w:t xml:space="preserve"> </w:t>
      </w:r>
      <w:r>
        <w:t xml:space="preserve">students originally participated in the study (</w:t>
      </w:r>
      <m:oMath>
        <m:sSub>
          <m:e>
            <m:r>
              <m:t>N</m:t>
            </m:r>
          </m:e>
          <m:sub>
            <m:r>
              <m:t>c</m:t>
            </m:r>
          </m:sub>
        </m:sSub>
        <m:r>
          <m:rPr>
            <m:sty m:val="p"/>
          </m:rPr>
          <m:t>=</m:t>
        </m:r>
        <m:r>
          <m:t>59</m:t>
        </m:r>
      </m:oMath>
      <w:r>
        <w:t xml:space="preserve"> </w:t>
      </w:r>
      <w:r>
        <w:t xml:space="preserve">in the control group,</w:t>
      </w:r>
      <w:r>
        <w:t xml:space="preserve"> </w:t>
      </w:r>
      <m:oMath>
        <m:sSub>
          <m:e>
            <m:r>
              <m:t>N</m:t>
            </m:r>
          </m:e>
          <m:sub>
            <m:r>
              <m:t>s</m:t>
            </m:r>
          </m:sub>
        </m:sSub>
        <m:r>
          <m:rPr>
            <m:sty m:val="p"/>
          </m:rPr>
          <m:t>=</m:t>
        </m:r>
        <m:r>
          <m:t>50</m:t>
        </m:r>
      </m:oMath>
      <w:r>
        <w:t xml:space="preserve"> </w:t>
      </w:r>
      <w:r>
        <w:t xml:space="preserve">in the STEM course, and</w:t>
      </w:r>
      <w:r>
        <w:t xml:space="preserve"> </w:t>
      </w:r>
      <m:oMath>
        <m:sSub>
          <m:e>
            <m:r>
              <m:t>N</m:t>
            </m:r>
          </m:e>
          <m:sub>
            <m:r>
              <m:t>l</m:t>
            </m:r>
          </m:sub>
        </m:sSub>
        <m:r>
          <m:rPr>
            <m:sty m:val="p"/>
          </m:rPr>
          <m:t>=</m:t>
        </m:r>
        <m:r>
          <m:t>36</m:t>
        </m:r>
      </m:oMath>
      <w:r>
        <w:t xml:space="preserve"> </w:t>
      </w:r>
      <w:r>
        <w:t xml:space="preserve">in the language course), of which</w:t>
      </w:r>
      <w:r>
        <w:t xml:space="preserve"> </w:t>
      </w:r>
      <m:oMath>
        <m:r>
          <m:t>n</m:t>
        </m:r>
        <m:r>
          <m:rPr>
            <m:sty m:val="p"/>
          </m:rPr>
          <m:t>=</m:t>
        </m:r>
        <m:r>
          <m:t>76</m:t>
        </m:r>
      </m:oMath>
      <w:r>
        <w:t xml:space="preserve"> </w:t>
      </w:r>
      <w:r>
        <w:t xml:space="preserve">completed both pre- and the posttest and were included in the analyses (</w:t>
      </w:r>
      <m:oMath>
        <m:sSub>
          <m:e>
            <m:r>
              <m:t>n</m:t>
            </m:r>
          </m:e>
          <m:sub>
            <m:r>
              <m:t>c</m:t>
            </m:r>
          </m:sub>
        </m:sSub>
        <m:r>
          <m:rPr>
            <m:sty m:val="p"/>
          </m:rPr>
          <m:t>=</m:t>
        </m:r>
        <m:r>
          <m:t>19</m:t>
        </m:r>
      </m:oMath>
      <w:r>
        <w:t xml:space="preserve">,</w:t>
      </w:r>
      <w:r>
        <w:t xml:space="preserve"> </w:t>
      </w:r>
      <m:oMath>
        <m:sSub>
          <m:e>
            <m:r>
              <m:t>n</m:t>
            </m:r>
          </m:e>
          <m:sub>
            <m:r>
              <m:t>s</m:t>
            </m:r>
          </m:sub>
        </m:sSub>
        <m:r>
          <m:rPr>
            <m:sty m:val="p"/>
          </m:rPr>
          <m:t>=</m:t>
        </m:r>
        <m:r>
          <m:t>34</m:t>
        </m:r>
      </m:oMath>
      <w:r>
        <w:t xml:space="preserve">,</w:t>
      </w:r>
      <w:r>
        <w:t xml:space="preserve"> </w:t>
      </w:r>
      <m:oMath>
        <m:sSub>
          <m:e>
            <m:r>
              <m:t>n</m:t>
            </m:r>
          </m:e>
          <m:sub>
            <m:r>
              <m:t>l</m:t>
            </m:r>
          </m:sub>
        </m:sSub>
        <m:r>
          <m:rPr>
            <m:sty m:val="p"/>
          </m:rPr>
          <m:t>=</m:t>
        </m:r>
        <m:r>
          <m:t>23</m:t>
        </m:r>
      </m:oMath>
      <w:r>
        <w:t xml:space="preserve">).</w:t>
      </w:r>
    </w:p>
    <w:p>
      <w:pPr>
        <w:pStyle w:val="BodyText"/>
      </w:pPr>
      <w:r>
        <w:t xml:space="preserve">Unfortunately, we observed a high drop-out rate between the pre- and posttest. We attribute this to several factors: First, the posttests were conducted in class close (one to two weeks) to the examination period, resulting in students not attending the in-person posttest sessions. For the control group, some lecturers executed the posttest during their teaching, while others did not. We suspect a high drop-out at the posttest for the control group due to both factors: students not attending the sessions close to the examination week and not conducting the tests at home or in their free study time.</w:t>
      </w:r>
    </w:p>
    <w:p>
      <w:pPr>
        <w:pStyle w:val="BodyText"/>
      </w:pPr>
      <w:r>
        <w:t xml:space="preserve">Descriptive statistics of students’ demographics and pretest scores are presented in</w:t>
      </w:r>
      <w:r>
        <w:t xml:space="preserve"> </w:t>
      </w:r>
      <w:hyperlink w:anchor="tbl-participants">
        <w:r>
          <w:rPr>
            <w:rStyle w:val="Hyperlink"/>
          </w:rPr>
          <w:t xml:space="preserve">Table 1</w:t>
        </w:r>
      </w:hyperlink>
      <w:r>
        <w:t xml:space="preserve">. The final sample size included in the analyses was</w:t>
      </w:r>
      <w:r>
        <w:t xml:space="preserve"> </w:t>
      </w:r>
      <m:oMath>
        <m:r>
          <m:t>n</m:t>
        </m:r>
        <m:r>
          <m:rPr>
            <m:sty m:val="p"/>
          </m:rPr>
          <m:t>=</m:t>
        </m:r>
        <m:r>
          <m:t>76</m:t>
        </m:r>
      </m:oMath>
      <w:r>
        <w:t xml:space="preserve">, aged between</w:t>
      </w:r>
      <w:r>
        <w:t xml:space="preserve"> </w:t>
      </w:r>
      <m:oMath>
        <m:r>
          <m:t>20</m:t>
        </m:r>
      </m:oMath>
      <w:r>
        <w:t xml:space="preserve"> </w:t>
      </w:r>
      <w:r>
        <w:t xml:space="preserve">and</w:t>
      </w:r>
      <w:r>
        <w:t xml:space="preserve"> </w:t>
      </w:r>
      <m:oMath>
        <m:r>
          <m:t>41</m:t>
        </m:r>
      </m:oMath>
      <w:r>
        <w:t xml:space="preserve"> </w:t>
      </w:r>
      <w:r>
        <w:t xml:space="preserve">years (</w:t>
      </w:r>
      <m:oMath>
        <m:r>
          <m:t>M</m:t>
        </m:r>
        <m:r>
          <m:rPr>
            <m:sty m:val="p"/>
          </m:rPr>
          <m:t>=</m:t>
        </m:r>
        <m:r>
          <m:t>24.26</m:t>
        </m:r>
      </m:oMath>
      <w:r>
        <w:t xml:space="preserve">,</w:t>
      </w:r>
      <w:r>
        <w:t xml:space="preserve"> </w:t>
      </w:r>
      <m:oMath>
        <m:r>
          <m:t>S</m:t>
        </m:r>
        <m:r>
          <m:t>D</m:t>
        </m:r>
        <m:r>
          <m:rPr>
            <m:sty m:val="p"/>
          </m:rPr>
          <m:t>=</m:t>
        </m:r>
        <m:r>
          <m:t>4.01</m:t>
        </m:r>
      </m:oMath>
      <w:r>
        <w:t xml:space="preserve">), of which</w:t>
      </w:r>
      <w:r>
        <w:t xml:space="preserve"> </w:t>
      </w:r>
      <m:oMath>
        <m:r>
          <m:t>48</m:t>
        </m:r>
      </m:oMath>
      <w:r>
        <w:t xml:space="preserve"> </w:t>
      </w:r>
      <w:r>
        <w:t xml:space="preserve">identified as female and</w:t>
      </w:r>
      <w:r>
        <w:t xml:space="preserve"> </w:t>
      </w:r>
      <m:oMath>
        <m:r>
          <m:t>28</m:t>
        </m:r>
      </m:oMath>
      <w:r>
        <w:t xml:space="preserve"> </w:t>
      </w:r>
      <w:r>
        <w:t xml:space="preserve">as male.</w:t>
      </w:r>
      <w:r>
        <w:t xml:space="preserve"> </w:t>
      </w:r>
      <w:r>
        <w:t xml:space="preserve">The students were enrolled in semester</w:t>
      </w:r>
      <w:r>
        <w:t xml:space="preserve"> </w:t>
      </w:r>
      <m:oMath>
        <m:r>
          <m:t>2</m:t>
        </m:r>
      </m:oMath>
      <w:r>
        <w:t xml:space="preserve"> </w:t>
      </w:r>
      <w:r>
        <w:t xml:space="preserve">to</w:t>
      </w:r>
      <w:r>
        <w:t xml:space="preserve"> </w:t>
      </w:r>
      <m:oMath>
        <m:r>
          <m:t>19</m:t>
        </m:r>
      </m:oMath>
      <w:r>
        <w:t xml:space="preserve"> </w:t>
      </w:r>
      <w:r>
        <w:t xml:space="preserve">(</w:t>
      </w:r>
      <m:oMath>
        <m:r>
          <m:t>M</m:t>
        </m:r>
        <m:r>
          <m:rPr>
            <m:sty m:val="p"/>
          </m:rPr>
          <m:t>=</m:t>
        </m:r>
        <m:r>
          <m:t>7.46</m:t>
        </m:r>
      </m:oMath>
      <w:r>
        <w:t xml:space="preserve">,</w:t>
      </w:r>
      <w:r>
        <w:t xml:space="preserve"> </w:t>
      </w:r>
      <m:oMath>
        <m:r>
          <m:t>S</m:t>
        </m:r>
        <m:r>
          <m:t>D</m:t>
        </m:r>
        <m:r>
          <m:rPr>
            <m:sty m:val="p"/>
          </m:rPr>
          <m:t>=</m:t>
        </m:r>
        <m:r>
          <m:t>2.88</m:t>
        </m:r>
      </m:oMath>
      <w:r>
        <w:t xml:space="preserve">). Of these,</w:t>
      </w:r>
      <w:r>
        <w:t xml:space="preserve"> </w:t>
      </w:r>
      <m:oMath>
        <m:r>
          <m:t>37</m:t>
        </m:r>
      </m:oMath>
      <w:r>
        <w:t xml:space="preserve"> </w:t>
      </w:r>
      <w:r>
        <w:t xml:space="preserve">students were at the Bachelor’s level and</w:t>
      </w:r>
      <w:r>
        <w:t xml:space="preserve"> </w:t>
      </w:r>
      <m:oMath>
        <m:r>
          <m:t>39</m:t>
        </m:r>
      </m:oMath>
      <w:r>
        <w:t xml:space="preserve"> </w:t>
      </w:r>
      <w:r>
        <w:t xml:space="preserve">at the Master’s level.</w:t>
      </w:r>
    </w:p>
    <w:tbl>
      <w:tblPr>
        <w:tblStyle w:val="Table"/>
        <w:tblW w:type="pct" w:w="5000"/>
        <w:tblLayout w:type="fixed"/>
        <w:tblLook w:firstRow="0" w:lastRow="0" w:firstColumn="0" w:lastColumn="0" w:noHBand="0" w:noVBand="0" w:val="0000"/>
      </w:tblPr>
      <w:tblGrid>
        <w:gridCol w:w="7920"/>
      </w:tblGrid>
      <w:tr>
        <w:tc>
          <w:tcPr/>
          <w:bookmarkStart w:id="20" w:name="tbl-participants"/>
          <w:p>
            <w:pPr>
              <w:jc w:val="center"/>
            </w:pPr>
            <w:pPr>
              <w:jc w:val="start"/>
              <w:spacing w:before="200"/>
              <w:pStyle w:val="ImageCaption"/>
            </w:pPr>
            <w:r>
              <w:t xml:space="preserve">Table 1: Demographic Data of the Three Experimental Groups</w:t>
            </w:r>
          </w:p>
          <w:tbl>
            <w:tblPr>
              <w:tblStyle w:val="Table"/>
              <w:tblW w:type="pct" w:w="5000"/>
              <w:tblLayout w:type="fixed"/>
              <w:tblLook w:firstRow="1" w:lastRow="0" w:firstColumn="0" w:lastColumn="0" w:noHBand="0" w:noVBand="0" w:val="0020"/>
            </w:tblPr>
            <w:tblGrid>
              <w:gridCol w:w="2786"/>
              <w:gridCol w:w="1100"/>
              <w:gridCol w:w="1026"/>
              <w:gridCol w:w="1173"/>
              <w:gridCol w:w="1026"/>
              <w:gridCol w:w="806"/>
            </w:tblGrid>
            <w:tr>
              <w:trPr>
                <w:tblHeader w:val="on"/>
              </w:trPr>
              <w:tc>
                <w:tcPr/>
                <w:p>
                  <w:pPr>
                    <w:pStyle w:val="Compact"/>
                  </w:pPr>
                </w:p>
              </w:tc>
              <w:tc>
                <w:tcPr/>
                <w:p>
                  <w:pPr>
                    <w:pStyle w:val="Compact"/>
                    <w:jc w:val="left"/>
                    <w:jc w:val="center"/>
                  </w:pPr>
                  <w:r>
                    <w:t xml:space="preserve">control (N=19)</w:t>
                  </w:r>
                </w:p>
              </w:tc>
              <w:tc>
                <w:tcPr/>
                <w:p>
                  <w:pPr>
                    <w:pStyle w:val="Compact"/>
                    <w:jc w:val="left"/>
                    <w:jc w:val="center"/>
                  </w:pPr>
                  <w:r>
                    <w:t xml:space="preserve">stem (N=34)</w:t>
                  </w:r>
                </w:p>
              </w:tc>
              <w:tc>
                <w:tcPr/>
                <w:p>
                  <w:pPr>
                    <w:pStyle w:val="Compact"/>
                    <w:jc w:val="left"/>
                    <w:jc w:val="center"/>
                  </w:pPr>
                  <w:r>
                    <w:t xml:space="preserve">language (N=23)</w:t>
                  </w:r>
                </w:p>
              </w:tc>
              <w:tc>
                <w:tcPr/>
                <w:p>
                  <w:pPr>
                    <w:pStyle w:val="Compact"/>
                    <w:jc w:val="left"/>
                    <w:jc w:val="center"/>
                  </w:pPr>
                  <w:r>
                    <w:t xml:space="preserve">Total (N=76)</w:t>
                  </w:r>
                </w:p>
              </w:tc>
              <w:tc>
                <w:tcPr/>
                <w:p>
                  <w:pPr>
                    <w:pStyle w:val="Compact"/>
                    <w:jc w:val="left"/>
                    <w:jc w:val="center"/>
                  </w:pPr>
                  <w:r>
                    <w:t xml:space="preserve">p value</w:t>
                  </w:r>
                </w:p>
              </w:tc>
            </w:tr>
            <w:tr>
              <w:tc>
                <w:tcPr/>
                <w:p>
                  <w:pPr>
                    <w:pStyle w:val="Compact"/>
                    <w:jc w:val="left"/>
                    <w:jc w:val="center"/>
                  </w:pPr>
                  <w:r>
                    <w:rPr>
                      <w:b/>
                      <w:bCs/>
                    </w:rPr>
                    <w:t xml:space="preserve">University</w:t>
                  </w:r>
                </w:p>
              </w:tc>
              <w:tc>
                <w:tcPr/>
                <w:p>
                  <w:pPr>
                    <w:pStyle w:val="Compact"/>
                  </w:pPr>
                </w:p>
              </w:tc>
              <w:tc>
                <w:tcPr/>
                <w:p>
                  <w:pPr>
                    <w:pStyle w:val="Compact"/>
                  </w:pPr>
                </w:p>
              </w:tc>
              <w:tc>
                <w:tcPr/>
                <w:p>
                  <w:pPr>
                    <w:pStyle w:val="Compact"/>
                  </w:pPr>
                </w:p>
              </w:tc>
              <w:tc>
                <w:tcPr/>
                <w:p>
                  <w:pPr>
                    <w:pStyle w:val="Compact"/>
                  </w:pPr>
                </w:p>
              </w:tc>
              <w:tc>
                <w:tcPr/>
                <w:p>
                  <w:pPr>
                    <w:pStyle w:val="Compact"/>
                    <w:jc w:val="left"/>
                    <w:jc w:val="center"/>
                  </w:pPr>
                  <w:r>
                    <w:t xml:space="preserve">&lt; 0.001</w:t>
                  </w:r>
                  <w:r>
                    <w:rPr>
                      <w:vertAlign w:val="superscript"/>
                    </w:rPr>
                    <w:t xml:space="preserve">1</w:t>
                  </w:r>
                </w:p>
              </w:tc>
            </w:tr>
            <w:tr>
              <w:tc>
                <w:tcPr/>
                <w:p>
                  <w:pPr>
                    <w:pStyle w:val="Compact"/>
                    <w:jc w:val="left"/>
                    <w:jc w:val="center"/>
                  </w:pPr>
                  <w:r>
                    <w:t xml:space="preserve">   PH Schwäbisch Gmünd</w:t>
                  </w:r>
                </w:p>
              </w:tc>
              <w:tc>
                <w:tcPr/>
                <w:p>
                  <w:pPr>
                    <w:pStyle w:val="Compact"/>
                    <w:jc w:val="left"/>
                    <w:jc w:val="center"/>
                  </w:pPr>
                  <w:r>
                    <w:t xml:space="preserve">19 (100.0%)</w:t>
                  </w:r>
                </w:p>
              </w:tc>
              <w:tc>
                <w:tcPr/>
                <w:p>
                  <w:pPr>
                    <w:pStyle w:val="Compact"/>
                    <w:jc w:val="left"/>
                    <w:jc w:val="center"/>
                  </w:pPr>
                  <w:r>
                    <w:t xml:space="preserve">16 (47.1%)</w:t>
                  </w:r>
                </w:p>
              </w:tc>
              <w:tc>
                <w:tcPr/>
                <w:p>
                  <w:pPr>
                    <w:pStyle w:val="Compact"/>
                    <w:jc w:val="left"/>
                    <w:jc w:val="center"/>
                  </w:pPr>
                  <w:r>
                    <w:t xml:space="preserve">0 (0.0%)</w:t>
                  </w:r>
                </w:p>
              </w:tc>
              <w:tc>
                <w:tcPr/>
                <w:p>
                  <w:pPr>
                    <w:pStyle w:val="Compact"/>
                    <w:jc w:val="left"/>
                    <w:jc w:val="center"/>
                  </w:pPr>
                  <w:r>
                    <w:t xml:space="preserve">35 (46.1%)</w:t>
                  </w:r>
                </w:p>
              </w:tc>
              <w:tc>
                <w:tcPr/>
                <w:p>
                  <w:pPr>
                    <w:pStyle w:val="Compact"/>
                  </w:pPr>
                </w:p>
              </w:tc>
            </w:tr>
            <w:tr>
              <w:tc>
                <w:tcPr/>
                <w:p>
                  <w:pPr>
                    <w:pStyle w:val="Compact"/>
                    <w:jc w:val="left"/>
                    <w:jc w:val="center"/>
                  </w:pPr>
                  <w:r>
                    <w:t xml:space="preserve">   PH Ludwigsburg</w:t>
                  </w:r>
                </w:p>
              </w:tc>
              <w:tc>
                <w:tcPr/>
                <w:p>
                  <w:pPr>
                    <w:pStyle w:val="Compact"/>
                    <w:jc w:val="left"/>
                    <w:jc w:val="center"/>
                  </w:pPr>
                  <w:r>
                    <w:t xml:space="preserve">0 (0.0%)</w:t>
                  </w:r>
                </w:p>
              </w:tc>
              <w:tc>
                <w:tcPr/>
                <w:p>
                  <w:pPr>
                    <w:pStyle w:val="Compact"/>
                    <w:jc w:val="left"/>
                    <w:jc w:val="center"/>
                  </w:pPr>
                  <w:r>
                    <w:t xml:space="preserve">18 (52.9%)</w:t>
                  </w:r>
                </w:p>
              </w:tc>
              <w:tc>
                <w:tcPr/>
                <w:p>
                  <w:pPr>
                    <w:pStyle w:val="Compact"/>
                    <w:jc w:val="left"/>
                    <w:jc w:val="center"/>
                  </w:pPr>
                  <w:r>
                    <w:t xml:space="preserve">23 (100.0%)</w:t>
                  </w:r>
                </w:p>
              </w:tc>
              <w:tc>
                <w:tcPr/>
                <w:p>
                  <w:pPr>
                    <w:pStyle w:val="Compact"/>
                    <w:jc w:val="left"/>
                    <w:jc w:val="center"/>
                  </w:pPr>
                  <w:r>
                    <w:t xml:space="preserve">41 (53.9%)</w:t>
                  </w:r>
                </w:p>
              </w:tc>
              <w:tc>
                <w:tcPr/>
                <w:p>
                  <w:pPr>
                    <w:pStyle w:val="Compact"/>
                  </w:pPr>
                </w:p>
              </w:tc>
            </w:tr>
            <w:tr>
              <w:tc>
                <w:tcPr/>
                <w:p>
                  <w:pPr>
                    <w:pStyle w:val="Compact"/>
                    <w:jc w:val="left"/>
                    <w:jc w:val="center"/>
                  </w:pPr>
                  <w:r>
                    <w:rPr>
                      <w:b/>
                      <w:bCs/>
                    </w:rPr>
                    <w:t xml:space="preserve">Age</w:t>
                  </w:r>
                </w:p>
              </w:tc>
              <w:tc>
                <w:tcPr/>
                <w:p>
                  <w:pPr>
                    <w:pStyle w:val="Compact"/>
                  </w:pPr>
                </w:p>
              </w:tc>
              <w:tc>
                <w:tcPr/>
                <w:p>
                  <w:pPr>
                    <w:pStyle w:val="Compact"/>
                  </w:pPr>
                </w:p>
              </w:tc>
              <w:tc>
                <w:tcPr/>
                <w:p>
                  <w:pPr>
                    <w:pStyle w:val="Compact"/>
                  </w:pPr>
                </w:p>
              </w:tc>
              <w:tc>
                <w:tcPr/>
                <w:p>
                  <w:pPr>
                    <w:pStyle w:val="Compact"/>
                  </w:pPr>
                </w:p>
              </w:tc>
              <w:tc>
                <w:tcPr/>
                <w:p>
                  <w:pPr>
                    <w:pStyle w:val="Compact"/>
                    <w:jc w:val="left"/>
                    <w:jc w:val="center"/>
                  </w:pPr>
                  <w:r>
                    <w:t xml:space="preserve">0.320</w:t>
                  </w:r>
                  <w:r>
                    <w:rPr>
                      <w:vertAlign w:val="superscript"/>
                    </w:rPr>
                    <w:t xml:space="preserve">2</w:t>
                  </w:r>
                </w:p>
              </w:tc>
            </w:tr>
            <w:tr>
              <w:tc>
                <w:tcPr/>
                <w:p>
                  <w:pPr>
                    <w:pStyle w:val="Compact"/>
                    <w:jc w:val="left"/>
                    <w:jc w:val="center"/>
                  </w:pPr>
                  <w:r>
                    <w:t xml:space="preserve">   Mean (SD)</w:t>
                  </w:r>
                </w:p>
              </w:tc>
              <w:tc>
                <w:tcPr/>
                <w:p>
                  <w:pPr>
                    <w:pStyle w:val="Compact"/>
                    <w:jc w:val="left"/>
                    <w:jc w:val="center"/>
                  </w:pPr>
                  <w:r>
                    <w:t xml:space="preserve">23.05 (3.17)</w:t>
                  </w:r>
                </w:p>
              </w:tc>
              <w:tc>
                <w:tcPr/>
                <w:p>
                  <w:pPr>
                    <w:pStyle w:val="Compact"/>
                    <w:jc w:val="left"/>
                    <w:jc w:val="center"/>
                  </w:pPr>
                  <w:r>
                    <w:t xml:space="preserve">24.65 (4.69)</w:t>
                  </w:r>
                </w:p>
              </w:tc>
              <w:tc>
                <w:tcPr/>
                <w:p>
                  <w:pPr>
                    <w:pStyle w:val="Compact"/>
                    <w:jc w:val="left"/>
                    <w:jc w:val="center"/>
                  </w:pPr>
                  <w:r>
                    <w:t xml:space="preserve">24.70 (3.47)</w:t>
                  </w:r>
                </w:p>
              </w:tc>
              <w:tc>
                <w:tcPr/>
                <w:p>
                  <w:pPr>
                    <w:pStyle w:val="Compact"/>
                    <w:jc w:val="left"/>
                    <w:jc w:val="center"/>
                  </w:pPr>
                  <w:r>
                    <w:t xml:space="preserve">24.26 (4.01)</w:t>
                  </w:r>
                </w:p>
              </w:tc>
              <w:tc>
                <w:tcPr/>
                <w:p>
                  <w:pPr>
                    <w:pStyle w:val="Compact"/>
                  </w:pPr>
                </w:p>
              </w:tc>
            </w:tr>
            <w:tr>
              <w:tc>
                <w:tcPr/>
                <w:p>
                  <w:pPr>
                    <w:pStyle w:val="Compact"/>
                    <w:jc w:val="left"/>
                    <w:jc w:val="center"/>
                  </w:pPr>
                  <w:r>
                    <w:t xml:space="preserve">   Range</w:t>
                  </w:r>
                </w:p>
              </w:tc>
              <w:tc>
                <w:tcPr/>
                <w:p>
                  <w:pPr>
                    <w:pStyle w:val="Compact"/>
                    <w:jc w:val="left"/>
                    <w:jc w:val="center"/>
                  </w:pPr>
                  <w:r>
                    <w:t xml:space="preserve">20.00 - 31.00</w:t>
                  </w:r>
                </w:p>
              </w:tc>
              <w:tc>
                <w:tcPr/>
                <w:p>
                  <w:pPr>
                    <w:pStyle w:val="Compact"/>
                    <w:jc w:val="left"/>
                    <w:jc w:val="center"/>
                  </w:pPr>
                  <w:r>
                    <w:t xml:space="preserve">21.00 - 41.00</w:t>
                  </w:r>
                </w:p>
              </w:tc>
              <w:tc>
                <w:tcPr/>
                <w:p>
                  <w:pPr>
                    <w:pStyle w:val="Compact"/>
                    <w:jc w:val="left"/>
                    <w:jc w:val="center"/>
                  </w:pPr>
                  <w:r>
                    <w:t xml:space="preserve">22.00 - 39.00</w:t>
                  </w:r>
                </w:p>
              </w:tc>
              <w:tc>
                <w:tcPr/>
                <w:p>
                  <w:pPr>
                    <w:pStyle w:val="Compact"/>
                    <w:jc w:val="left"/>
                    <w:jc w:val="center"/>
                  </w:pPr>
                  <w:r>
                    <w:t xml:space="preserve">20.00 - 41.00</w:t>
                  </w:r>
                </w:p>
              </w:tc>
              <w:tc>
                <w:tcPr/>
                <w:p>
                  <w:pPr>
                    <w:pStyle w:val="Compact"/>
                  </w:pPr>
                </w:p>
              </w:tc>
            </w:tr>
            <w:tr>
              <w:tc>
                <w:tcPr/>
                <w:p>
                  <w:pPr>
                    <w:pStyle w:val="Compact"/>
                    <w:jc w:val="left"/>
                    <w:jc w:val="center"/>
                  </w:pPr>
                  <w:r>
                    <w:rPr>
                      <w:b/>
                      <w:bCs/>
                    </w:rPr>
                    <w:t xml:space="preserve">Gender</w:t>
                  </w:r>
                </w:p>
              </w:tc>
              <w:tc>
                <w:tcPr/>
                <w:p>
                  <w:pPr>
                    <w:pStyle w:val="Compact"/>
                  </w:pPr>
                </w:p>
              </w:tc>
              <w:tc>
                <w:tcPr/>
                <w:p>
                  <w:pPr>
                    <w:pStyle w:val="Compact"/>
                  </w:pPr>
                </w:p>
              </w:tc>
              <w:tc>
                <w:tcPr/>
                <w:p>
                  <w:pPr>
                    <w:pStyle w:val="Compact"/>
                  </w:pPr>
                </w:p>
              </w:tc>
              <w:tc>
                <w:tcPr/>
                <w:p>
                  <w:pPr>
                    <w:pStyle w:val="Compact"/>
                  </w:pPr>
                </w:p>
              </w:tc>
              <w:tc>
                <w:tcPr/>
                <w:p>
                  <w:pPr>
                    <w:pStyle w:val="Compact"/>
                    <w:jc w:val="left"/>
                    <w:jc w:val="center"/>
                  </w:pPr>
                  <w:r>
                    <w:t xml:space="preserve">0.021</w:t>
                  </w:r>
                  <w:r>
                    <w:rPr>
                      <w:vertAlign w:val="superscript"/>
                    </w:rPr>
                    <w:t xml:space="preserve">1</w:t>
                  </w:r>
                </w:p>
              </w:tc>
            </w:tr>
            <w:tr>
              <w:tc>
                <w:tcPr/>
                <w:p>
                  <w:pPr>
                    <w:pStyle w:val="Compact"/>
                    <w:jc w:val="left"/>
                    <w:jc w:val="center"/>
                  </w:pPr>
                  <w:r>
                    <w:t xml:space="preserve">   Female</w:t>
                  </w:r>
                </w:p>
              </w:tc>
              <w:tc>
                <w:tcPr/>
                <w:p>
                  <w:pPr>
                    <w:pStyle w:val="Compact"/>
                    <w:jc w:val="left"/>
                    <w:jc w:val="center"/>
                  </w:pPr>
                  <w:r>
                    <w:t xml:space="preserve">6 (31.6%)</w:t>
                  </w:r>
                </w:p>
              </w:tc>
              <w:tc>
                <w:tcPr/>
                <w:p>
                  <w:pPr>
                    <w:pStyle w:val="Compact"/>
                    <w:jc w:val="left"/>
                    <w:jc w:val="center"/>
                  </w:pPr>
                  <w:r>
                    <w:t xml:space="preserve">18 (52.9%)</w:t>
                  </w:r>
                </w:p>
              </w:tc>
              <w:tc>
                <w:tcPr/>
                <w:p>
                  <w:pPr>
                    <w:pStyle w:val="Compact"/>
                    <w:jc w:val="left"/>
                    <w:jc w:val="center"/>
                  </w:pPr>
                  <w:r>
                    <w:t xml:space="preserve">4 (17.4%)</w:t>
                  </w:r>
                </w:p>
              </w:tc>
              <w:tc>
                <w:tcPr/>
                <w:p>
                  <w:pPr>
                    <w:pStyle w:val="Compact"/>
                    <w:jc w:val="left"/>
                    <w:jc w:val="center"/>
                  </w:pPr>
                  <w:r>
                    <w:t xml:space="preserve">28 (36.8%)</w:t>
                  </w:r>
                </w:p>
              </w:tc>
              <w:tc>
                <w:tcPr/>
                <w:p>
                  <w:pPr>
                    <w:pStyle w:val="Compact"/>
                  </w:pPr>
                </w:p>
              </w:tc>
            </w:tr>
            <w:tr>
              <w:tc>
                <w:tcPr/>
                <w:p>
                  <w:pPr>
                    <w:pStyle w:val="Compact"/>
                    <w:jc w:val="left"/>
                    <w:jc w:val="center"/>
                  </w:pPr>
                  <w:r>
                    <w:t xml:space="preserve">   Male</w:t>
                  </w:r>
                </w:p>
              </w:tc>
              <w:tc>
                <w:tcPr/>
                <w:p>
                  <w:pPr>
                    <w:pStyle w:val="Compact"/>
                    <w:jc w:val="left"/>
                    <w:jc w:val="center"/>
                  </w:pPr>
                  <w:r>
                    <w:t xml:space="preserve">13 (68.4%)</w:t>
                  </w:r>
                </w:p>
              </w:tc>
              <w:tc>
                <w:tcPr/>
                <w:p>
                  <w:pPr>
                    <w:pStyle w:val="Compact"/>
                    <w:jc w:val="left"/>
                    <w:jc w:val="center"/>
                  </w:pPr>
                  <w:r>
                    <w:t xml:space="preserve">16 (47.1%)</w:t>
                  </w:r>
                </w:p>
              </w:tc>
              <w:tc>
                <w:tcPr/>
                <w:p>
                  <w:pPr>
                    <w:pStyle w:val="Compact"/>
                    <w:jc w:val="left"/>
                    <w:jc w:val="center"/>
                  </w:pPr>
                  <w:r>
                    <w:t xml:space="preserve">19 (82.6%)</w:t>
                  </w:r>
                </w:p>
              </w:tc>
              <w:tc>
                <w:tcPr/>
                <w:p>
                  <w:pPr>
                    <w:pStyle w:val="Compact"/>
                    <w:jc w:val="left"/>
                    <w:jc w:val="center"/>
                  </w:pPr>
                  <w:r>
                    <w:t xml:space="preserve">48 (63.2%)</w:t>
                  </w:r>
                </w:p>
              </w:tc>
              <w:tc>
                <w:tcPr/>
                <w:p>
                  <w:pPr>
                    <w:pStyle w:val="Compact"/>
                  </w:pPr>
                </w:p>
              </w:tc>
            </w:tr>
            <w:tr>
              <w:tc>
                <w:tcPr/>
                <w:p>
                  <w:pPr>
                    <w:pStyle w:val="Compact"/>
                    <w:jc w:val="left"/>
                    <w:jc w:val="center"/>
                  </w:pPr>
                  <w:r>
                    <w:rPr>
                      <w:b/>
                      <w:bCs/>
                    </w:rPr>
                    <w:t xml:space="preserve">Semester Number</w:t>
                  </w:r>
                </w:p>
              </w:tc>
              <w:tc>
                <w:tcPr/>
                <w:p>
                  <w:pPr>
                    <w:pStyle w:val="Compact"/>
                  </w:pPr>
                </w:p>
              </w:tc>
              <w:tc>
                <w:tcPr/>
                <w:p>
                  <w:pPr>
                    <w:pStyle w:val="Compact"/>
                  </w:pPr>
                </w:p>
              </w:tc>
              <w:tc>
                <w:tcPr/>
                <w:p>
                  <w:pPr>
                    <w:pStyle w:val="Compact"/>
                  </w:pPr>
                </w:p>
              </w:tc>
              <w:tc>
                <w:tcPr/>
                <w:p>
                  <w:pPr>
                    <w:pStyle w:val="Compact"/>
                  </w:pPr>
                </w:p>
              </w:tc>
              <w:tc>
                <w:tcPr/>
                <w:p>
                  <w:pPr>
                    <w:pStyle w:val="Compact"/>
                    <w:jc w:val="left"/>
                    <w:jc w:val="center"/>
                  </w:pPr>
                  <w:r>
                    <w:t xml:space="preserve">&lt; 0.001</w:t>
                  </w:r>
                  <w:r>
                    <w:rPr>
                      <w:vertAlign w:val="superscript"/>
                    </w:rPr>
                    <w:t xml:space="preserve">2</w:t>
                  </w:r>
                </w:p>
              </w:tc>
            </w:tr>
            <w:tr>
              <w:tc>
                <w:tcPr/>
                <w:p>
                  <w:pPr>
                    <w:pStyle w:val="Compact"/>
                    <w:jc w:val="left"/>
                    <w:jc w:val="center"/>
                  </w:pPr>
                  <w:r>
                    <w:t xml:space="preserve">   Mean (SD)</w:t>
                  </w:r>
                </w:p>
              </w:tc>
              <w:tc>
                <w:tcPr/>
                <w:p>
                  <w:pPr>
                    <w:pStyle w:val="Compact"/>
                    <w:jc w:val="left"/>
                    <w:jc w:val="center"/>
                  </w:pPr>
                  <w:r>
                    <w:t xml:space="preserve">5.53 (2.48)</w:t>
                  </w:r>
                </w:p>
              </w:tc>
              <w:tc>
                <w:tcPr/>
                <w:p>
                  <w:pPr>
                    <w:pStyle w:val="Compact"/>
                    <w:jc w:val="left"/>
                    <w:jc w:val="center"/>
                  </w:pPr>
                  <w:r>
                    <w:t xml:space="preserve">7.03 (2.12)</w:t>
                  </w:r>
                </w:p>
              </w:tc>
              <w:tc>
                <w:tcPr/>
                <w:p>
                  <w:pPr>
                    <w:pStyle w:val="Compact"/>
                    <w:jc w:val="left"/>
                    <w:jc w:val="center"/>
                  </w:pPr>
                  <w:r>
                    <w:t xml:space="preserve">9.70 (2.79)</w:t>
                  </w:r>
                </w:p>
              </w:tc>
              <w:tc>
                <w:tcPr/>
                <w:p>
                  <w:pPr>
                    <w:pStyle w:val="Compact"/>
                    <w:jc w:val="left"/>
                    <w:jc w:val="center"/>
                  </w:pPr>
                  <w:r>
                    <w:t xml:space="preserve">7.46 (2.88)</w:t>
                  </w:r>
                </w:p>
              </w:tc>
              <w:tc>
                <w:tcPr/>
                <w:p>
                  <w:pPr>
                    <w:pStyle w:val="Compact"/>
                  </w:pPr>
                </w:p>
              </w:tc>
            </w:tr>
            <w:tr>
              <w:tc>
                <w:tcPr/>
                <w:p>
                  <w:pPr>
                    <w:pStyle w:val="Compact"/>
                    <w:jc w:val="left"/>
                    <w:jc w:val="center"/>
                  </w:pPr>
                  <w:r>
                    <w:t xml:space="preserve">   Range</w:t>
                  </w:r>
                </w:p>
              </w:tc>
              <w:tc>
                <w:tcPr/>
                <w:p>
                  <w:pPr>
                    <w:pStyle w:val="Compact"/>
                    <w:jc w:val="left"/>
                    <w:jc w:val="center"/>
                  </w:pPr>
                  <w:r>
                    <w:t xml:space="preserve">2.00 - 10.00</w:t>
                  </w:r>
                </w:p>
              </w:tc>
              <w:tc>
                <w:tcPr/>
                <w:p>
                  <w:pPr>
                    <w:pStyle w:val="Compact"/>
                    <w:jc w:val="left"/>
                    <w:jc w:val="center"/>
                  </w:pPr>
                  <w:r>
                    <w:t xml:space="preserve">4.00 - 10.00</w:t>
                  </w:r>
                </w:p>
              </w:tc>
              <w:tc>
                <w:tcPr/>
                <w:p>
                  <w:pPr>
                    <w:pStyle w:val="Compact"/>
                    <w:jc w:val="left"/>
                    <w:jc w:val="center"/>
                  </w:pPr>
                  <w:r>
                    <w:t xml:space="preserve">6.00 - 19.00</w:t>
                  </w:r>
                </w:p>
              </w:tc>
              <w:tc>
                <w:tcPr/>
                <w:p>
                  <w:pPr>
                    <w:pStyle w:val="Compact"/>
                    <w:jc w:val="left"/>
                    <w:jc w:val="center"/>
                  </w:pPr>
                  <w:r>
                    <w:t xml:space="preserve">2.00 - 19.00</w:t>
                  </w:r>
                </w:p>
              </w:tc>
              <w:tc>
                <w:tcPr/>
                <w:p>
                  <w:pPr>
                    <w:pStyle w:val="Compact"/>
                  </w:pPr>
                </w:p>
              </w:tc>
            </w:tr>
            <w:tr>
              <w:tc>
                <w:tcPr/>
                <w:p>
                  <w:pPr>
                    <w:pStyle w:val="Compact"/>
                    <w:jc w:val="left"/>
                    <w:jc w:val="center"/>
                  </w:pPr>
                  <w:r>
                    <w:rPr>
                      <w:b/>
                      <w:bCs/>
                    </w:rPr>
                    <w:t xml:space="preserve">Study Level</w:t>
                  </w:r>
                </w:p>
              </w:tc>
              <w:tc>
                <w:tcPr/>
                <w:p>
                  <w:pPr>
                    <w:pStyle w:val="Compact"/>
                  </w:pPr>
                </w:p>
              </w:tc>
              <w:tc>
                <w:tcPr/>
                <w:p>
                  <w:pPr>
                    <w:pStyle w:val="Compact"/>
                  </w:pPr>
                </w:p>
              </w:tc>
              <w:tc>
                <w:tcPr/>
                <w:p>
                  <w:pPr>
                    <w:pStyle w:val="Compact"/>
                  </w:pPr>
                </w:p>
              </w:tc>
              <w:tc>
                <w:tcPr/>
                <w:p>
                  <w:pPr>
                    <w:pStyle w:val="Compact"/>
                  </w:pPr>
                </w:p>
              </w:tc>
              <w:tc>
                <w:tcPr/>
                <w:p>
                  <w:pPr>
                    <w:pStyle w:val="Compact"/>
                    <w:jc w:val="left"/>
                    <w:jc w:val="center"/>
                  </w:pPr>
                  <w:r>
                    <w:t xml:space="preserve">0.110</w:t>
                  </w:r>
                  <w:r>
                    <w:rPr>
                      <w:vertAlign w:val="superscript"/>
                    </w:rPr>
                    <w:t xml:space="preserve">1</w:t>
                  </w:r>
                </w:p>
              </w:tc>
            </w:tr>
            <w:tr>
              <w:tc>
                <w:tcPr/>
                <w:p>
                  <w:pPr>
                    <w:pStyle w:val="Compact"/>
                    <w:jc w:val="left"/>
                    <w:jc w:val="center"/>
                  </w:pPr>
                  <w:r>
                    <w:t xml:space="preserve">   Bachelor</w:t>
                  </w:r>
                </w:p>
              </w:tc>
              <w:tc>
                <w:tcPr/>
                <w:p>
                  <w:pPr>
                    <w:pStyle w:val="Compact"/>
                    <w:jc w:val="left"/>
                    <w:jc w:val="center"/>
                  </w:pPr>
                  <w:r>
                    <w:t xml:space="preserve">11 (57.9%)</w:t>
                  </w:r>
                </w:p>
              </w:tc>
              <w:tc>
                <w:tcPr/>
                <w:p>
                  <w:pPr>
                    <w:pStyle w:val="Compact"/>
                    <w:jc w:val="left"/>
                    <w:jc w:val="center"/>
                  </w:pPr>
                  <w:r>
                    <w:t xml:space="preserve">19 (55.9%)</w:t>
                  </w:r>
                </w:p>
              </w:tc>
              <w:tc>
                <w:tcPr/>
                <w:p>
                  <w:pPr>
                    <w:pStyle w:val="Compact"/>
                    <w:jc w:val="left"/>
                    <w:jc w:val="center"/>
                  </w:pPr>
                  <w:r>
                    <w:t xml:space="preserve">7 (30.4%)</w:t>
                  </w:r>
                </w:p>
              </w:tc>
              <w:tc>
                <w:tcPr/>
                <w:p>
                  <w:pPr>
                    <w:pStyle w:val="Compact"/>
                    <w:jc w:val="left"/>
                    <w:jc w:val="center"/>
                  </w:pPr>
                  <w:r>
                    <w:t xml:space="preserve">37 (48.7%)</w:t>
                  </w:r>
                </w:p>
              </w:tc>
              <w:tc>
                <w:tcPr/>
                <w:p>
                  <w:pPr>
                    <w:pStyle w:val="Compact"/>
                  </w:pPr>
                </w:p>
              </w:tc>
            </w:tr>
            <w:tr>
              <w:tc>
                <w:tcPr/>
                <w:p>
                  <w:pPr>
                    <w:pStyle w:val="Compact"/>
                    <w:jc w:val="left"/>
                    <w:jc w:val="center"/>
                  </w:pPr>
                  <w:r>
                    <w:t xml:space="preserve">   Master</w:t>
                  </w:r>
                </w:p>
              </w:tc>
              <w:tc>
                <w:tcPr/>
                <w:p>
                  <w:pPr>
                    <w:pStyle w:val="Compact"/>
                    <w:jc w:val="left"/>
                    <w:jc w:val="center"/>
                  </w:pPr>
                  <w:r>
                    <w:t xml:space="preserve">8 (42.1%)</w:t>
                  </w:r>
                </w:p>
              </w:tc>
              <w:tc>
                <w:tcPr/>
                <w:p>
                  <w:pPr>
                    <w:pStyle w:val="Compact"/>
                    <w:jc w:val="left"/>
                    <w:jc w:val="center"/>
                  </w:pPr>
                  <w:r>
                    <w:t xml:space="preserve">15 (44.1%)</w:t>
                  </w:r>
                </w:p>
              </w:tc>
              <w:tc>
                <w:tcPr/>
                <w:p>
                  <w:pPr>
                    <w:pStyle w:val="Compact"/>
                    <w:jc w:val="left"/>
                    <w:jc w:val="center"/>
                  </w:pPr>
                  <w:r>
                    <w:t xml:space="preserve">16 (69.6%)</w:t>
                  </w:r>
                </w:p>
              </w:tc>
              <w:tc>
                <w:tcPr/>
                <w:p>
                  <w:pPr>
                    <w:pStyle w:val="Compact"/>
                    <w:jc w:val="left"/>
                    <w:jc w:val="center"/>
                  </w:pPr>
                  <w:r>
                    <w:t xml:space="preserve">39 (51.3%)</w:t>
                  </w:r>
                </w:p>
              </w:tc>
              <w:tc>
                <w:tcPr/>
                <w:p>
                  <w:pPr>
                    <w:pStyle w:val="Compact"/>
                  </w:pPr>
                </w:p>
              </w:tc>
            </w:tr>
            <w:tr>
              <w:tc>
                <w:tcPr/>
                <w:p>
                  <w:pPr>
                    <w:pStyle w:val="Compact"/>
                    <w:jc w:val="left"/>
                    <w:jc w:val="center"/>
                  </w:pPr>
                  <w:r>
                    <w:rPr>
                      <w:b/>
                      <w:bCs/>
                    </w:rPr>
                    <w:t xml:space="preserve">Intelligent TK</w:t>
                  </w:r>
                </w:p>
              </w:tc>
              <w:tc>
                <w:tcPr/>
                <w:p>
                  <w:pPr>
                    <w:pStyle w:val="Compact"/>
                  </w:pPr>
                </w:p>
              </w:tc>
              <w:tc>
                <w:tcPr/>
                <w:p>
                  <w:pPr>
                    <w:pStyle w:val="Compact"/>
                  </w:pPr>
                </w:p>
              </w:tc>
              <w:tc>
                <w:tcPr/>
                <w:p>
                  <w:pPr>
                    <w:pStyle w:val="Compact"/>
                  </w:pPr>
                </w:p>
              </w:tc>
              <w:tc>
                <w:tcPr/>
                <w:p>
                  <w:pPr>
                    <w:pStyle w:val="Compact"/>
                  </w:pPr>
                </w:p>
              </w:tc>
              <w:tc>
                <w:tcPr/>
                <w:p>
                  <w:pPr>
                    <w:pStyle w:val="Compact"/>
                    <w:jc w:val="left"/>
                    <w:jc w:val="center"/>
                  </w:pPr>
                  <w:r>
                    <w:t xml:space="preserve">0.047</w:t>
                  </w:r>
                  <w:r>
                    <w:rPr>
                      <w:vertAlign w:val="superscript"/>
                    </w:rPr>
                    <w:t xml:space="preserve">2</w:t>
                  </w:r>
                </w:p>
              </w:tc>
            </w:tr>
            <w:tr>
              <w:tc>
                <w:tcPr/>
                <w:p>
                  <w:pPr>
                    <w:pStyle w:val="Compact"/>
                    <w:jc w:val="left"/>
                    <w:jc w:val="center"/>
                  </w:pPr>
                  <w:r>
                    <w:t xml:space="preserve">   Mean (SD)</w:t>
                  </w:r>
                </w:p>
              </w:tc>
              <w:tc>
                <w:tcPr/>
                <w:p>
                  <w:pPr>
                    <w:pStyle w:val="Compact"/>
                    <w:jc w:val="left"/>
                    <w:jc w:val="center"/>
                  </w:pPr>
                  <w:r>
                    <w:t xml:space="preserve">3.53 (0.98)</w:t>
                  </w:r>
                </w:p>
              </w:tc>
              <w:tc>
                <w:tcPr/>
                <w:p>
                  <w:pPr>
                    <w:pStyle w:val="Compact"/>
                    <w:jc w:val="left"/>
                    <w:jc w:val="center"/>
                  </w:pPr>
                  <w:r>
                    <w:t xml:space="preserve">3.38 (0.78)</w:t>
                  </w:r>
                </w:p>
              </w:tc>
              <w:tc>
                <w:tcPr/>
                <w:p>
                  <w:pPr>
                    <w:pStyle w:val="Compact"/>
                    <w:jc w:val="left"/>
                    <w:jc w:val="center"/>
                  </w:pPr>
                  <w:r>
                    <w:t xml:space="preserve">2.91 (0.82)</w:t>
                  </w:r>
                </w:p>
              </w:tc>
              <w:tc>
                <w:tcPr/>
                <w:p>
                  <w:pPr>
                    <w:pStyle w:val="Compact"/>
                    <w:jc w:val="left"/>
                    <w:jc w:val="center"/>
                  </w:pPr>
                  <w:r>
                    <w:t xml:space="preserve">3.27 (0.87)</w:t>
                  </w:r>
                </w:p>
              </w:tc>
              <w:tc>
                <w:tcPr/>
                <w:p>
                  <w:pPr>
                    <w:pStyle w:val="Compact"/>
                  </w:pPr>
                </w:p>
              </w:tc>
            </w:tr>
            <w:tr>
              <w:tc>
                <w:tcPr/>
                <w:p>
                  <w:pPr>
                    <w:pStyle w:val="Compact"/>
                    <w:jc w:val="left"/>
                    <w:jc w:val="center"/>
                  </w:pPr>
                  <w:r>
                    <w:t xml:space="preserve">   Range</w:t>
                  </w:r>
                </w:p>
              </w:tc>
              <w:tc>
                <w:tcPr/>
                <w:p>
                  <w:pPr>
                    <w:pStyle w:val="Compact"/>
                    <w:jc w:val="left"/>
                    <w:jc w:val="center"/>
                  </w:pPr>
                  <w:r>
                    <w:t xml:space="preserve">1.60 - 5.00</w:t>
                  </w:r>
                </w:p>
              </w:tc>
              <w:tc>
                <w:tcPr/>
                <w:p>
                  <w:pPr>
                    <w:pStyle w:val="Compact"/>
                    <w:jc w:val="left"/>
                    <w:jc w:val="center"/>
                  </w:pPr>
                  <w:r>
                    <w:t xml:space="preserve">1.60 - 5.00</w:t>
                  </w:r>
                </w:p>
              </w:tc>
              <w:tc>
                <w:tcPr/>
                <w:p>
                  <w:pPr>
                    <w:pStyle w:val="Compact"/>
                    <w:jc w:val="left"/>
                    <w:jc w:val="center"/>
                  </w:pPr>
                  <w:r>
                    <w:t xml:space="preserve">1.40 - 4.40</w:t>
                  </w:r>
                </w:p>
              </w:tc>
              <w:tc>
                <w:tcPr/>
                <w:p>
                  <w:pPr>
                    <w:pStyle w:val="Compact"/>
                    <w:jc w:val="left"/>
                    <w:jc w:val="center"/>
                  </w:pPr>
                  <w:r>
                    <w:t xml:space="preserve">1.40 - 5.00</w:t>
                  </w:r>
                </w:p>
              </w:tc>
              <w:tc>
                <w:tcPr/>
                <w:p>
                  <w:pPr>
                    <w:pStyle w:val="Compact"/>
                  </w:pPr>
                </w:p>
              </w:tc>
            </w:tr>
            <w:tr>
              <w:tc>
                <w:tcPr/>
                <w:p>
                  <w:pPr>
                    <w:pStyle w:val="Compact"/>
                    <w:jc w:val="left"/>
                    <w:jc w:val="center"/>
                  </w:pPr>
                  <w:r>
                    <w:rPr>
                      <w:b/>
                      <w:bCs/>
                    </w:rPr>
                    <w:t xml:space="preserve">Intelligent TCK</w:t>
                  </w:r>
                </w:p>
              </w:tc>
              <w:tc>
                <w:tcPr/>
                <w:p>
                  <w:pPr>
                    <w:pStyle w:val="Compact"/>
                  </w:pPr>
                </w:p>
              </w:tc>
              <w:tc>
                <w:tcPr/>
                <w:p>
                  <w:pPr>
                    <w:pStyle w:val="Compact"/>
                  </w:pPr>
                </w:p>
              </w:tc>
              <w:tc>
                <w:tcPr/>
                <w:p>
                  <w:pPr>
                    <w:pStyle w:val="Compact"/>
                  </w:pPr>
                </w:p>
              </w:tc>
              <w:tc>
                <w:tcPr/>
                <w:p>
                  <w:pPr>
                    <w:pStyle w:val="Compact"/>
                  </w:pPr>
                </w:p>
              </w:tc>
              <w:tc>
                <w:tcPr/>
                <w:p>
                  <w:pPr>
                    <w:pStyle w:val="Compact"/>
                    <w:jc w:val="left"/>
                    <w:jc w:val="center"/>
                  </w:pPr>
                  <w:r>
                    <w:t xml:space="preserve">0.031</w:t>
                  </w:r>
                  <w:r>
                    <w:rPr>
                      <w:vertAlign w:val="superscript"/>
                    </w:rPr>
                    <w:t xml:space="preserve">2</w:t>
                  </w:r>
                </w:p>
              </w:tc>
            </w:tr>
            <w:tr>
              <w:tc>
                <w:tcPr/>
                <w:p>
                  <w:pPr>
                    <w:pStyle w:val="Compact"/>
                    <w:jc w:val="left"/>
                    <w:jc w:val="center"/>
                  </w:pPr>
                  <w:r>
                    <w:t xml:space="preserve">   Mean (SD)</w:t>
                  </w:r>
                </w:p>
              </w:tc>
              <w:tc>
                <w:tcPr/>
                <w:p>
                  <w:pPr>
                    <w:pStyle w:val="Compact"/>
                    <w:jc w:val="left"/>
                    <w:jc w:val="center"/>
                  </w:pPr>
                  <w:r>
                    <w:t xml:space="preserve">3.22 (0.76)</w:t>
                  </w:r>
                </w:p>
              </w:tc>
              <w:tc>
                <w:tcPr/>
                <w:p>
                  <w:pPr>
                    <w:pStyle w:val="Compact"/>
                    <w:jc w:val="left"/>
                    <w:jc w:val="center"/>
                  </w:pPr>
                  <w:r>
                    <w:t xml:space="preserve">3.14 (0.73)</w:t>
                  </w:r>
                </w:p>
              </w:tc>
              <w:tc>
                <w:tcPr/>
                <w:p>
                  <w:pPr>
                    <w:pStyle w:val="Compact"/>
                    <w:jc w:val="left"/>
                    <w:jc w:val="center"/>
                  </w:pPr>
                  <w:r>
                    <w:t xml:space="preserve">2.68 (0.72)</w:t>
                  </w:r>
                </w:p>
              </w:tc>
              <w:tc>
                <w:tcPr/>
                <w:p>
                  <w:pPr>
                    <w:pStyle w:val="Compact"/>
                    <w:jc w:val="left"/>
                    <w:jc w:val="center"/>
                  </w:pPr>
                  <w:r>
                    <w:t xml:space="preserve">3.02 (0.76)</w:t>
                  </w:r>
                </w:p>
              </w:tc>
              <w:tc>
                <w:tcPr/>
                <w:p>
                  <w:pPr>
                    <w:pStyle w:val="Compact"/>
                  </w:pPr>
                </w:p>
              </w:tc>
            </w:tr>
            <w:tr>
              <w:tc>
                <w:tcPr/>
                <w:p>
                  <w:pPr>
                    <w:pStyle w:val="Compact"/>
                    <w:jc w:val="left"/>
                    <w:jc w:val="center"/>
                  </w:pPr>
                  <w:r>
                    <w:t xml:space="preserve">   Range</w:t>
                  </w:r>
                </w:p>
              </w:tc>
              <w:tc>
                <w:tcPr/>
                <w:p>
                  <w:pPr>
                    <w:pStyle w:val="Compact"/>
                    <w:jc w:val="left"/>
                    <w:jc w:val="center"/>
                  </w:pPr>
                  <w:r>
                    <w:t xml:space="preserve">2.00 - 4.60</w:t>
                  </w:r>
                </w:p>
              </w:tc>
              <w:tc>
                <w:tcPr/>
                <w:p>
                  <w:pPr>
                    <w:pStyle w:val="Compact"/>
                    <w:jc w:val="left"/>
                    <w:jc w:val="center"/>
                  </w:pPr>
                  <w:r>
                    <w:t xml:space="preserve">1.80 - 4.40</w:t>
                  </w:r>
                </w:p>
              </w:tc>
              <w:tc>
                <w:tcPr/>
                <w:p>
                  <w:pPr>
                    <w:pStyle w:val="Compact"/>
                    <w:jc w:val="left"/>
                    <w:jc w:val="center"/>
                  </w:pPr>
                  <w:r>
                    <w:t xml:space="preserve">1.40 - 3.80</w:t>
                  </w:r>
                </w:p>
              </w:tc>
              <w:tc>
                <w:tcPr/>
                <w:p>
                  <w:pPr>
                    <w:pStyle w:val="Compact"/>
                    <w:jc w:val="left"/>
                    <w:jc w:val="center"/>
                  </w:pPr>
                  <w:r>
                    <w:t xml:space="preserve">1.40 - 4.60</w:t>
                  </w:r>
                </w:p>
              </w:tc>
              <w:tc>
                <w:tcPr/>
                <w:p>
                  <w:pPr>
                    <w:pStyle w:val="Compact"/>
                  </w:pPr>
                </w:p>
              </w:tc>
            </w:tr>
            <w:tr>
              <w:tc>
                <w:tcPr/>
                <w:p>
                  <w:pPr>
                    <w:pStyle w:val="Compact"/>
                    <w:jc w:val="left"/>
                    <w:jc w:val="center"/>
                  </w:pPr>
                  <w:r>
                    <w:rPr>
                      <w:b/>
                      <w:bCs/>
                    </w:rPr>
                    <w:t xml:space="preserve">Intelligent TPK</w:t>
                  </w:r>
                </w:p>
              </w:tc>
              <w:tc>
                <w:tcPr/>
                <w:p>
                  <w:pPr>
                    <w:pStyle w:val="Compact"/>
                  </w:pPr>
                </w:p>
              </w:tc>
              <w:tc>
                <w:tcPr/>
                <w:p>
                  <w:pPr>
                    <w:pStyle w:val="Compact"/>
                  </w:pPr>
                </w:p>
              </w:tc>
              <w:tc>
                <w:tcPr/>
                <w:p>
                  <w:pPr>
                    <w:pStyle w:val="Compact"/>
                  </w:pPr>
                </w:p>
              </w:tc>
              <w:tc>
                <w:tcPr/>
                <w:p>
                  <w:pPr>
                    <w:pStyle w:val="Compact"/>
                  </w:pPr>
                </w:p>
              </w:tc>
              <w:tc>
                <w:tcPr/>
                <w:p>
                  <w:pPr>
                    <w:pStyle w:val="Compact"/>
                    <w:jc w:val="left"/>
                    <w:jc w:val="center"/>
                  </w:pPr>
                  <w:r>
                    <w:t xml:space="preserve">0.001</w:t>
                  </w:r>
                  <w:r>
                    <w:rPr>
                      <w:vertAlign w:val="superscript"/>
                    </w:rPr>
                    <w:t xml:space="preserve">2</w:t>
                  </w:r>
                </w:p>
              </w:tc>
            </w:tr>
            <w:tr>
              <w:tc>
                <w:tcPr/>
                <w:p>
                  <w:pPr>
                    <w:pStyle w:val="Compact"/>
                    <w:jc w:val="left"/>
                    <w:jc w:val="center"/>
                  </w:pPr>
                  <w:r>
                    <w:t xml:space="preserve">   Mean (SD)</w:t>
                  </w:r>
                </w:p>
              </w:tc>
              <w:tc>
                <w:tcPr/>
                <w:p>
                  <w:pPr>
                    <w:pStyle w:val="Compact"/>
                    <w:jc w:val="left"/>
                    <w:jc w:val="center"/>
                  </w:pPr>
                  <w:r>
                    <w:t xml:space="preserve">2.98 (0.76)</w:t>
                  </w:r>
                </w:p>
              </w:tc>
              <w:tc>
                <w:tcPr/>
                <w:p>
                  <w:pPr>
                    <w:pStyle w:val="Compact"/>
                    <w:jc w:val="left"/>
                    <w:jc w:val="center"/>
                  </w:pPr>
                  <w:r>
                    <w:t xml:space="preserve">2.80 (0.76)</w:t>
                  </w:r>
                </w:p>
              </w:tc>
              <w:tc>
                <w:tcPr/>
                <w:p>
                  <w:pPr>
                    <w:pStyle w:val="Compact"/>
                    <w:jc w:val="left"/>
                    <w:jc w:val="center"/>
                  </w:pPr>
                  <w:r>
                    <w:t xml:space="preserve">2.19 (0.59)</w:t>
                  </w:r>
                </w:p>
              </w:tc>
              <w:tc>
                <w:tcPr/>
                <w:p>
                  <w:pPr>
                    <w:pStyle w:val="Compact"/>
                    <w:jc w:val="left"/>
                    <w:jc w:val="center"/>
                  </w:pPr>
                  <w:r>
                    <w:t xml:space="preserve">2.66 (0.77)</w:t>
                  </w:r>
                </w:p>
              </w:tc>
              <w:tc>
                <w:tcPr/>
                <w:p>
                  <w:pPr>
                    <w:pStyle w:val="Compact"/>
                  </w:pPr>
                </w:p>
              </w:tc>
            </w:tr>
            <w:tr>
              <w:tc>
                <w:tcPr/>
                <w:p>
                  <w:pPr>
                    <w:pStyle w:val="Compact"/>
                    <w:jc w:val="left"/>
                    <w:jc w:val="center"/>
                  </w:pPr>
                  <w:r>
                    <w:t xml:space="preserve">   Range</w:t>
                  </w:r>
                </w:p>
              </w:tc>
              <w:tc>
                <w:tcPr/>
                <w:p>
                  <w:pPr>
                    <w:pStyle w:val="Compact"/>
                    <w:jc w:val="left"/>
                    <w:jc w:val="center"/>
                  </w:pPr>
                  <w:r>
                    <w:t xml:space="preserve">1.29 - 4.29</w:t>
                  </w:r>
                </w:p>
              </w:tc>
              <w:tc>
                <w:tcPr/>
                <w:p>
                  <w:pPr>
                    <w:pStyle w:val="Compact"/>
                    <w:jc w:val="left"/>
                    <w:jc w:val="center"/>
                  </w:pPr>
                  <w:r>
                    <w:t xml:space="preserve">1.14 - 4.57</w:t>
                  </w:r>
                </w:p>
              </w:tc>
              <w:tc>
                <w:tcPr/>
                <w:p>
                  <w:pPr>
                    <w:pStyle w:val="Compact"/>
                    <w:jc w:val="left"/>
                    <w:jc w:val="center"/>
                  </w:pPr>
                  <w:r>
                    <w:t xml:space="preserve">1.14 - 3.14</w:t>
                  </w:r>
                </w:p>
              </w:tc>
              <w:tc>
                <w:tcPr/>
                <w:p>
                  <w:pPr>
                    <w:pStyle w:val="Compact"/>
                    <w:jc w:val="left"/>
                    <w:jc w:val="center"/>
                  </w:pPr>
                  <w:r>
                    <w:t xml:space="preserve">1.14 - 4.57</w:t>
                  </w:r>
                </w:p>
              </w:tc>
              <w:tc>
                <w:tcPr/>
                <w:p>
                  <w:pPr>
                    <w:pStyle w:val="Compact"/>
                  </w:pPr>
                </w:p>
              </w:tc>
            </w:tr>
            <w:tr>
              <w:tc>
                <w:tcPr/>
                <w:p>
                  <w:pPr>
                    <w:pStyle w:val="Compact"/>
                    <w:jc w:val="left"/>
                    <w:jc w:val="center"/>
                  </w:pPr>
                  <w:r>
                    <w:rPr>
                      <w:b/>
                      <w:bCs/>
                    </w:rPr>
                    <w:t xml:space="preserve">Intelligent TPACK</w:t>
                  </w:r>
                </w:p>
              </w:tc>
              <w:tc>
                <w:tcPr/>
                <w:p>
                  <w:pPr>
                    <w:pStyle w:val="Compact"/>
                  </w:pPr>
                </w:p>
              </w:tc>
              <w:tc>
                <w:tcPr/>
                <w:p>
                  <w:pPr>
                    <w:pStyle w:val="Compact"/>
                  </w:pPr>
                </w:p>
              </w:tc>
              <w:tc>
                <w:tcPr/>
                <w:p>
                  <w:pPr>
                    <w:pStyle w:val="Compact"/>
                  </w:pPr>
                </w:p>
              </w:tc>
              <w:tc>
                <w:tcPr/>
                <w:p>
                  <w:pPr>
                    <w:pStyle w:val="Compact"/>
                  </w:pPr>
                </w:p>
              </w:tc>
              <w:tc>
                <w:tcPr/>
                <w:p>
                  <w:pPr>
                    <w:pStyle w:val="Compact"/>
                    <w:jc w:val="left"/>
                    <w:jc w:val="center"/>
                  </w:pPr>
                  <w:r>
                    <w:t xml:space="preserve">0.001</w:t>
                  </w:r>
                  <w:r>
                    <w:rPr>
                      <w:vertAlign w:val="superscript"/>
                    </w:rPr>
                    <w:t xml:space="preserve">2</w:t>
                  </w:r>
                </w:p>
              </w:tc>
            </w:tr>
            <w:tr>
              <w:tc>
                <w:tcPr/>
                <w:p>
                  <w:pPr>
                    <w:pStyle w:val="Compact"/>
                    <w:jc w:val="left"/>
                    <w:jc w:val="center"/>
                  </w:pPr>
                  <w:r>
                    <w:t xml:space="preserve">   Mean (SD)</w:t>
                  </w:r>
                </w:p>
              </w:tc>
              <w:tc>
                <w:tcPr/>
                <w:p>
                  <w:pPr>
                    <w:pStyle w:val="Compact"/>
                    <w:jc w:val="left"/>
                    <w:jc w:val="center"/>
                  </w:pPr>
                  <w:r>
                    <w:t xml:space="preserve">2.92 (0.74)</w:t>
                  </w:r>
                </w:p>
              </w:tc>
              <w:tc>
                <w:tcPr/>
                <w:p>
                  <w:pPr>
                    <w:pStyle w:val="Compact"/>
                    <w:jc w:val="left"/>
                    <w:jc w:val="center"/>
                  </w:pPr>
                  <w:r>
                    <w:t xml:space="preserve">2.74 (0.64)</w:t>
                  </w:r>
                </w:p>
              </w:tc>
              <w:tc>
                <w:tcPr/>
                <w:p>
                  <w:pPr>
                    <w:pStyle w:val="Compact"/>
                    <w:jc w:val="left"/>
                    <w:jc w:val="center"/>
                  </w:pPr>
                  <w:r>
                    <w:t xml:space="preserve">2.22 (0.51)</w:t>
                  </w:r>
                </w:p>
              </w:tc>
              <w:tc>
                <w:tcPr/>
                <w:p>
                  <w:pPr>
                    <w:pStyle w:val="Compact"/>
                    <w:jc w:val="left"/>
                    <w:jc w:val="center"/>
                  </w:pPr>
                  <w:r>
                    <w:t xml:space="preserve">2.63 (0.68)</w:t>
                  </w:r>
                </w:p>
              </w:tc>
              <w:tc>
                <w:tcPr/>
                <w:p>
                  <w:pPr>
                    <w:pStyle w:val="Compact"/>
                  </w:pPr>
                </w:p>
              </w:tc>
            </w:tr>
            <w:tr>
              <w:tc>
                <w:tcPr/>
                <w:p>
                  <w:pPr>
                    <w:pStyle w:val="Compact"/>
                    <w:jc w:val="left"/>
                    <w:jc w:val="center"/>
                  </w:pPr>
                  <w:r>
                    <w:t xml:space="preserve">   Range</w:t>
                  </w:r>
                </w:p>
              </w:tc>
              <w:tc>
                <w:tcPr/>
                <w:p>
                  <w:pPr>
                    <w:pStyle w:val="Compact"/>
                    <w:jc w:val="left"/>
                    <w:jc w:val="center"/>
                  </w:pPr>
                  <w:r>
                    <w:t xml:space="preserve">1.68 - 4.50</w:t>
                  </w:r>
                </w:p>
              </w:tc>
              <w:tc>
                <w:tcPr/>
                <w:p>
                  <w:pPr>
                    <w:pStyle w:val="Compact"/>
                    <w:jc w:val="left"/>
                    <w:jc w:val="center"/>
                  </w:pPr>
                  <w:r>
                    <w:t xml:space="preserve">1.32 - 3.92</w:t>
                  </w:r>
                </w:p>
              </w:tc>
              <w:tc>
                <w:tcPr/>
                <w:p>
                  <w:pPr>
                    <w:pStyle w:val="Compact"/>
                    <w:jc w:val="left"/>
                    <w:jc w:val="center"/>
                  </w:pPr>
                  <w:r>
                    <w:t xml:space="preserve">1.39 - 3.29</w:t>
                  </w:r>
                </w:p>
              </w:tc>
              <w:tc>
                <w:tcPr/>
                <w:p>
                  <w:pPr>
                    <w:pStyle w:val="Compact"/>
                    <w:jc w:val="left"/>
                    <w:jc w:val="center"/>
                  </w:pPr>
                  <w:r>
                    <w:t xml:space="preserve">1.32 - 4.50</w:t>
                  </w:r>
                </w:p>
              </w:tc>
              <w:tc>
                <w:tcPr/>
                <w:p>
                  <w:pPr>
                    <w:pStyle w:val="Compact"/>
                  </w:pPr>
                </w:p>
              </w:tc>
            </w:tr>
            <w:tr>
              <w:tc>
                <w:tcPr/>
                <w:p>
                  <w:pPr>
                    <w:pStyle w:val="Compact"/>
                    <w:jc w:val="left"/>
                    <w:jc w:val="center"/>
                  </w:pPr>
                  <w:r>
                    <w:rPr>
                      <w:b/>
                      <w:bCs/>
                    </w:rPr>
                    <w:t xml:space="preserve">AI Ethics</w:t>
                  </w:r>
                </w:p>
              </w:tc>
              <w:tc>
                <w:tcPr/>
                <w:p>
                  <w:pPr>
                    <w:pStyle w:val="Compact"/>
                  </w:pPr>
                </w:p>
              </w:tc>
              <w:tc>
                <w:tcPr/>
                <w:p>
                  <w:pPr>
                    <w:pStyle w:val="Compact"/>
                  </w:pPr>
                </w:p>
              </w:tc>
              <w:tc>
                <w:tcPr/>
                <w:p>
                  <w:pPr>
                    <w:pStyle w:val="Compact"/>
                  </w:pPr>
                </w:p>
              </w:tc>
              <w:tc>
                <w:tcPr/>
                <w:p>
                  <w:pPr>
                    <w:pStyle w:val="Compact"/>
                  </w:pPr>
                </w:p>
              </w:tc>
              <w:tc>
                <w:tcPr/>
                <w:p>
                  <w:pPr>
                    <w:pStyle w:val="Compact"/>
                    <w:jc w:val="left"/>
                    <w:jc w:val="center"/>
                  </w:pPr>
                  <w:r>
                    <w:t xml:space="preserve">0.005</w:t>
                  </w:r>
                  <w:r>
                    <w:rPr>
                      <w:vertAlign w:val="superscript"/>
                    </w:rPr>
                    <w:t xml:space="preserve">2</w:t>
                  </w:r>
                </w:p>
              </w:tc>
            </w:tr>
            <w:tr>
              <w:tc>
                <w:tcPr/>
                <w:p>
                  <w:pPr>
                    <w:pStyle w:val="Compact"/>
                    <w:jc w:val="left"/>
                    <w:jc w:val="center"/>
                  </w:pPr>
                  <w:r>
                    <w:t xml:space="preserve">   Mean (SD)</w:t>
                  </w:r>
                </w:p>
              </w:tc>
              <w:tc>
                <w:tcPr/>
                <w:p>
                  <w:pPr>
                    <w:pStyle w:val="Compact"/>
                    <w:jc w:val="left"/>
                    <w:jc w:val="center"/>
                  </w:pPr>
                  <w:r>
                    <w:t xml:space="preserve">2.67 (0.79)</w:t>
                  </w:r>
                </w:p>
              </w:tc>
              <w:tc>
                <w:tcPr/>
                <w:p>
                  <w:pPr>
                    <w:pStyle w:val="Compact"/>
                    <w:jc w:val="left"/>
                    <w:jc w:val="center"/>
                  </w:pPr>
                  <w:r>
                    <w:t xml:space="preserve">2.54 (0.87)</w:t>
                  </w:r>
                </w:p>
              </w:tc>
              <w:tc>
                <w:tcPr/>
                <w:p>
                  <w:pPr>
                    <w:pStyle w:val="Compact"/>
                    <w:jc w:val="left"/>
                    <w:jc w:val="center"/>
                  </w:pPr>
                  <w:r>
                    <w:t xml:space="preserve">1.93 (0.68)</w:t>
                  </w:r>
                </w:p>
              </w:tc>
              <w:tc>
                <w:tcPr/>
                <w:p>
                  <w:pPr>
                    <w:pStyle w:val="Compact"/>
                    <w:jc w:val="left"/>
                    <w:jc w:val="center"/>
                  </w:pPr>
                  <w:r>
                    <w:t xml:space="preserve">2.39 (0.84)</w:t>
                  </w:r>
                </w:p>
              </w:tc>
              <w:tc>
                <w:tcPr/>
                <w:p>
                  <w:pPr>
                    <w:pStyle w:val="Compact"/>
                  </w:pPr>
                </w:p>
              </w:tc>
            </w:tr>
            <w:tr>
              <w:tc>
                <w:tcPr/>
                <w:p>
                  <w:pPr>
                    <w:pStyle w:val="Compact"/>
                    <w:jc w:val="left"/>
                    <w:jc w:val="center"/>
                  </w:pPr>
                  <w:r>
                    <w:t xml:space="preserve">   Range</w:t>
                  </w:r>
                </w:p>
              </w:tc>
              <w:tc>
                <w:tcPr/>
                <w:p>
                  <w:pPr>
                    <w:pStyle w:val="Compact"/>
                    <w:jc w:val="left"/>
                    <w:jc w:val="center"/>
                  </w:pPr>
                  <w:r>
                    <w:t xml:space="preserve">1.50 - 4.00</w:t>
                  </w:r>
                </w:p>
              </w:tc>
              <w:tc>
                <w:tcPr/>
                <w:p>
                  <w:pPr>
                    <w:pStyle w:val="Compact"/>
                    <w:jc w:val="left"/>
                    <w:jc w:val="center"/>
                  </w:pPr>
                  <w:r>
                    <w:t xml:space="preserve">1.17 - 4.33</w:t>
                  </w:r>
                </w:p>
              </w:tc>
              <w:tc>
                <w:tcPr/>
                <w:p>
                  <w:pPr>
                    <w:pStyle w:val="Compact"/>
                    <w:jc w:val="left"/>
                    <w:jc w:val="center"/>
                  </w:pPr>
                  <w:r>
                    <w:t xml:space="preserve">1.00 - 4.00</w:t>
                  </w:r>
                </w:p>
              </w:tc>
              <w:tc>
                <w:tcPr/>
                <w:p>
                  <w:pPr>
                    <w:pStyle w:val="Compact"/>
                    <w:jc w:val="left"/>
                    <w:jc w:val="center"/>
                  </w:pPr>
                  <w:r>
                    <w:t xml:space="preserve">1.00 - 4.33</w:t>
                  </w:r>
                </w:p>
              </w:tc>
              <w:tc>
                <w:tcPr/>
                <w:p>
                  <w:pPr>
                    <w:pStyle w:val="Compact"/>
                  </w:pPr>
                </w:p>
              </w:tc>
            </w:tr>
            <w:tr>
              <w:tc>
                <w:tcPr/>
                <w:p>
                  <w:pPr>
                    <w:pStyle w:val="Compact"/>
                    <w:jc w:val="left"/>
                    <w:jc w:val="center"/>
                  </w:pPr>
                  <w:r>
                    <w:rPr>
                      <w:b/>
                      <w:bCs/>
                    </w:rPr>
                    <w:t xml:space="preserve">AI Literacy</w:t>
                  </w:r>
                </w:p>
              </w:tc>
              <w:tc>
                <w:tcPr/>
                <w:p>
                  <w:pPr>
                    <w:pStyle w:val="Compact"/>
                  </w:pPr>
                </w:p>
              </w:tc>
              <w:tc>
                <w:tcPr/>
                <w:p>
                  <w:pPr>
                    <w:pStyle w:val="Compact"/>
                  </w:pPr>
                </w:p>
              </w:tc>
              <w:tc>
                <w:tcPr/>
                <w:p>
                  <w:pPr>
                    <w:pStyle w:val="Compact"/>
                  </w:pPr>
                </w:p>
              </w:tc>
              <w:tc>
                <w:tcPr/>
                <w:p>
                  <w:pPr>
                    <w:pStyle w:val="Compact"/>
                  </w:pPr>
                </w:p>
              </w:tc>
              <w:tc>
                <w:tcPr/>
                <w:p>
                  <w:pPr>
                    <w:pStyle w:val="Compact"/>
                    <w:jc w:val="left"/>
                    <w:jc w:val="center"/>
                  </w:pPr>
                  <w:r>
                    <w:t xml:space="preserve">0.132</w:t>
                  </w:r>
                  <w:r>
                    <w:rPr>
                      <w:vertAlign w:val="superscript"/>
                    </w:rPr>
                    <w:t xml:space="preserve">2</w:t>
                  </w:r>
                </w:p>
              </w:tc>
            </w:tr>
            <w:tr>
              <w:tc>
                <w:tcPr/>
                <w:p>
                  <w:pPr>
                    <w:pStyle w:val="Compact"/>
                    <w:jc w:val="left"/>
                    <w:jc w:val="center"/>
                  </w:pPr>
                  <w:r>
                    <w:t xml:space="preserve">   Mean (SD)</w:t>
                  </w:r>
                </w:p>
              </w:tc>
              <w:tc>
                <w:tcPr/>
                <w:p>
                  <w:pPr>
                    <w:pStyle w:val="Compact"/>
                    <w:jc w:val="left"/>
                    <w:jc w:val="center"/>
                  </w:pPr>
                  <w:r>
                    <w:t xml:space="preserve">12.21 (3.61)</w:t>
                  </w:r>
                </w:p>
              </w:tc>
              <w:tc>
                <w:tcPr/>
                <w:p>
                  <w:pPr>
                    <w:pStyle w:val="Compact"/>
                    <w:jc w:val="left"/>
                    <w:jc w:val="center"/>
                  </w:pPr>
                  <w:r>
                    <w:t xml:space="preserve">13.94 (3.58)</w:t>
                  </w:r>
                </w:p>
              </w:tc>
              <w:tc>
                <w:tcPr/>
                <w:p>
                  <w:pPr>
                    <w:pStyle w:val="Compact"/>
                    <w:jc w:val="left"/>
                    <w:jc w:val="center"/>
                  </w:pPr>
                  <w:r>
                    <w:t xml:space="preserve">12.48 (2.87)</w:t>
                  </w:r>
                </w:p>
              </w:tc>
              <w:tc>
                <w:tcPr/>
                <w:p>
                  <w:pPr>
                    <w:pStyle w:val="Compact"/>
                    <w:jc w:val="left"/>
                    <w:jc w:val="center"/>
                  </w:pPr>
                  <w:r>
                    <w:t xml:space="preserve">13.07 (3.44)</w:t>
                  </w:r>
                </w:p>
              </w:tc>
              <w:tc>
                <w:tcPr/>
                <w:p>
                  <w:pPr>
                    <w:pStyle w:val="Compact"/>
                  </w:pPr>
                </w:p>
              </w:tc>
            </w:tr>
            <w:tr>
              <w:tc>
                <w:tcPr/>
                <w:p>
                  <w:pPr>
                    <w:pStyle w:val="Compact"/>
                    <w:jc w:val="left"/>
                    <w:jc w:val="center"/>
                  </w:pPr>
                  <w:r>
                    <w:t xml:space="preserve">   Range</w:t>
                  </w:r>
                </w:p>
              </w:tc>
              <w:tc>
                <w:tcPr/>
                <w:p>
                  <w:pPr>
                    <w:pStyle w:val="Compact"/>
                    <w:jc w:val="left"/>
                    <w:jc w:val="center"/>
                  </w:pPr>
                  <w:r>
                    <w:t xml:space="preserve">8.00 - 20.00</w:t>
                  </w:r>
                </w:p>
              </w:tc>
              <w:tc>
                <w:tcPr/>
                <w:p>
                  <w:pPr>
                    <w:pStyle w:val="Compact"/>
                    <w:jc w:val="left"/>
                    <w:jc w:val="center"/>
                  </w:pPr>
                  <w:r>
                    <w:t xml:space="preserve">6.00 - 20.00</w:t>
                  </w:r>
                </w:p>
              </w:tc>
              <w:tc>
                <w:tcPr/>
                <w:p>
                  <w:pPr>
                    <w:pStyle w:val="Compact"/>
                    <w:jc w:val="left"/>
                    <w:jc w:val="center"/>
                  </w:pPr>
                  <w:r>
                    <w:t xml:space="preserve">6.00 - 18.00</w:t>
                  </w:r>
                </w:p>
              </w:tc>
              <w:tc>
                <w:tcPr/>
                <w:p>
                  <w:pPr>
                    <w:pStyle w:val="Compact"/>
                    <w:jc w:val="left"/>
                    <w:jc w:val="center"/>
                  </w:pPr>
                  <w:r>
                    <w:t xml:space="preserve">6.00 - 20.00</w:t>
                  </w:r>
                </w:p>
              </w:tc>
              <w:tc>
                <w:tcPr/>
                <w:p>
                  <w:pPr>
                    <w:pStyle w:val="Compact"/>
                  </w:pPr>
                </w:p>
              </w:tc>
            </w:tr>
            <w:tr>
              <w:tc>
                <w:tcPr/>
                <w:p>
                  <w:pPr>
                    <w:pStyle w:val="Compact"/>
                    <w:jc w:val="left"/>
                    <w:jc w:val="center"/>
                  </w:pPr>
                  <w:r>
                    <w:rPr>
                      <w:b/>
                      <w:bCs/>
                    </w:rPr>
                    <w:t xml:space="preserve">Perceived Usefulness</w:t>
                  </w:r>
                </w:p>
              </w:tc>
              <w:tc>
                <w:tcPr/>
                <w:p>
                  <w:pPr>
                    <w:pStyle w:val="Compact"/>
                  </w:pPr>
                </w:p>
              </w:tc>
              <w:tc>
                <w:tcPr/>
                <w:p>
                  <w:pPr>
                    <w:pStyle w:val="Compact"/>
                  </w:pPr>
                </w:p>
              </w:tc>
              <w:tc>
                <w:tcPr/>
                <w:p>
                  <w:pPr>
                    <w:pStyle w:val="Compact"/>
                  </w:pPr>
                </w:p>
              </w:tc>
              <w:tc>
                <w:tcPr/>
                <w:p>
                  <w:pPr>
                    <w:pStyle w:val="Compact"/>
                  </w:pPr>
                </w:p>
              </w:tc>
              <w:tc>
                <w:tcPr/>
                <w:p>
                  <w:pPr>
                    <w:pStyle w:val="Compact"/>
                    <w:jc w:val="left"/>
                    <w:jc w:val="center"/>
                  </w:pPr>
                  <w:r>
                    <w:t xml:space="preserve">0.520</w:t>
                  </w:r>
                  <w:r>
                    <w:rPr>
                      <w:vertAlign w:val="superscript"/>
                    </w:rPr>
                    <w:t xml:space="preserve">2</w:t>
                  </w:r>
                </w:p>
              </w:tc>
            </w:tr>
            <w:tr>
              <w:tc>
                <w:tcPr/>
                <w:p>
                  <w:pPr>
                    <w:pStyle w:val="Compact"/>
                    <w:jc w:val="left"/>
                    <w:jc w:val="center"/>
                  </w:pPr>
                  <w:r>
                    <w:t xml:space="preserve">   Mean (SD)</w:t>
                  </w:r>
                </w:p>
              </w:tc>
              <w:tc>
                <w:tcPr/>
                <w:p>
                  <w:pPr>
                    <w:pStyle w:val="Compact"/>
                    <w:jc w:val="left"/>
                    <w:jc w:val="center"/>
                  </w:pPr>
                  <w:r>
                    <w:t xml:space="preserve">4.01 (0.77)</w:t>
                  </w:r>
                </w:p>
              </w:tc>
              <w:tc>
                <w:tcPr/>
                <w:p>
                  <w:pPr>
                    <w:pStyle w:val="Compact"/>
                    <w:jc w:val="left"/>
                    <w:jc w:val="center"/>
                  </w:pPr>
                  <w:r>
                    <w:t xml:space="preserve">4.14 (0.70)</w:t>
                  </w:r>
                </w:p>
              </w:tc>
              <w:tc>
                <w:tcPr/>
                <w:p>
                  <w:pPr>
                    <w:pStyle w:val="Compact"/>
                    <w:jc w:val="left"/>
                    <w:jc w:val="center"/>
                  </w:pPr>
                  <w:r>
                    <w:t xml:space="preserve">3.93 (0.54)</w:t>
                  </w:r>
                </w:p>
              </w:tc>
              <w:tc>
                <w:tcPr/>
                <w:p>
                  <w:pPr>
                    <w:pStyle w:val="Compact"/>
                    <w:jc w:val="left"/>
                    <w:jc w:val="center"/>
                  </w:pPr>
                  <w:r>
                    <w:t xml:space="preserve">4.05 (0.67)</w:t>
                  </w:r>
                </w:p>
              </w:tc>
              <w:tc>
                <w:tcPr/>
                <w:p>
                  <w:pPr>
                    <w:pStyle w:val="Compact"/>
                  </w:pPr>
                </w:p>
              </w:tc>
            </w:tr>
            <w:tr>
              <w:tc>
                <w:tcPr/>
                <w:p>
                  <w:pPr>
                    <w:pStyle w:val="Compact"/>
                    <w:jc w:val="left"/>
                    <w:jc w:val="center"/>
                  </w:pPr>
                  <w:r>
                    <w:t xml:space="preserve">   Range</w:t>
                  </w:r>
                </w:p>
              </w:tc>
              <w:tc>
                <w:tcPr/>
                <w:p>
                  <w:pPr>
                    <w:pStyle w:val="Compact"/>
                    <w:jc w:val="left"/>
                    <w:jc w:val="center"/>
                  </w:pPr>
                  <w:r>
                    <w:t xml:space="preserve">2.75 - 5.00</w:t>
                  </w:r>
                </w:p>
              </w:tc>
              <w:tc>
                <w:tcPr/>
                <w:p>
                  <w:pPr>
                    <w:pStyle w:val="Compact"/>
                    <w:jc w:val="left"/>
                    <w:jc w:val="center"/>
                  </w:pPr>
                  <w:r>
                    <w:t xml:space="preserve">2.25 - 5.00</w:t>
                  </w:r>
                </w:p>
              </w:tc>
              <w:tc>
                <w:tcPr/>
                <w:p>
                  <w:pPr>
                    <w:pStyle w:val="Compact"/>
                    <w:jc w:val="left"/>
                    <w:jc w:val="center"/>
                  </w:pPr>
                  <w:r>
                    <w:t xml:space="preserve">2.75 - 5.00</w:t>
                  </w:r>
                </w:p>
              </w:tc>
              <w:tc>
                <w:tcPr/>
                <w:p>
                  <w:pPr>
                    <w:pStyle w:val="Compact"/>
                    <w:jc w:val="left"/>
                    <w:jc w:val="center"/>
                  </w:pPr>
                  <w:r>
                    <w:t xml:space="preserve">2.25 - 5.00</w:t>
                  </w:r>
                </w:p>
              </w:tc>
              <w:tc>
                <w:tcPr/>
                <w:p>
                  <w:pPr>
                    <w:pStyle w:val="Compact"/>
                  </w:pPr>
                </w:p>
              </w:tc>
            </w:tr>
          </w:tbl>
          <w:bookmarkEnd w:id="20"/>
          <w:p/>
        </w:tc>
      </w:tr>
    </w:tbl>
    <w:bookmarkEnd w:id="21"/>
    <w:bookmarkStart w:id="23" w:name="materials"/>
    <w:p>
      <w:pPr>
        <w:pStyle w:val="Heading2"/>
      </w:pPr>
      <w:r>
        <w:t xml:space="preserve">1.2 Materials</w:t>
      </w:r>
    </w:p>
    <w:bookmarkStart w:id="22" w:name="translation-process"/>
    <w:p>
      <w:pPr>
        <w:pStyle w:val="Heading3"/>
      </w:pPr>
      <w:r>
        <w:t xml:space="preserve">1.2.1 Translation Process</w:t>
      </w:r>
    </w:p>
    <w:p>
      <w:pPr>
        <w:pStyle w:val="FirstParagraph"/>
      </w:pPr>
      <w:r>
        <w:t xml:space="preserve">The Intelligent-TPACK, originally developed by</w:t>
      </w:r>
      <w:r>
        <w:t xml:space="preserve"> </w:t>
      </w:r>
      <w:r>
        <w:t xml:space="preserve">Celik (</w:t>
      </w:r>
      <w:hyperlink w:anchor="ref-celik2023">
        <w:r>
          <w:rPr>
            <w:rStyle w:val="Hyperlink"/>
          </w:rPr>
          <w:t xml:space="preserve">2023</w:t>
        </w:r>
      </w:hyperlink>
      <w:r>
        <w:t xml:space="preserve">)</w:t>
      </w:r>
      <w:r>
        <w:t xml:space="preserve">, is widely used to assess teachers’ knowledge for pedagogical and ethical AI use based on the technological, pedagogical, and content knowledge (TPACK) framework.</w:t>
      </w:r>
      <w:r>
        <w:t xml:space="preserve"> </w:t>
      </w:r>
      <w:r>
        <w:t xml:space="preserve">However, no empirically validated German translations of the Intelligent-TPACK exists. While some studies translate and use subsets of the Intelligent-TPACK</w:t>
      </w:r>
      <w:r>
        <w:t xml:space="preserve"> </w:t>
      </w:r>
      <w:r>
        <w:t xml:space="preserve">(e.g.,</w:t>
      </w:r>
      <w:r>
        <w:t xml:space="preserve"> </w:t>
      </w:r>
      <w:hyperlink w:anchor="ref-mah.gross2024">
        <w:r>
          <w:rPr>
            <w:rStyle w:val="Hyperlink"/>
          </w:rPr>
          <w:t xml:space="preserve">Mah &amp; Groß, 2024</w:t>
        </w:r>
      </w:hyperlink>
      <w:r>
        <w:t xml:space="preserve">)</w:t>
      </w:r>
      <w:r>
        <w:t xml:space="preserve">, there is no validated German version of the full instrument.</w:t>
      </w:r>
    </w:p>
    <w:p>
      <w:pPr>
        <w:pStyle w:val="BodyText"/>
      </w:pPr>
      <w:r>
        <w:t xml:space="preserve">Therefore, for the Intelligent-TPACK by</w:t>
      </w:r>
      <w:r>
        <w:t xml:space="preserve"> </w:t>
      </w:r>
      <w:r>
        <w:t xml:space="preserve">Celik (</w:t>
      </w:r>
      <w:hyperlink w:anchor="ref-celik2023">
        <w:r>
          <w:rPr>
            <w:rStyle w:val="Hyperlink"/>
          </w:rPr>
          <w:t xml:space="preserve">2023</w:t>
        </w:r>
      </w:hyperlink>
      <w:r>
        <w:t xml:space="preserve">)</w:t>
      </w:r>
      <w:r>
        <w:t xml:space="preserve"> </w:t>
      </w:r>
      <w:r>
        <w:t xml:space="preserve">as well as for items from the AI ethics subscale from</w:t>
      </w:r>
      <w:r>
        <w:t xml:space="preserve"> </w:t>
      </w:r>
      <w:r>
        <w:t xml:space="preserve">Chiu et al. (</w:t>
      </w:r>
      <w:hyperlink w:anchor="ref-chiu.ahmad.ea2024">
        <w:r>
          <w:rPr>
            <w:rStyle w:val="Hyperlink"/>
          </w:rPr>
          <w:t xml:space="preserve">2024</w:t>
        </w:r>
      </w:hyperlink>
      <w:r>
        <w:t xml:space="preserve">)</w:t>
      </w:r>
      <w:r>
        <w:t xml:space="preserve">, we translated the original items in a participative multi-step process involving not just experts from the fields of computer science and education, but also (pre-service) teachers.</w:t>
      </w:r>
      <w:r>
        <w:t xml:space="preserve"> </w:t>
      </w:r>
      <w:r>
        <w:t xml:space="preserve">For this, we applied the</w:t>
      </w:r>
      <w:r>
        <w:t xml:space="preserve"> </w:t>
      </w:r>
      <w:r>
        <w:rPr>
          <w:i/>
          <w:iCs/>
        </w:rPr>
        <w:t xml:space="preserve">Modified Direct Translation</w:t>
      </w:r>
      <w:r>
        <w:t xml:space="preserve"> </w:t>
      </w:r>
      <w:r>
        <w:t xml:space="preserve">that includes translators and experts discussing the wording until reaching agreement</w:t>
      </w:r>
      <w:r>
        <w:t xml:space="preserve"> </w:t>
      </w:r>
      <w:r>
        <w:t xml:space="preserve">(</w:t>
      </w:r>
      <w:hyperlink w:anchor="ref-behling.law2025">
        <w:r>
          <w:rPr>
            <w:rStyle w:val="Hyperlink"/>
          </w:rPr>
          <w:t xml:space="preserve">Behling &amp; Law, 2025</w:t>
        </w:r>
      </w:hyperlink>
      <w:r>
        <w:t xml:space="preserve">)</w:t>
      </w:r>
      <w:r>
        <w:t xml:space="preserve">: First, seven researchers and experts in AI ED (additionally including one English teacher and one student teacher of Computer Science and English) translated the items independently. Second, we compared all translations and marked the items that received different translations. In a third step, we performed a group workshop with all translators in which the marked items were discussed and dot voting was applied to decide on the most apporopriate translation. Finally, three items that were still marked as questionable were discussed and further adapted with a native English teacher who teaches at University 2.</w:t>
      </w:r>
    </w:p>
    <w:p>
      <w:pPr>
        <w:pStyle w:val="BodyText"/>
      </w:pPr>
      <w:r>
        <w:t xml:space="preserve">The translation and validation of the Intelligent-TPACK is reported in detail in</w:t>
      </w:r>
      <w:r>
        <w:t xml:space="preserve"> </w:t>
      </w:r>
      <w:r>
        <w:t xml:space="preserve">Authors (</w:t>
      </w:r>
      <w:hyperlink w:anchor="ref-authorsinprep">
        <w:r>
          <w:rPr>
            <w:rStyle w:val="Hyperlink"/>
          </w:rPr>
          <w:t xml:space="preserve">in prep.</w:t>
        </w:r>
      </w:hyperlink>
      <w:r>
        <w:t xml:space="preserve">)</w:t>
      </w:r>
      <w:r>
        <w:t xml:space="preserve">.</w:t>
      </w:r>
    </w:p>
    <w:bookmarkEnd w:id="22"/>
    <w:bookmarkEnd w:id="23"/>
    <w:bookmarkStart w:id="29" w:name="analysis"/>
    <w:p>
      <w:pPr>
        <w:pStyle w:val="Heading2"/>
      </w:pPr>
      <w:r>
        <w:t xml:space="preserve">1.3 Analysis</w:t>
      </w:r>
    </w:p>
    <w:p>
      <w:pPr>
        <w:pStyle w:val="FirstParagraph"/>
      </w:pPr>
      <w:r>
        <w:t xml:space="preserve">We analyzed the interventions’ efficacy in a multilevel analysis approach. To contrast the differences of students’ change in the respective outcome measure over time, we implemented a linear mixed-effects regression model for each outcome measure, considering our</w:t>
      </w:r>
      <w:r>
        <w:t xml:space="preserve"> </w:t>
      </w:r>
      <m:oMath>
        <m:r>
          <m:t>3</m:t>
        </m:r>
      </m:oMath>
      <w:r>
        <w:t xml:space="preserve"> </w:t>
      </w:r>
      <w:r>
        <w:t xml:space="preserve">factorial design. To account for the panel structure, that is, two test sessions, in the data, we used the random effects (RE) estimation method to estimate treatment effects, following CITATION.</w:t>
      </w:r>
    </w:p>
    <w:p>
      <w:pPr>
        <w:pStyle w:val="BodyText"/>
      </w:pPr>
      <w:r>
        <w:t xml:space="preserve">The raw data and</w:t>
      </w:r>
      <w:r>
        <w:t xml:space="preserve"> </w:t>
      </w:r>
      <w:r>
        <w:rPr>
          <w:i/>
          <w:iCs/>
        </w:rPr>
        <w:t xml:space="preserve">R</w:t>
      </w:r>
      <w:r>
        <w:t xml:space="preserve"> </w:t>
      </w:r>
      <w:r>
        <w:t xml:space="preserve">scripts detailing the analyses can be accessed in the online supplement at</w:t>
      </w:r>
      <w:r>
        <w:t xml:space="preserve"> </w:t>
      </w:r>
      <w:r>
        <w:t xml:space="preserve">.</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5" name="Picture"/>
                  <a:graphic>
                    <a:graphicData uri="http://schemas.openxmlformats.org/drawingml/2006/picture">
                      <pic:pic>
                        <pic:nvPicPr>
                          <pic:cNvPr descr="/Applications/quarto/share/formats/docx/note.png" id="26"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Ist unser Design 3- oder 2-faktoriell?</w:t>
            </w:r>
          </w:p>
        </w:tc>
      </w:tr>
    </w:tbl>
    <w:p>
      <w:pPr>
        <w:pStyle w:val="BodyText"/>
      </w:pPr>
      <w:r>
        <w:t xml:space="preserve">We implemented the two-level models with the students at level 1 (individual level) and the University at level 2 (class level). We addressed the clustering of time points within students by including random intercepts for students. The clustering of students within universities was addressed by including a dummy variable for the University.</w:t>
      </w:r>
    </w:p>
    <w:p>
      <w:pPr>
        <w:pStyle w:val="BodyText"/>
      </w:pPr>
      <w:r>
        <w:t xml:space="preserve">To contrast the differences in change over time between the treatment groups (i.e., estimated treatment effect), we included the time-by-treatment interaction in the models. For this, we used a dummy-coded</w:t>
      </w:r>
      <w:r>
        <w:t xml:space="preserve"> </w:t>
      </w:r>
      <w:r>
        <w:rPr>
          <w:i/>
          <w:iCs/>
        </w:rPr>
        <w:t xml:space="preserve">treatment</w:t>
      </w:r>
      <w:r>
        <w:t xml:space="preserve"> </w:t>
      </w:r>
      <w:r>
        <w:t xml:space="preserve">variable using reversed Helmert contrasts to contrast the differences between (i) the</w:t>
      </w:r>
      <w:r>
        <w:t xml:space="preserve"> </w:t>
      </w:r>
      <w:r>
        <w:rPr>
          <w:i/>
          <w:iCs/>
        </w:rPr>
        <w:t xml:space="preserve">control</w:t>
      </w:r>
      <w:r>
        <w:t xml:space="preserve"> </w:t>
      </w:r>
      <w:r>
        <w:t xml:space="preserve">group and the</w:t>
      </w:r>
      <w:r>
        <w:t xml:space="preserve"> </w:t>
      </w:r>
      <w:r>
        <w:rPr>
          <w:i/>
          <w:iCs/>
        </w:rPr>
        <w:t xml:space="preserve">intervention</w:t>
      </w:r>
      <w:r>
        <w:t xml:space="preserve"> </w:t>
      </w:r>
      <w:r>
        <w:t xml:space="preserve">groups and (ii) between the two intervention groups. We set the control group as the reference group.</w:t>
      </w:r>
    </w:p>
    <w:p>
      <w:pPr>
        <w:pStyle w:val="BodyText"/>
      </w:pPr>
      <w:r>
        <w:t xml:space="preserve">Finally, we included variables as a covariate if they met the criteria for baseline equivalence in randomized controlled trials by the What Works Clearinghouse</w:t>
      </w:r>
      <w:r>
        <w:t xml:space="preserve"> </w:t>
      </w:r>
      <w:r>
        <w:t xml:space="preserve">(</w:t>
      </w:r>
      <w:hyperlink w:anchor="ref-WWC2022">
        <w:r>
          <w:rPr>
            <w:rStyle w:val="Hyperlink"/>
          </w:rPr>
          <w:t xml:space="preserve">Clearinghouse, 2022</w:t>
        </w:r>
      </w:hyperlink>
      <w:r>
        <w:t xml:space="preserve">)</w:t>
      </w:r>
      <w:r>
        <w:t xml:space="preserve">. That is, we included the variables as covariates if the difference between the groups was statistical significant, or if it exceeded</w:t>
      </w:r>
      <w:r>
        <w:t xml:space="preserve"> </w:t>
      </w:r>
      <m:oMath>
        <m:r>
          <m:t>d</m:t>
        </m:r>
        <m:r>
          <m:rPr>
            <m:sty m:val="p"/>
          </m:rPr>
          <m:t>&gt;</m:t>
        </m:r>
        <m:r>
          <m:t>.05</m:t>
        </m:r>
      </m:oMath>
      <w:r>
        <w:t xml:space="preserve">.</w:t>
      </w:r>
      <w:r>
        <w:t xml:space="preserve"> </w:t>
      </w:r>
      <w:r>
        <w:t xml:space="preserve">We tested for group differences concerning the following variables at baseline (pretest): age, gender, semester, and study level (Bachelor vs. Master). We found for gender and semesters statistically significant differences between the treamtment groups, see</w:t>
      </w:r>
      <w:r>
        <w:t xml:space="preserve"> </w:t>
      </w:r>
      <w:hyperlink w:anchor="tbl-participants">
        <w:r>
          <w:rPr>
            <w:rStyle w:val="Hyperlink"/>
          </w:rPr>
          <w:t xml:space="preserve">Table 1</w:t>
        </w:r>
      </w:hyperlink>
      <w:r>
        <w:t xml:space="preserve">. That is, we included the following covariates in the models: gender and semester.</w:t>
      </w:r>
    </w:p>
    <w:p>
      <w:pPr>
        <w:pStyle w:val="BodyText"/>
      </w:pPr>
      <w:r>
        <w:t xml:space="preserve">That is, the final model for each outcome measure contained time, treatment, semester, University and the interaction of time and treatment as fixed effects and a random intercept for students, and was specified as follows:</w:t>
      </w:r>
      <w:r>
        <w:t xml:space="preserve"> </w:t>
      </w:r>
      <w:r>
        <w:rPr>
          <w:rStyle w:val="VerbatimChar"/>
        </w:rPr>
        <w:t xml:space="preserve">lmer(outcome ~ time * treatment + age + semester + university + (1|student))</w:t>
      </w:r>
      <w:r>
        <w:t xml:space="preserve">.</w:t>
      </w:r>
    </w:p>
    <w:p>
      <w:pPr>
        <w:pStyle w:val="BodyText"/>
      </w:pPr>
      <w:r>
        <w:t xml:space="preserve">The criterion of statistical significance was set at α=.05.</w:t>
      </w:r>
    </w:p>
    <w:bookmarkStart w:id="27" w:name="data-preparation-and-cleaning"/>
    <w:p>
      <w:pPr>
        <w:pStyle w:val="Heading3"/>
      </w:pPr>
      <w:r>
        <w:t xml:space="preserve">1.3.1 Data Preparation and Cleaning</w:t>
      </w:r>
    </w:p>
    <w:p>
      <w:pPr>
        <w:pStyle w:val="FirstParagraph"/>
      </w:pPr>
      <w:r>
        <w:t xml:space="preserve">For data cleaning, we applied the following steps: First, we investigated which students, based on their pseudonyms, did not participate in both test sessions. Based on a string distance analysis using the Levenshtein distance</w:t>
      </w:r>
      <w:r>
        <w:t xml:space="preserve"> </w:t>
      </w:r>
      <w:r>
        <w:t xml:space="preserve">(</w:t>
      </w:r>
      <w:hyperlink w:anchor="ref-levenshtein1966">
        <w:r>
          <w:rPr>
            <w:rStyle w:val="Hyperlink"/>
          </w:rPr>
          <w:t xml:space="preserve">Levenshtein, 1966</w:t>
        </w:r>
      </w:hyperlink>
      <w:r>
        <w:t xml:space="preserve">)</w:t>
      </w:r>
      <w:r>
        <w:t xml:space="preserve">, we identified pseudonyms that were likely to belong to the same student but were entered slightly differently (e.g., due to typos or students who moved during the semester, as the address was part of their pseudonym). We then manually checked these pseudonyms and merged them if we believe they belonged to the same student. This resulted in</w:t>
      </w:r>
      <w:r>
        <w:t xml:space="preserve"> </w:t>
      </w:r>
      <m:oMath>
        <m:r>
          <m:t>n</m:t>
        </m:r>
        <m:r>
          <m:rPr>
            <m:sty m:val="p"/>
          </m:rPr>
          <m:t>=</m:t>
        </m:r>
        <m:r>
          <m:t>24</m:t>
        </m:r>
      </m:oMath>
      <w:r>
        <w:t xml:space="preserve"> </w:t>
      </w:r>
      <w:r>
        <w:t xml:space="preserve">students being merged.</w:t>
      </w:r>
      <w:r>
        <w:t xml:space="preserve"> </w:t>
      </w:r>
      <w:r>
        <w:t xml:space="preserve">We then removed students who only participated at the pretest (</w:t>
      </w:r>
      <m:oMath>
        <m:r>
          <m:t>n</m:t>
        </m:r>
        <m:r>
          <m:rPr>
            <m:sty m:val="p"/>
          </m:rPr>
          <m:t>=</m:t>
        </m:r>
        <m:r>
          <m:t>69</m:t>
        </m:r>
      </m:oMath>
      <w:r>
        <w:t xml:space="preserve">) or only at the posttest (</w:t>
      </w:r>
      <m:oMath>
        <m:r>
          <m:t>n</m:t>
        </m:r>
        <m:r>
          <m:rPr>
            <m:sty m:val="p"/>
          </m:rPr>
          <m:t>=</m:t>
        </m:r>
        <m:r>
          <m:t>11</m:t>
        </m:r>
      </m:oMath>
      <w:r>
        <w:t xml:space="preserve">).</w:t>
      </w:r>
      <w:r>
        <w:t xml:space="preserve"> </w:t>
      </w:r>
      <w:r>
        <w:t xml:space="preserve">Further, some students conducted the post test twice. In this case, we only considered their first response in the analyses and dropped the second.</w:t>
      </w:r>
    </w:p>
    <w:p>
      <w:pPr>
        <w:pStyle w:val="BodyText"/>
      </w:pPr>
      <w:r>
        <w:t xml:space="preserve">As for some self-constructed items students could choose</w:t>
      </w:r>
      <w:r>
        <w:t xml:space="preserve"> </w:t>
      </w:r>
      <w:r>
        <w:t xml:space="preserve">“I don’t understand the item”</w:t>
      </w:r>
      <w:r>
        <w:t xml:space="preserve"> </w:t>
      </w:r>
      <w:r>
        <w:t xml:space="preserve">as a response option, we recoded these responses as missing values (</w:t>
      </w:r>
      <m:oMath>
        <m:r>
          <m:t>n</m:t>
        </m:r>
        <m:r>
          <m:rPr>
            <m:sty m:val="p"/>
          </m:rPr>
          <m:t>=</m:t>
        </m:r>
        <m:r>
          <m:t>7</m:t>
        </m:r>
      </m:oMath>
      <w:r>
        <w:t xml:space="preserve"> </w:t>
      </w:r>
      <w:r>
        <w:t xml:space="preserve">responses to individual items).</w:t>
      </w:r>
    </w:p>
    <w:p>
      <w:pPr>
        <w:pStyle w:val="BodyText"/>
      </w:pPr>
      <w:r>
        <w:t xml:space="preserve">For the Intelligent TPACK, AI ethics and perceived usefulness (sub)scales, we calculated the mean score across all items of the respective (sub)scale per student. For AI literacy, we calculated the sum score across all items. We additionally calculated the sum score for the subset of items of the AI literacy that that directly reflect the topics addressed in the course, see SECTION MATERIALS.</w:t>
      </w:r>
    </w:p>
    <w:bookmarkEnd w:id="27"/>
    <w:bookmarkStart w:id="28" w:name="statistical-software"/>
    <w:p>
      <w:pPr>
        <w:pStyle w:val="Heading3"/>
      </w:pPr>
      <w:r>
        <w:t xml:space="preserve">1.3.2 Statistical Software</w:t>
      </w:r>
    </w:p>
    <w:p>
      <w:pPr>
        <w:pStyle w:val="FirstParagraph"/>
      </w:pPr>
      <w:r>
        <w:t xml:space="preserve">We performed the statistical analyses in</w:t>
      </w:r>
      <w:r>
        <w:t xml:space="preserve"> </w:t>
      </w:r>
      <w:r>
        <w:rPr>
          <w:i/>
          <w:iCs/>
        </w:rPr>
        <w:t xml:space="preserve">R</w:t>
      </w:r>
      <w:r>
        <w:t xml:space="preserve"> </w:t>
      </w:r>
      <w:r>
        <w:t xml:space="preserve">(</w:t>
      </w:r>
      <w:hyperlink w:anchor="ref-R2024">
        <w:r>
          <w:rPr>
            <w:rStyle w:val="Hyperlink"/>
          </w:rPr>
          <w:t xml:space="preserve">R Core Team, 2024</w:t>
        </w:r>
      </w:hyperlink>
      <w:r>
        <w:t xml:space="preserve">)</w:t>
      </w:r>
      <w:r>
        <w:t xml:space="preserve"> </w:t>
      </w:r>
      <w:r>
        <w:t xml:space="preserve">using the following packages:</w:t>
      </w:r>
      <w:r>
        <w:t xml:space="preserve"> </w:t>
      </w:r>
      <w:r>
        <w:rPr>
          <w:i/>
          <w:iCs/>
        </w:rPr>
        <w:t xml:space="preserve">dplyr</w:t>
      </w:r>
      <w:r>
        <w:t xml:space="preserve"> </w:t>
      </w:r>
      <w:r>
        <w:t xml:space="preserve">[wickham2023:dplyr],</w:t>
      </w:r>
      <w:r>
        <w:t xml:space="preserve"> </w:t>
      </w:r>
      <w:r>
        <w:rPr>
          <w:i/>
          <w:iCs/>
        </w:rPr>
        <w:t xml:space="preserve">tidyr</w:t>
      </w:r>
      <w:r>
        <w:t xml:space="preserve"> </w:t>
      </w:r>
      <w:r>
        <w:t xml:space="preserve">(</w:t>
      </w:r>
      <w:hyperlink w:anchor="ref-wickham2024">
        <w:r>
          <w:rPr>
            <w:rStyle w:val="Hyperlink"/>
          </w:rPr>
          <w:t xml:space="preserve">Wickham et al., 2024</w:t>
        </w:r>
      </w:hyperlink>
      <w:r>
        <w:t xml:space="preserve">)</w:t>
      </w:r>
      <w:r>
        <w:t xml:space="preserve">, and</w:t>
      </w:r>
      <w:r>
        <w:t xml:space="preserve"> </w:t>
      </w:r>
      <w:r>
        <w:rPr>
          <w:i/>
          <w:iCs/>
        </w:rPr>
        <w:t xml:space="preserve">gtools</w:t>
      </w:r>
      <w:r>
        <w:t xml:space="preserve"> </w:t>
      </w:r>
      <w:r>
        <w:t xml:space="preserve">(</w:t>
      </w:r>
      <w:hyperlink w:anchor="ref-warnes2023">
        <w:r>
          <w:rPr>
            <w:rStyle w:val="Hyperlink"/>
          </w:rPr>
          <w:t xml:space="preserve">Warnes et al., 2023</w:t>
        </w:r>
      </w:hyperlink>
      <w:r>
        <w:t xml:space="preserve">)</w:t>
      </w:r>
      <w:r>
        <w:t xml:space="preserve"> </w:t>
      </w:r>
      <w:r>
        <w:t xml:space="preserve">for data wrangling;</w:t>
      </w:r>
      <w:r>
        <w:t xml:space="preserve"> </w:t>
      </w:r>
      <w:r>
        <w:rPr>
          <w:i/>
          <w:iCs/>
        </w:rPr>
        <w:t xml:space="preserve">arsenal</w:t>
      </w:r>
      <w:r>
        <w:t xml:space="preserve"> </w:t>
      </w:r>
      <w:r>
        <w:t xml:space="preserve">(</w:t>
      </w:r>
      <w:hyperlink w:anchor="ref-heinzen2021">
        <w:r>
          <w:rPr>
            <w:rStyle w:val="Hyperlink"/>
          </w:rPr>
          <w:t xml:space="preserve">Heinzen et al., 2021</w:t>
        </w:r>
      </w:hyperlink>
      <w:r>
        <w:t xml:space="preserve">)</w:t>
      </w:r>
      <w:r>
        <w:t xml:space="preserve">,</w:t>
      </w:r>
      <w:r>
        <w:t xml:space="preserve"> </w:t>
      </w:r>
      <w:r>
        <w:rPr>
          <w:i/>
          <w:iCs/>
        </w:rPr>
        <w:t xml:space="preserve">vtable</w:t>
      </w:r>
      <w:r>
        <w:t xml:space="preserve"> </w:t>
      </w:r>
      <w:r>
        <w:t xml:space="preserve">(</w:t>
      </w:r>
      <w:hyperlink w:anchor="ref-huntington2023">
        <w:r>
          <w:rPr>
            <w:rStyle w:val="Hyperlink"/>
          </w:rPr>
          <w:t xml:space="preserve">Huntington-Klein, 2023</w:t>
        </w:r>
      </w:hyperlink>
      <w:r>
        <w:t xml:space="preserve">)</w:t>
      </w:r>
      <w:r>
        <w:t xml:space="preserve">,</w:t>
      </w:r>
      <w:r>
        <w:t xml:space="preserve"> </w:t>
      </w:r>
      <w:r>
        <w:rPr>
          <w:i/>
          <w:iCs/>
        </w:rPr>
        <w:t xml:space="preserve">modelsummary</w:t>
      </w:r>
      <w:r>
        <w:t xml:space="preserve"> </w:t>
      </w:r>
      <w:r>
        <w:t xml:space="preserve">(</w:t>
      </w:r>
      <w:hyperlink w:anchor="ref-arel-bundock2022">
        <w:r>
          <w:rPr>
            <w:rStyle w:val="Hyperlink"/>
          </w:rPr>
          <w:t xml:space="preserve">Arel-Bundock, 2022</w:t>
        </w:r>
      </w:hyperlink>
      <w:r>
        <w:t xml:space="preserve">)</w:t>
      </w:r>
      <w:r>
        <w:t xml:space="preserve"> </w:t>
      </w:r>
      <w:r>
        <w:t xml:space="preserve">and</w:t>
      </w:r>
      <w:r>
        <w:t xml:space="preserve"> </w:t>
      </w:r>
      <w:r>
        <w:rPr>
          <w:i/>
          <w:iCs/>
        </w:rPr>
        <w:t xml:space="preserve">kableExtra</w:t>
      </w:r>
      <w:r>
        <w:t xml:space="preserve"> </w:t>
      </w:r>
      <w:r>
        <w:t xml:space="preserve">(</w:t>
      </w:r>
      <w:hyperlink w:anchor="ref-zhu2024">
        <w:r>
          <w:rPr>
            <w:rStyle w:val="Hyperlink"/>
          </w:rPr>
          <w:t xml:space="preserve">Zhu, 2024</w:t>
        </w:r>
      </w:hyperlink>
      <w:r>
        <w:t xml:space="preserve">)</w:t>
      </w:r>
      <w:r>
        <w:t xml:space="preserve"> </w:t>
      </w:r>
      <w:r>
        <w:t xml:space="preserve">for creating tables;</w:t>
      </w:r>
      <w:r>
        <w:t xml:space="preserve"> </w:t>
      </w:r>
      <w:r>
        <w:rPr>
          <w:i/>
          <w:iCs/>
        </w:rPr>
        <w:t xml:space="preserve">ggplot2</w:t>
      </w:r>
      <w:r>
        <w:t xml:space="preserve"> </w:t>
      </w:r>
      <w:r>
        <w:t xml:space="preserve">(</w:t>
      </w:r>
      <w:hyperlink w:anchor="ref-wickham2016">
        <w:r>
          <w:rPr>
            <w:rStyle w:val="Hyperlink"/>
          </w:rPr>
          <w:t xml:space="preserve">Wickham, 2016</w:t>
        </w:r>
      </w:hyperlink>
      <w:r>
        <w:t xml:space="preserve">)</w:t>
      </w:r>
      <w:r>
        <w:t xml:space="preserve">,</w:t>
      </w:r>
      <w:r>
        <w:t xml:space="preserve"> </w:t>
      </w:r>
      <w:r>
        <w:rPr>
          <w:i/>
          <w:iCs/>
        </w:rPr>
        <w:t xml:space="preserve">ggsci</w:t>
      </w:r>
      <w:r>
        <w:t xml:space="preserve"> </w:t>
      </w:r>
      <w:r>
        <w:t xml:space="preserve">(</w:t>
      </w:r>
      <w:hyperlink w:anchor="ref-xiao2024">
        <w:r>
          <w:rPr>
            <w:rStyle w:val="Hyperlink"/>
          </w:rPr>
          <w:t xml:space="preserve">Xiao, 2024</w:t>
        </w:r>
      </w:hyperlink>
      <w:r>
        <w:t xml:space="preserve">)</w:t>
      </w:r>
      <w:r>
        <w:t xml:space="preserve"> </w:t>
      </w:r>
      <w:r>
        <w:t xml:space="preserve">and</w:t>
      </w:r>
      <w:r>
        <w:t xml:space="preserve"> </w:t>
      </w:r>
      <w:r>
        <w:rPr>
          <w:i/>
          <w:iCs/>
        </w:rPr>
        <w:t xml:space="preserve">jtools</w:t>
      </w:r>
      <w:r>
        <w:t xml:space="preserve"> </w:t>
      </w:r>
      <w:r>
        <w:t xml:space="preserve">(</w:t>
      </w:r>
      <w:hyperlink w:anchor="ref-long2022">
        <w:r>
          <w:rPr>
            <w:rStyle w:val="Hyperlink"/>
          </w:rPr>
          <w:t xml:space="preserve">Long, 2022</w:t>
        </w:r>
      </w:hyperlink>
      <w:r>
        <w:t xml:space="preserve">)</w:t>
      </w:r>
      <w:r>
        <w:t xml:space="preserve"> </w:t>
      </w:r>
      <w:r>
        <w:t xml:space="preserve">for plotting; and</w:t>
      </w:r>
      <w:r>
        <w:t xml:space="preserve"> </w:t>
      </w:r>
      <w:r>
        <w:rPr>
          <w:i/>
          <w:iCs/>
        </w:rPr>
        <w:t xml:space="preserve">lme4</w:t>
      </w:r>
      <w:r>
        <w:t xml:space="preserve"> </w:t>
      </w:r>
      <w:r>
        <w:t xml:space="preserve">(</w:t>
      </w:r>
      <w:hyperlink w:anchor="ref-bates2015">
        <w:r>
          <w:rPr>
            <w:rStyle w:val="Hyperlink"/>
          </w:rPr>
          <w:t xml:space="preserve">Bates et al., 2015</w:t>
        </w:r>
      </w:hyperlink>
      <w:r>
        <w:t xml:space="preserve">)</w:t>
      </w:r>
      <w:r>
        <w:t xml:space="preserve"> </w:t>
      </w:r>
      <w:r>
        <w:t xml:space="preserve">and</w:t>
      </w:r>
      <w:r>
        <w:t xml:space="preserve"> </w:t>
      </w:r>
      <w:r>
        <w:rPr>
          <w:i/>
          <w:iCs/>
        </w:rPr>
        <w:t xml:space="preserve">lmerTest</w:t>
      </w:r>
      <w:r>
        <w:t xml:space="preserve"> </w:t>
      </w:r>
      <w:r>
        <w:t xml:space="preserve">(</w:t>
      </w:r>
      <w:hyperlink w:anchor="ref-kuznetsova2017">
        <w:r>
          <w:rPr>
            <w:rStyle w:val="Hyperlink"/>
          </w:rPr>
          <w:t xml:space="preserve">Kuznetsova et al., 2017</w:t>
        </w:r>
      </w:hyperlink>
      <w:r>
        <w:t xml:space="preserve">)</w:t>
      </w:r>
      <w:r>
        <w:t xml:space="preserve"> </w:t>
      </w:r>
      <w:r>
        <w:t xml:space="preserve">for linear mixed-effects regression analyses.</w:t>
      </w:r>
    </w:p>
    <w:p>
      <w:pPr>
        <w:pStyle w:val="BodyText"/>
      </w:pPr>
      <w:r>
        <w:t xml:space="preserve">We used the</w:t>
      </w:r>
      <w:r>
        <w:t xml:space="preserve"> </w:t>
      </w:r>
      <w:r>
        <w:rPr>
          <w:i/>
          <w:iCs/>
        </w:rPr>
        <w:t xml:space="preserve">lme4</w:t>
      </w:r>
      <w:r>
        <w:t xml:space="preserve"> </w:t>
      </w:r>
      <w:r>
        <w:t xml:space="preserve">package</w:t>
      </w:r>
      <w:r>
        <w:t xml:space="preserve"> </w:t>
      </w:r>
      <w:r>
        <w:t xml:space="preserve">(</w:t>
      </w:r>
      <w:hyperlink w:anchor="ref-bates2015">
        <w:r>
          <w:rPr>
            <w:rStyle w:val="Hyperlink"/>
          </w:rPr>
          <w:t xml:space="preserve">Bates et al., 2015</w:t>
        </w:r>
      </w:hyperlink>
      <w:r>
        <w:t xml:space="preserve">)</w:t>
      </w:r>
      <w:r>
        <w:t xml:space="preserve"> </w:t>
      </w:r>
      <w:r>
        <w:t xml:space="preserve">to fit linear mixed-effects models and the</w:t>
      </w:r>
      <w:r>
        <w:t xml:space="preserve"> </w:t>
      </w:r>
      <w:r>
        <w:rPr>
          <w:i/>
          <w:iCs/>
        </w:rPr>
        <w:t xml:space="preserve">broom.mixed</w:t>
      </w:r>
      <w:r>
        <w:t xml:space="preserve"> </w:t>
      </w:r>
      <w:r>
        <w:t xml:space="preserve">package</w:t>
      </w:r>
      <w:r>
        <w:t xml:space="preserve"> </w:t>
      </w:r>
      <w:r>
        <w:t xml:space="preserve">(</w:t>
      </w:r>
      <w:hyperlink w:anchor="ref-bolker2024">
        <w:r>
          <w:rPr>
            <w:rStyle w:val="Hyperlink"/>
          </w:rPr>
          <w:t xml:space="preserve">Bolker &amp; Robinson, 2024</w:t>
        </w:r>
      </w:hyperlink>
      <w:r>
        <w:t xml:space="preserve">)</w:t>
      </w:r>
      <w:r>
        <w:t xml:space="preserve"> </w:t>
      </w:r>
      <w:r>
        <w:t xml:space="preserve">to extract the results. Degrees of freedom and</w:t>
      </w:r>
      <w:r>
        <w:t xml:space="preserve"> </w:t>
      </w:r>
      <w:r>
        <w:rPr>
          <w:i/>
          <w:iCs/>
        </w:rPr>
        <w:t xml:space="preserve">p</w:t>
      </w:r>
      <w:r>
        <w:t xml:space="preserve">-values were calculated using the</w:t>
      </w:r>
      <w:r>
        <w:t xml:space="preserve"> </w:t>
      </w:r>
      <w:r>
        <w:rPr>
          <w:i/>
          <w:iCs/>
        </w:rPr>
        <w:t xml:space="preserve">lmerTest</w:t>
      </w:r>
      <w:r>
        <w:t xml:space="preserve"> </w:t>
      </w:r>
      <w:r>
        <w:t xml:space="preserve">package</w:t>
      </w:r>
      <w:r>
        <w:t xml:space="preserve"> </w:t>
      </w:r>
      <w:r>
        <w:t xml:space="preserve">(</w:t>
      </w:r>
      <w:hyperlink w:anchor="ref-kuznetsova2017">
        <w:r>
          <w:rPr>
            <w:rStyle w:val="Hyperlink"/>
          </w:rPr>
          <w:t xml:space="preserve">Kuznetsova et al., 2017</w:t>
        </w:r>
      </w:hyperlink>
      <w:r>
        <w:t xml:space="preserve">)</w:t>
      </w:r>
      <w:r>
        <w:t xml:space="preserve"> </w:t>
      </w:r>
      <w:r>
        <w:t xml:space="preserve">using Kenward-Roger’s approximation for the denominator degrees of freedom. Pairwise comparisons between the treatment groups were computed using the</w:t>
      </w:r>
      <w:r>
        <w:t xml:space="preserve"> </w:t>
      </w:r>
      <w:r>
        <w:rPr>
          <w:i/>
          <w:iCs/>
        </w:rPr>
        <w:t xml:space="preserve">emmeans</w:t>
      </w:r>
      <w:r>
        <w:t xml:space="preserve"> </w:t>
      </w:r>
      <w:r>
        <w:t xml:space="preserve">package</w:t>
      </w:r>
      <w:r>
        <w:t xml:space="preserve"> </w:t>
      </w:r>
      <w:r>
        <w:t xml:space="preserve">(</w:t>
      </w:r>
      <w:hyperlink w:anchor="ref-lenth2025">
        <w:r>
          <w:rPr>
            <w:rStyle w:val="Hyperlink"/>
          </w:rPr>
          <w:t xml:space="preserve">Lenth, 2025</w:t>
        </w:r>
      </w:hyperlink>
      <w:r>
        <w:t xml:space="preserve">)</w:t>
      </w:r>
      <w:r>
        <w:t xml:space="preserve">.</w:t>
      </w:r>
    </w:p>
    <w:bookmarkEnd w:id="28"/>
    <w:bookmarkEnd w:id="29"/>
    <w:bookmarkEnd w:id="30"/>
    <w:bookmarkStart w:id="59" w:name="results"/>
    <w:p>
      <w:pPr>
        <w:pStyle w:val="Heading1"/>
      </w:pPr>
      <w:r>
        <w:t xml:space="preserve">2. Results</w:t>
      </w:r>
    </w:p>
    <w:p>
      <w:pPr>
        <w:pStyle w:val="FirstParagraph"/>
      </w:pPr>
      <w:r>
        <w:t xml:space="preserve">Descriptive statistics of students’ pretest scores are presented in</w:t>
      </w:r>
      <w:r>
        <w:t xml:space="preserve"> </w:t>
      </w:r>
      <w:hyperlink w:anchor="tbl-participants">
        <w:r>
          <w:rPr>
            <w:rStyle w:val="Hyperlink"/>
          </w:rPr>
          <w:t xml:space="preserve">Table 1</w:t>
        </w:r>
      </w:hyperlink>
      <w:r>
        <w:t xml:space="preserve">.</w:t>
      </w:r>
      <w:r>
        <w:t xml:space="preserve"> </w:t>
      </w:r>
      <w:r>
        <w:t xml:space="preserve">As expected, students attending the STEM course and students from the control group, which was recruited from pre-service STEM teachers, reported significantly higher ratings in all Intelligent TPACK subscales compared to students attending language course, which predominantly consisted of students not studying a STEM subject as their second subject. We didn’t find significant differences between the intervention groups for AI literacy, AI ethics, and perceived usefulness at the pretest.</w:t>
      </w:r>
    </w:p>
    <w:p>
      <w:pPr>
        <w:pStyle w:val="BodyText"/>
      </w:pPr>
      <w:r>
        <w:t xml:space="preserve">The descriptive statistics of students’ change in the outcome measures over time per treatment group are listed in</w:t>
      </w:r>
      <w:r>
        <w:t xml:space="preserve"> </w:t>
      </w:r>
      <w:hyperlink w:anchor="fig-ai-lit">
        <w:r>
          <w:rPr>
            <w:rStyle w:val="Hyperlink"/>
          </w:rPr>
          <w:t xml:space="preserve">Figure 1</w:t>
        </w:r>
      </w:hyperlink>
      <w:r>
        <w:t xml:space="preserve">,</w:t>
      </w:r>
      <w:r>
        <w:t xml:space="preserve"> </w:t>
      </w:r>
      <w:hyperlink w:anchor="fig-tpack">
        <w:r>
          <w:rPr>
            <w:rStyle w:val="Hyperlink"/>
          </w:rPr>
          <w:t xml:space="preserve">Figure 2</w:t>
        </w:r>
      </w:hyperlink>
      <w:r>
        <w:t xml:space="preserve">, and</w:t>
      </w:r>
      <w:r>
        <w:t xml:space="preserve"> </w:t>
      </w:r>
      <w:hyperlink w:anchor="fig-pu">
        <w:r>
          <w:rPr>
            <w:rStyle w:val="Hyperlink"/>
          </w:rPr>
          <w:t xml:space="preserve">Figure 3</w:t>
        </w:r>
      </w:hyperlink>
      <w:r>
        <w:t xml:space="preserve">.</w:t>
      </w:r>
    </w:p>
    <w:p>
      <w:pPr>
        <w:pStyle w:val="BodyText"/>
      </w:pPr>
      <w:r>
        <w:t xml:space="preserve">For all outcome measure, we will first report the</w:t>
      </w:r>
      <w:r>
        <w:t xml:space="preserve"> </w:t>
      </w:r>
      <w:r>
        <w:rPr>
          <w:i/>
          <w:iCs/>
        </w:rPr>
        <w:t xml:space="preserve">main</w:t>
      </w:r>
      <w:r>
        <w:t xml:space="preserve"> </w:t>
      </w:r>
      <w:r>
        <w:t xml:space="preserve">treatment effect, i.e., the interaction between time and treatment group. Then, we will report the differences between treatment groups, i.e., control vs. intervention groups (STEM and language course), and then contrast the intervention groups, i.e., STEM vs. language course).</w:t>
      </w:r>
    </w:p>
    <w:p>
      <w:pPr>
        <w:pStyle w:val="BodyText"/>
      </w:pPr>
      <w:r>
        <w:t xml:space="preserve">The results of the linear mixed-effects models for each outcome measure are presented in</w:t>
      </w:r>
      <w:r>
        <w:t xml:space="preserve"> </w:t>
      </w:r>
      <w:hyperlink w:anchor="tbl-lmer-ailit-summary">
        <w:r>
          <w:rPr>
            <w:rStyle w:val="Hyperlink"/>
          </w:rPr>
          <w:t xml:space="preserve">Table 2</w:t>
        </w:r>
      </w:hyperlink>
      <w:r>
        <w:t xml:space="preserve">,</w:t>
      </w:r>
      <w:r>
        <w:t xml:space="preserve"> </w:t>
      </w:r>
      <w:hyperlink w:anchor="tbl-lmer-tpack-summary">
        <w:r>
          <w:rPr>
            <w:rStyle w:val="Hyperlink"/>
          </w:rPr>
          <w:t xml:space="preserve">Table 3</w:t>
        </w:r>
      </w:hyperlink>
      <w:r>
        <w:t xml:space="preserve">, and</w:t>
      </w:r>
      <w:r>
        <w:t xml:space="preserve"> </w:t>
      </w:r>
      <w:hyperlink w:anchor="tbl-lmer-pu-summary">
        <w:r>
          <w:rPr>
            <w:rStyle w:val="Hyperlink"/>
          </w:rPr>
          <w:t xml:space="preserve">Table 4</w:t>
        </w:r>
      </w:hyperlink>
      <w:r>
        <w:t xml:space="preserve">.</w:t>
      </w:r>
    </w:p>
    <w:bookmarkStart w:id="31" w:name="effect-sizes"/>
    <w:p>
      <w:pPr>
        <w:pStyle w:val="Heading2"/>
      </w:pPr>
      <w:r>
        <w:t xml:space="preserve">2.1 Effect Sizes</w:t>
      </w:r>
    </w:p>
    <w:p>
      <w:pPr>
        <w:pStyle w:val="SourceCode"/>
      </w:pPr>
      <w:r>
        <w:rPr>
          <w:rStyle w:val="VerbatimChar"/>
        </w:rPr>
        <w:t xml:space="preserve">     AILIT AILITWolke AILITShort         TK        TPK        TCK    TPACKce </w:t>
      </w:r>
      <w:r>
        <w:br/>
      </w:r>
      <w:r>
        <w:rPr>
          <w:rStyle w:val="VerbatimChar"/>
        </w:rPr>
        <w:t xml:space="preserve">      0.30       0.47       0.44       1.49       1.76       1.45       2.09 </w:t>
      </w:r>
      <w:r>
        <w:br/>
      </w:r>
      <w:r>
        <w:rPr>
          <w:rStyle w:val="VerbatimChar"/>
        </w:rPr>
        <w:t xml:space="preserve">TPACKgenai     Ethics         PU        PU1        PU2        PU3        PU4 </w:t>
      </w:r>
      <w:r>
        <w:br/>
      </w:r>
      <w:r>
        <w:rPr>
          <w:rStyle w:val="VerbatimChar"/>
        </w:rPr>
        <w:t xml:space="preserve">      1.70       1.90       0.41       0.52       0.64       0.20      -0.09 </w:t>
      </w:r>
    </w:p>
    <w:bookmarkEnd w:id="31"/>
    <w:bookmarkStart w:id="39" w:name="ai-literacy"/>
    <w:p>
      <w:pPr>
        <w:pStyle w:val="Heading2"/>
      </w:pPr>
      <w:r>
        <w:t xml:space="preserve">2.2 AI Literacy</w:t>
      </w:r>
    </w:p>
    <w:p>
      <w:pPr>
        <w:pStyle w:val="FirstParagraph"/>
      </w:pPr>
      <w:r>
        <w:t xml:space="preserve">Descriptive results of students’ AI literacy scores are shown in</w:t>
      </w:r>
      <w:r>
        <w:t xml:space="preserve"> </w:t>
      </w:r>
      <w:hyperlink w:anchor="fig-ai-lit">
        <w:r>
          <w:rPr>
            <w:rStyle w:val="Hyperlink"/>
          </w:rPr>
          <w:t xml:space="preserve">Figure 1</w:t>
        </w:r>
      </w:hyperlink>
      <w:r>
        <w:t xml:space="preserve">, and the results of the linear mixed-effects models are listed in</w:t>
      </w:r>
      <w:r>
        <w:t xml:space="preserve"> </w:t>
      </w:r>
      <w:hyperlink w:anchor="tbl-lmer-ailit-summary">
        <w:r>
          <w:rPr>
            <w:rStyle w:val="Hyperlink"/>
          </w:rPr>
          <w:t xml:space="preserve">Table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5" w:name="fig-ai-lit"/>
          <w:p>
            <w:pPr>
              <w:pStyle w:val="Compact"/>
              <w:jc w:val="center"/>
            </w:pPr>
            <w:r>
              <w:drawing>
                <wp:inline>
                  <wp:extent cx="4267200" cy="3094225"/>
                  <wp:effectExtent b="0" l="0" r="0" t="0"/>
                  <wp:docPr descr="" title="" id="33" name="Picture"/>
                  <a:graphic>
                    <a:graphicData uri="http://schemas.openxmlformats.org/drawingml/2006/picture">
                      <pic:pic>
                        <pic:nvPicPr>
                          <pic:cNvPr descr="WoLKE-CAEO-2025-Report_files/figure-docx/fig-ai-lit-1.pdf" id="34" name="Picture"/>
                          <pic:cNvPicPr>
                            <a:picLocks noChangeArrowheads="1" noChangeAspect="1"/>
                          </pic:cNvPicPr>
                        </pic:nvPicPr>
                        <pic:blipFill>
                          <a:blip r:embed="rId32"/>
                          <a:stretch>
                            <a:fillRect/>
                          </a:stretch>
                        </pic:blipFill>
                        <pic:spPr bwMode="auto">
                          <a:xfrm>
                            <a:off x="0" y="0"/>
                            <a:ext cx="4267200" cy="3094225"/>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Descriptive Statistics of Students’ AI Literacy Scores Over Time by Treatment Group.</w:t>
            </w:r>
          </w:p>
          <w:bookmarkEnd w:id="35"/>
        </w:tc>
      </w:tr>
    </w:tbl>
    <w:tbl>
      <w:tblPr>
        <w:tblStyle w:val="Table"/>
        <w:tblW w:type="pct" w:w="5000"/>
        <w:tblLayout w:type="fixed"/>
        <w:tblLook w:firstRow="0" w:lastRow="0" w:firstColumn="0" w:lastColumn="0" w:noHBand="0" w:noVBand="0" w:val="0000"/>
      </w:tblPr>
      <w:tblGrid>
        <w:gridCol w:w="7920"/>
      </w:tblGrid>
      <w:tr>
        <w:tc>
          <w:tcPr/>
          <w:bookmarkStart w:id="36" w:name="tbl-lmer-ailit-summary"/>
          <w:p>
            <w:pPr>
              <w:jc w:val="center"/>
            </w:pPr>
            <w:pPr>
              <w:jc w:val="start"/>
              <w:spacing w:before="200"/>
              <w:pStyle w:val="ImageCaption"/>
            </w:pPr>
            <w:r>
              <w:t xml:space="preserve">Table 2: Summary of Linear Mixed-Effects Models for AI Literacy.</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3750"/>
              <w:tblLook w:firstRow="1" w:lastRow="0" w:firstColumn="0" w:lastColumn="0" w:noHBand="0" w:noVBand="1"/>
            </w:tblPr>
            <w:tr>
              <w:trPr>
                <w:trHeight w:val="573"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 </w:t>
                  </w:r>
                </w:p>
              </w:tc>
              <w:tc>
                <w:tcPr>
                  <w:gridSpan w:val="4"/>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AILIT</w:t>
                  </w:r>
                </w:p>
              </w:tc>
              <w:tc>
                <w:tcPr>
                  <w:gridSpan w:val="4"/>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AILITWolke</w:t>
                  </w:r>
                </w:p>
              </w:tc>
            </w:tr>
            <w:tr>
              <w:trPr>
                <w:trHeight w:val="577" w:hRule="auto"/>
                <w:tblHeader/>
              </w:trPr>
              header 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b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SE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t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p </w:t>
                  </w:r>
                </w:p>
              </w:tc>
            </w:tr>
            <w:tr>
              <w:trPr>
                <w:trHeight w:val="617"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(Intercept)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15.73***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1.17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13.40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&lt;0.001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5.33***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0.61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8.75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&lt;0.001</w:t>
                  </w:r>
                </w:p>
              </w:tc>
            </w:tr>
            <w:tr>
              <w:trPr>
                <w:trHeight w:val="621"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intervention-c+STEM_language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0.044</w:t>
                  </w:r>
                </w:p>
              </w:tc>
            </w:tr>
            <w:tr>
              <w:trPr>
                <w:trHeight w:val="621"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intervention-STEM+language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0.624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0.073</w:t>
                  </w:r>
                </w:p>
              </w:tc>
            </w:tr>
            <w:tr>
              <w:trPr>
                <w:trHeight w:val="614"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time-pre+post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0.005</w:t>
                  </w:r>
                </w:p>
              </w:tc>
            </w:tr>
            <w:tr>
              <w:trPr>
                <w:trHeight w:val="619"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gender-m+f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0.782</w:t>
                  </w:r>
                </w:p>
              </w:tc>
            </w:tr>
            <w:tr>
              <w:trPr>
                <w:trHeight w:val="569"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semester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0.381</w:t>
                  </w:r>
                </w:p>
              </w:tc>
            </w:tr>
            <w:tr>
              <w:trPr>
                <w:trHeight w:val="577"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location-SGUE+LUE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0.957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0.912</w:t>
                  </w:r>
                </w:p>
              </w:tc>
            </w:tr>
            <w:tr>
              <w:trPr>
                <w:trHeight w:val="621"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intervention-c+STEM_language:time-pre+post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0.132</w:t>
                  </w:r>
                </w:p>
              </w:tc>
            </w:tr>
            <w:tr>
              <w:trPr>
                <w:trHeight w:val="621"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intervention-STEM+language:time-pre+post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0.541</w:t>
                  </w:r>
                </w:p>
              </w:tc>
            </w:tr>
            <w:tr>
              <w:trPr>
                <w:trHeight w:val="619"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SD (Intercept code)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r>
            <w:tr>
              <w:trPr>
                <w:trHeight w:val="618"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SD (Observations)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r>
            <w:tr>
              <w:trPr>
                <w:trHeight w:val="577"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Num.Obs.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r>
            <w:tr>
              <w:trPr>
                <w:trHeight w:val="617"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R2 Marg.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r>
            <w:tr>
              <w:trPr>
                <w:trHeight w:val="577"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R2 Cond.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0.572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r>
            <w:tr>
              <w:trPr>
                <w:trHeight w:val="577"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AIC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793.9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634.5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r>
            <w:tr>
              <w:trPr>
                <w:trHeight w:val="577"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BIC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827.2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667.8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r>
            <w:tr>
              <w:trPr>
                <w:trHeight w:val="577"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ICC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r>
            <w:tr>
              <w:trPr>
                <w:trHeight w:val="577" w:hRule="auto"/>
              </w:trPr>
              body18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RMSE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1.32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r>
          </w:tbl>
          <w:bookmarkEnd w:id="36"/>
        </w:tc>
      </w:tr>
    </w:tbl>
    <w:bookmarkStart w:id="37" w:name="ai-literacy-full-scale"/>
    <w:p>
      <w:pPr>
        <w:pStyle w:val="Heading3"/>
      </w:pPr>
      <w:r>
        <w:t xml:space="preserve">2.2.1 AI Literacy – Full Scale</w:t>
      </w:r>
    </w:p>
    <w:p>
      <w:pPr>
        <w:pStyle w:val="FirstParagraph"/>
      </w:pPr>
      <w:r>
        <w:t xml:space="preserve">We did not find a significant main effect of treatment on students’ change in AI literacy,</w:t>
      </w:r>
      <w:r>
        <w:t xml:space="preserve"> </w:t>
      </w:r>
      <m:oMath>
        <m:r>
          <m:t>F</m:t>
        </m:r>
        <m:d>
          <m:dPr>
            <m:begChr m:val="("/>
            <m:sepChr m:val=""/>
            <m:endChr m:val=")"/>
            <m:grow/>
          </m:dPr>
          <m:e>
            <m:r>
              <m:t>2</m:t>
            </m:r>
            <m:r>
              <m:rPr>
                <m:sty m:val="p"/>
              </m:rPr>
              <m:t>,</m:t>
            </m:r>
            <m:r>
              <m:t>73</m:t>
            </m:r>
          </m:e>
        </m:d>
        <m:r>
          <m:rPr>
            <m:sty m:val="p"/>
          </m:rPr>
          <m:t>=</m:t>
        </m:r>
        <m:r>
          <m:t>0.95</m:t>
        </m:r>
      </m:oMath>
      <w:r>
        <w:t xml:space="preserve">,</w:t>
      </w:r>
      <w:r>
        <w:t xml:space="preserve"> </w:t>
      </w:r>
      <m:oMath>
        <m:r>
          <m:t>p</m:t>
        </m:r>
        <m:r>
          <m:rPr>
            <m:sty m:val="p"/>
          </m:rPr>
          <m:t>=</m:t>
        </m:r>
        <m:r>
          <m:t>.390</m:t>
        </m:r>
      </m:oMath>
      <w:r>
        <w:t xml:space="preserve">. Neither did the control group’s change differ significantly from both intervention groups,</w:t>
      </w:r>
      <w:r>
        <w:t xml:space="preserve"> </w:t>
      </w:r>
      <m:oMath>
        <m:r>
          <m:t>b</m:t>
        </m:r>
        <m:r>
          <m:rPr>
            <m:sty m:val="p"/>
          </m:rPr>
          <m:t>=</m:t>
        </m:r>
        <m:r>
          <m:t>1.02</m:t>
        </m:r>
      </m:oMath>
      <w:r>
        <w:t xml:space="preserve">,</w:t>
      </w:r>
      <w:r>
        <w:t xml:space="preserve"> </w:t>
      </w:r>
      <m:oMath>
        <m:r>
          <m:t>S</m:t>
        </m:r>
        <m:r>
          <m:t>E</m:t>
        </m:r>
        <m:r>
          <m:rPr>
            <m:sty m:val="p"/>
          </m:rPr>
          <m:t>=</m:t>
        </m:r>
        <m:r>
          <m:t>0.93</m:t>
        </m:r>
      </m:oMath>
      <w:r>
        <w:t xml:space="preserve">,</w:t>
      </w:r>
      <w:r>
        <w:t xml:space="preserve"> </w:t>
      </w:r>
      <m:oMath>
        <m:r>
          <m:t>t</m:t>
        </m:r>
        <m:d>
          <m:dPr>
            <m:begChr m:val="("/>
            <m:sepChr m:val=""/>
            <m:endChr m:val=")"/>
            <m:grow/>
          </m:dPr>
          <m:e>
            <m:r>
              <m:t>73.00</m:t>
            </m:r>
          </m:e>
        </m:d>
        <m:r>
          <m:rPr>
            <m:sty m:val="p"/>
          </m:rPr>
          <m:t>=</m:t>
        </m:r>
        <m:r>
          <m:t>1.09</m:t>
        </m:r>
      </m:oMath>
      <w:r>
        <w:t xml:space="preserve">,</w:t>
      </w:r>
      <w:r>
        <w:t xml:space="preserve"> </w:t>
      </w:r>
      <m:oMath>
        <m:r>
          <m:t>p</m:t>
        </m:r>
        <m:r>
          <m:rPr>
            <m:sty m:val="p"/>
          </m:rPr>
          <m:t>=</m:t>
        </m:r>
        <m:r>
          <m:t>.277</m:t>
        </m:r>
      </m:oMath>
      <w:r>
        <w:t xml:space="preserve">, nor did the change differ significantly between the two intervention groups,</w:t>
      </w:r>
      <w:r>
        <w:t xml:space="preserve"> </w:t>
      </w:r>
      <m:oMath>
        <m:r>
          <m:t>b</m:t>
        </m:r>
        <m:r>
          <m:rPr>
            <m:sty m:val="p"/>
          </m:rPr>
          <m:t>=</m:t>
        </m:r>
        <m:r>
          <m:rPr>
            <m:sty m:val="p"/>
          </m:rPr>
          <m:t>−</m:t>
        </m:r>
        <m:r>
          <m:t>0.69</m:t>
        </m:r>
      </m:oMath>
      <w:r>
        <w:t xml:space="preserve">,</w:t>
      </w:r>
      <w:r>
        <w:t xml:space="preserve"> </w:t>
      </w:r>
      <m:oMath>
        <m:r>
          <m:t>S</m:t>
        </m:r>
        <m:r>
          <m:t>E</m:t>
        </m:r>
        <m:r>
          <m:rPr>
            <m:sty m:val="p"/>
          </m:rPr>
          <m:t>=</m:t>
        </m:r>
        <m:r>
          <m:t>0.95</m:t>
        </m:r>
      </m:oMath>
      <w:r>
        <w:t xml:space="preserve">,</w:t>
      </w:r>
      <w:r>
        <w:t xml:space="preserve"> </w:t>
      </w:r>
      <m:oMath>
        <m:r>
          <m:t>t</m:t>
        </m:r>
        <m:d>
          <m:dPr>
            <m:begChr m:val="("/>
            <m:sepChr m:val=""/>
            <m:endChr m:val=")"/>
            <m:grow/>
          </m:dPr>
          <m:e>
            <m:r>
              <m:t>73.00</m:t>
            </m:r>
          </m:e>
        </m:d>
        <m:r>
          <m:rPr>
            <m:sty m:val="p"/>
          </m:rPr>
          <m:t>=</m:t>
        </m:r>
        <m:r>
          <m:rPr>
            <m:sty m:val="p"/>
          </m:rPr>
          <m:t>−</m:t>
        </m:r>
        <m:r>
          <m:t>0.73</m:t>
        </m:r>
      </m:oMath>
      <w:r>
        <w:t xml:space="preserve">,</w:t>
      </w:r>
      <w:r>
        <w:t xml:space="preserve"> </w:t>
      </w:r>
      <m:oMath>
        <m:r>
          <m:t>p</m:t>
        </m:r>
        <m:r>
          <m:rPr>
            <m:sty m:val="p"/>
          </m:rPr>
          <m:t>=</m:t>
        </m:r>
        <m:r>
          <m:t>.467</m:t>
        </m:r>
      </m:oMath>
      <w:r>
        <w:t xml:space="preserve">.</w:t>
      </w:r>
    </w:p>
    <w:p>
      <w:pPr>
        <w:pStyle w:val="BodyText"/>
      </w:pPr>
      <w:r>
        <w:t xml:space="preserve">However, as</w:t>
      </w:r>
      <w:r>
        <w:t xml:space="preserve"> </w:t>
      </w:r>
      <w:hyperlink w:anchor="fig-ai-lit">
        <w:r>
          <w:rPr>
            <w:rStyle w:val="Hyperlink"/>
          </w:rPr>
          <w:t xml:space="preserve">Figure 1</w:t>
        </w:r>
      </w:hyperlink>
      <w:r>
        <w:t xml:space="preserve"> </w:t>
      </w:r>
      <w:r>
        <w:t xml:space="preserve">shows, backened by within-group contrast analyses contrasting the AI literacy score between pre- and posttest (see Online Supplement), students in all treatment conditions improved their AI literacy, while the change in pre-service STEM teachers was significant,</w:t>
      </w:r>
      <w:r>
        <w:t xml:space="preserve"> </w:t>
      </w:r>
      <m:oMath>
        <m:r>
          <m:t>b</m:t>
        </m:r>
        <m:r>
          <m:rPr>
            <m:sty m:val="p"/>
          </m:rPr>
          <m:t>=</m:t>
        </m:r>
        <m:r>
          <m:t>1.74</m:t>
        </m:r>
      </m:oMath>
      <w:r>
        <w:t xml:space="preserve">,</w:t>
      </w:r>
      <w:r>
        <w:t xml:space="preserve"> </w:t>
      </w:r>
      <m:oMath>
        <m:r>
          <m:t>S</m:t>
        </m:r>
        <m:r>
          <m:t>E</m:t>
        </m:r>
        <m:r>
          <m:rPr>
            <m:sty m:val="p"/>
          </m:rPr>
          <m:t>=</m:t>
        </m:r>
        <m:r>
          <m:t>0.60</m:t>
        </m:r>
      </m:oMath>
      <w:r>
        <w:t xml:space="preserve">,</w:t>
      </w:r>
      <w:r>
        <w:t xml:space="preserve"> </w:t>
      </w:r>
      <m:oMath>
        <m:r>
          <m:t>t</m:t>
        </m:r>
        <m:r>
          <m:rPr>
            <m:sty m:val="p"/>
          </m:rPr>
          <m:t>=</m:t>
        </m:r>
        <m:r>
          <m:t>2.87</m:t>
        </m:r>
      </m:oMath>
      <w:r>
        <w:t xml:space="preserve">,</w:t>
      </w:r>
      <w:r>
        <w:t xml:space="preserve"> </w:t>
      </w:r>
      <m:oMath>
        <m:r>
          <m:t>p</m:t>
        </m:r>
        <m:r>
          <m:rPr>
            <m:sty m:val="p"/>
          </m:rPr>
          <m:t>=</m:t>
        </m:r>
        <m:r>
          <m:t>.005</m:t>
        </m:r>
      </m:oMath>
      <w:r>
        <w:t xml:space="preserve">.</w:t>
      </w:r>
    </w:p>
    <w:bookmarkEnd w:id="37"/>
    <w:bookmarkStart w:id="38" w:name="ai-literacy-study-specific-subset"/>
    <w:p>
      <w:pPr>
        <w:pStyle w:val="Heading3"/>
      </w:pPr>
      <w:r>
        <w:t xml:space="preserve">2.2.2 AI Literacy – Study-Specific Subset</w:t>
      </w:r>
    </w:p>
    <w:p>
      <w:pPr>
        <w:pStyle w:val="FirstParagraph"/>
      </w:pPr>
      <w:r>
        <w:t xml:space="preserve">For the study-specific subset of the AI literacy items, we also did not find a significant main effect of treatment on students’ change in AI literacy,</w:t>
      </w:r>
      <w:r>
        <w:t xml:space="preserve"> </w:t>
      </w:r>
      <m:oMath>
        <m:r>
          <m:t>F</m:t>
        </m:r>
        <m:d>
          <m:dPr>
            <m:begChr m:val="("/>
            <m:sepChr m:val=""/>
            <m:endChr m:val=")"/>
            <m:grow/>
          </m:dPr>
          <m:e>
            <m:r>
              <m:t>2</m:t>
            </m:r>
            <m:r>
              <m:rPr>
                <m:sty m:val="p"/>
              </m:rPr>
              <m:t>,</m:t>
            </m:r>
            <m:r>
              <m:t>73</m:t>
            </m:r>
          </m:e>
        </m:d>
        <m:r>
          <m:rPr>
            <m:sty m:val="p"/>
          </m:rPr>
          <m:t>=</m:t>
        </m:r>
        <m:r>
          <m:t>1.45</m:t>
        </m:r>
      </m:oMath>
      <w:r>
        <w:t xml:space="preserve">,</w:t>
      </w:r>
      <w:r>
        <w:t xml:space="preserve"> </w:t>
      </w:r>
      <m:oMath>
        <m:r>
          <m:t>p</m:t>
        </m:r>
        <m:r>
          <m:rPr>
            <m:sty m:val="p"/>
          </m:rPr>
          <m:t>=</m:t>
        </m:r>
        <m:r>
          <m:t>.240</m:t>
        </m:r>
      </m:oMath>
      <w:r>
        <w:t xml:space="preserve">. The control group’s change did not differ significantly from both intervention groups,</w:t>
      </w:r>
      <w:r>
        <w:t xml:space="preserve"> </w:t>
      </w:r>
      <m:oMath>
        <m:r>
          <m:t>b</m:t>
        </m:r>
        <m:r>
          <m:rPr>
            <m:sty m:val="p"/>
          </m:rPr>
          <m:t>=</m:t>
        </m:r>
        <m:r>
          <m:t>0.89</m:t>
        </m:r>
      </m:oMath>
      <w:r>
        <w:t xml:space="preserve">,</w:t>
      </w:r>
      <w:r>
        <w:t xml:space="preserve"> </w:t>
      </w:r>
      <m:oMath>
        <m:r>
          <m:t>S</m:t>
        </m:r>
        <m:r>
          <m:t>E</m:t>
        </m:r>
        <m:r>
          <m:rPr>
            <m:sty m:val="p"/>
          </m:rPr>
          <m:t>=</m:t>
        </m:r>
        <m:r>
          <m:t>0.59</m:t>
        </m:r>
      </m:oMath>
      <w:r>
        <w:t xml:space="preserve">,</w:t>
      </w:r>
      <w:r>
        <w:t xml:space="preserve"> </w:t>
      </w:r>
      <m:oMath>
        <m:r>
          <m:t>t</m:t>
        </m:r>
        <m:d>
          <m:dPr>
            <m:begChr m:val="("/>
            <m:sepChr m:val=""/>
            <m:endChr m:val=")"/>
            <m:grow/>
          </m:dPr>
          <m:e>
            <m:r>
              <m:t>73.00</m:t>
            </m:r>
          </m:e>
        </m:d>
        <m:r>
          <m:rPr>
            <m:sty m:val="p"/>
          </m:rPr>
          <m:t>=</m:t>
        </m:r>
        <m:r>
          <m:t>1.52</m:t>
        </m:r>
      </m:oMath>
      <w:r>
        <w:t xml:space="preserve">,</w:t>
      </w:r>
      <w:r>
        <w:t xml:space="preserve"> </w:t>
      </w:r>
      <m:oMath>
        <m:r>
          <m:t>p</m:t>
        </m:r>
        <m:r>
          <m:rPr>
            <m:sty m:val="p"/>
          </m:rPr>
          <m:t>=</m:t>
        </m:r>
        <m:r>
          <m:t>.132</m:t>
        </m:r>
      </m:oMath>
      <w:r>
        <w:t xml:space="preserve">, nor did the change between the two intervention groups,</w:t>
      </w:r>
      <w:r>
        <w:t xml:space="preserve"> </w:t>
      </w:r>
      <m:oMath>
        <m:r>
          <m:t>b</m:t>
        </m:r>
        <m:r>
          <m:rPr>
            <m:sty m:val="p"/>
          </m:rPr>
          <m:t>=</m:t>
        </m:r>
        <m:r>
          <m:rPr>
            <m:sty m:val="p"/>
          </m:rPr>
          <m:t>−</m:t>
        </m:r>
        <m:r>
          <m:t>0.37</m:t>
        </m:r>
      </m:oMath>
      <w:r>
        <w:t xml:space="preserve">,</w:t>
      </w:r>
      <w:r>
        <w:t xml:space="preserve"> </w:t>
      </w:r>
      <m:oMath>
        <m:r>
          <m:t>S</m:t>
        </m:r>
        <m:r>
          <m:t>E</m:t>
        </m:r>
        <m:r>
          <m:rPr>
            <m:sty m:val="p"/>
          </m:rPr>
          <m:t>=</m:t>
        </m:r>
        <m:r>
          <m:t>0.60</m:t>
        </m:r>
      </m:oMath>
      <w:r>
        <w:t xml:space="preserve">,</w:t>
      </w:r>
      <w:r>
        <w:t xml:space="preserve"> </w:t>
      </w:r>
      <m:oMath>
        <m:r>
          <m:t>t</m:t>
        </m:r>
        <m:d>
          <m:dPr>
            <m:begChr m:val="("/>
            <m:sepChr m:val=""/>
            <m:endChr m:val=")"/>
            <m:grow/>
          </m:dPr>
          <m:e>
            <m:r>
              <m:t>73.00</m:t>
            </m:r>
          </m:e>
        </m:d>
        <m:r>
          <m:rPr>
            <m:sty m:val="p"/>
          </m:rPr>
          <m:t>=</m:t>
        </m:r>
        <m:r>
          <m:rPr>
            <m:sty m:val="p"/>
          </m:rPr>
          <m:t>−</m:t>
        </m:r>
        <m:r>
          <m:t>0.61</m:t>
        </m:r>
      </m:oMath>
      <w:r>
        <w:t xml:space="preserve">,</w:t>
      </w:r>
      <w:r>
        <w:t xml:space="preserve"> </w:t>
      </w:r>
      <m:oMath>
        <m:r>
          <m:t>p</m:t>
        </m:r>
        <m:r>
          <m:rPr>
            <m:sty m:val="p"/>
          </m:rPr>
          <m:t>=</m:t>
        </m:r>
        <m:r>
          <m:t>.541</m:t>
        </m:r>
      </m:oMath>
      <w:r>
        <w:t xml:space="preserve">.</w:t>
      </w:r>
    </w:p>
    <w:p>
      <w:pPr>
        <w:pStyle w:val="BodyText"/>
      </w:pPr>
      <w:r>
        <w:t xml:space="preserve">However, as can be seen in</w:t>
      </w:r>
      <w:r>
        <w:t xml:space="preserve"> </w:t>
      </w:r>
      <w:hyperlink w:anchor="fig-ai-lit">
        <w:r>
          <w:rPr>
            <w:rStyle w:val="Hyperlink"/>
          </w:rPr>
          <w:t xml:space="preserve">Figure 1</w:t>
        </w:r>
      </w:hyperlink>
      <w:r>
        <w:t xml:space="preserve">, students in both intervention groups showed descriptively higher increases in AI literacy compared to the control group. When performing post-hoc contrasts, we found that students in the STEM course had a marginally significantly higher increase in the study-specific AI literacy compared to the control group,</w:t>
      </w:r>
      <w:r>
        <w:t xml:space="preserve"> </w:t>
      </w:r>
      <m:oMath>
        <m:r>
          <m:t>b</m:t>
        </m:r>
        <m:r>
          <m:rPr>
            <m:sty m:val="p"/>
          </m:rPr>
          <m:t>=</m:t>
        </m:r>
        <m:r>
          <m:t>1.08</m:t>
        </m:r>
      </m:oMath>
      <w:r>
        <w:t xml:space="preserve">,</w:t>
      </w:r>
      <w:r>
        <w:t xml:space="preserve"> </w:t>
      </w:r>
      <m:oMath>
        <m:r>
          <m:t>S</m:t>
        </m:r>
        <m:r>
          <m:t>E</m:t>
        </m:r>
        <m:r>
          <m:rPr>
            <m:sty m:val="p"/>
          </m:rPr>
          <m:t>=</m:t>
        </m:r>
        <m:r>
          <m:t>0.63</m:t>
        </m:r>
      </m:oMath>
      <w:r>
        <w:t xml:space="preserve">,</w:t>
      </w:r>
      <w:r>
        <w:t xml:space="preserve"> </w:t>
      </w:r>
      <m:oMath>
        <m:r>
          <m:t>t</m:t>
        </m:r>
        <m:r>
          <m:rPr>
            <m:sty m:val="p"/>
          </m:rPr>
          <m:t>=</m:t>
        </m:r>
        <m:r>
          <m:t>1.71</m:t>
        </m:r>
      </m:oMath>
      <w:r>
        <w:t xml:space="preserve">,</w:t>
      </w:r>
      <w:r>
        <w:t xml:space="preserve"> </w:t>
      </w:r>
      <m:oMath>
        <m:r>
          <m:t>p</m:t>
        </m:r>
        <m:r>
          <m:rPr>
            <m:sty m:val="p"/>
          </m:rPr>
          <m:t>=</m:t>
        </m:r>
        <m:r>
          <m:t>.092</m:t>
        </m:r>
      </m:oMath>
      <w:r>
        <w:t xml:space="preserve">, while the difference between students in the language course and the control group was insignificant,</w:t>
      </w:r>
      <w:r>
        <w:t xml:space="preserve"> </w:t>
      </w:r>
      <m:oMath>
        <m:r>
          <m:t>b</m:t>
        </m:r>
        <m:r>
          <m:rPr>
            <m:sty m:val="p"/>
          </m:rPr>
          <m:t>=</m:t>
        </m:r>
        <m:r>
          <m:t>0.71</m:t>
        </m:r>
      </m:oMath>
      <w:r>
        <w:t xml:space="preserve">,</w:t>
      </w:r>
      <w:r>
        <w:t xml:space="preserve"> </w:t>
      </w:r>
      <m:oMath>
        <m:r>
          <m:t>S</m:t>
        </m:r>
        <m:r>
          <m:t>E</m:t>
        </m:r>
        <m:r>
          <m:rPr>
            <m:sty m:val="p"/>
          </m:rPr>
          <m:t>=</m:t>
        </m:r>
        <m:r>
          <m:t>0.68</m:t>
        </m:r>
      </m:oMath>
      <w:r>
        <w:t xml:space="preserve">,</w:t>
      </w:r>
      <w:r>
        <w:t xml:space="preserve"> </w:t>
      </w:r>
      <m:oMath>
        <m:r>
          <m:t>t</m:t>
        </m:r>
        <m:r>
          <m:rPr>
            <m:sty m:val="p"/>
          </m:rPr>
          <m:t>=</m:t>
        </m:r>
        <m:r>
          <m:t>1.04</m:t>
        </m:r>
      </m:oMath>
      <w:r>
        <w:t xml:space="preserve">,</w:t>
      </w:r>
      <w:r>
        <w:t xml:space="preserve"> </w:t>
      </w:r>
      <m:oMath>
        <m:r>
          <m:t>p</m:t>
        </m:r>
        <m:r>
          <m:rPr>
            <m:sty m:val="p"/>
          </m:rPr>
          <m:t>=</m:t>
        </m:r>
        <m:r>
          <m:t>.301</m:t>
        </m:r>
      </m:oMath>
      <w:r>
        <w:t xml:space="preserve">. All contrast analyses can be accessed in the online supplement at</w:t>
      </w:r>
      <w:r>
        <w:t xml:space="preserve"> </w:t>
      </w:r>
      <w:r>
        <w:t xml:space="preserve">.</w:t>
      </w:r>
    </w:p>
    <w:bookmarkEnd w:id="38"/>
    <w:bookmarkEnd w:id="39"/>
    <w:bookmarkStart w:id="50" w:name="intelligent-tpack-and-ai-ethics"/>
    <w:p>
      <w:pPr>
        <w:pStyle w:val="Heading2"/>
      </w:pPr>
      <w:r>
        <w:t xml:space="preserve">2.3 Intelligent TPACK and AI Ethics</w:t>
      </w:r>
    </w:p>
    <w:p>
      <w:pPr>
        <w:pStyle w:val="FirstParagraph"/>
      </w:pPr>
      <w:r>
        <w:t xml:space="preserve">The descriptive results of students’ ratings of perceived knowledge in Intelligent TPACK and AI ethics are shown in</w:t>
      </w:r>
      <w:r>
        <w:t xml:space="preserve"> </w:t>
      </w:r>
      <w:hyperlink w:anchor="fig-tpack">
        <w:r>
          <w:rPr>
            <w:rStyle w:val="Hyperlink"/>
          </w:rPr>
          <w:t xml:space="preserve">Figure 2</w:t>
        </w:r>
      </w:hyperlink>
      <w:r>
        <w:t xml:space="preserve">, and</w:t>
      </w:r>
      <w:r>
        <w:t xml:space="preserve"> </w:t>
      </w:r>
      <w:hyperlink w:anchor="tbl-lmer-tpack-summary">
        <w:r>
          <w:rPr>
            <w:rStyle w:val="Hyperlink"/>
          </w:rPr>
          <w:t xml:space="preserve">Table 3</w:t>
        </w:r>
      </w:hyperlink>
      <w:r>
        <w:t xml:space="preserve"> </w:t>
      </w:r>
      <w:r>
        <w:t xml:space="preserve">lists the results of the linear mixed-effects models. As can be seen in</w:t>
      </w:r>
      <w:r>
        <w:t xml:space="preserve"> </w:t>
      </w:r>
      <w:hyperlink w:anchor="fig-tpack">
        <w:r>
          <w:rPr>
            <w:rStyle w:val="Hyperlink"/>
          </w:rPr>
          <w:t xml:space="preserve">Figure 2</w:t>
        </w:r>
      </w:hyperlink>
      <w:r>
        <w:t xml:space="preserve">, all pre-service teachers reported their intelligent TPACK knowledge to be around or below the middle of the scale at the pretest, while the intervention groups reported, on average, values significantly higher than the middle value of the scale at the posttest.</w:t>
      </w:r>
    </w:p>
    <w:p>
      <w:pPr>
        <w:pStyle w:val="BodyText"/>
      </w:pPr>
      <w:r>
        <w:t xml:space="preserve">For all subscales related to Intelligent TPACK and AI ethics, that is, Intelligent TK, Intelligent TPK, Intelligent TCK, Intelligent TPACK, and AI ethics, we found a significant main effect of treatment on student’ change on the respective subscales. We found significantly higher increases in students’ Intelligent TPACK subscales in both intervention groups compared to the control group, whereas the intervention groups did not differ significantly from each other, see</w:t>
      </w:r>
      <w:r>
        <w:t xml:space="preserve"> </w:t>
      </w:r>
      <w:hyperlink w:anchor="tbl-lmer-tpack-summary">
        <w:r>
          <w:rPr>
            <w:rStyle w:val="Hyperlink"/>
          </w:rPr>
          <w:t xml:space="preserve">Table 3</w:t>
        </w:r>
      </w:hyperlink>
      <w:r>
        <w:t xml:space="preserve"> </w:t>
      </w:r>
      <w:r>
        <w:t xml:space="preserve">for an overview.</w:t>
      </w:r>
    </w:p>
    <w:tbl>
      <w:tblPr>
        <w:tblStyle w:val="Table"/>
        <w:tblW w:type="pct" w:w="5000"/>
        <w:tblLayout w:type="fixed"/>
        <w:tblLook w:firstRow="0" w:lastRow="0" w:firstColumn="0" w:lastColumn="0" w:noHBand="0" w:noVBand="0" w:val="0000"/>
      </w:tblPr>
      <w:tblGrid>
        <w:gridCol w:w="7920"/>
      </w:tblGrid>
      <w:tr>
        <w:tc>
          <w:tcPr/>
          <w:bookmarkStart w:id="43" w:name="fig-tpack"/>
          <w:p>
            <w:pPr>
              <w:pStyle w:val="Compact"/>
              <w:jc w:val="center"/>
            </w:pPr>
            <w:r>
              <w:drawing>
                <wp:inline>
                  <wp:extent cx="5334000" cy="4858906"/>
                  <wp:effectExtent b="0" l="0" r="0" t="0"/>
                  <wp:docPr descr="" title="" id="41" name="Picture"/>
                  <a:graphic>
                    <a:graphicData uri="http://schemas.openxmlformats.org/drawingml/2006/picture">
                      <pic:pic>
                        <pic:nvPicPr>
                          <pic:cNvPr descr="WoLKE-CAEO-2025-Report_files/figure-docx/fig-tpack-1.pdf" id="42" name="Picture"/>
                          <pic:cNvPicPr>
                            <a:picLocks noChangeArrowheads="1" noChangeAspect="1"/>
                          </pic:cNvPicPr>
                        </pic:nvPicPr>
                        <pic:blipFill>
                          <a:blip r:embed="rId40"/>
                          <a:stretch>
                            <a:fillRect/>
                          </a:stretch>
                        </pic:blipFill>
                        <pic:spPr bwMode="auto">
                          <a:xfrm>
                            <a:off x="0" y="0"/>
                            <a:ext cx="5334000" cy="4858906"/>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Descriptive Statistics of Students’ Intelligent TPACK and AI Ethics Ratings Over Time by Treatment Group.</w:t>
            </w:r>
          </w:p>
          <w:bookmarkEnd w:id="43"/>
        </w:tc>
      </w:tr>
    </w:tbl>
    <w:p>
      <w:pPr>
        <w:sectPr/>
      </w:pPr>
    </w:p>
    <w:tbl>
      <w:tblPr>
        <w:tblStyle w:val="Table"/>
        <w:tblW w:type="pct" w:w="5000"/>
        <w:tblLayout w:type="fixed"/>
        <w:tblLook w:firstRow="0" w:lastRow="0" w:firstColumn="0" w:lastColumn="0" w:noHBand="0" w:noVBand="0" w:val="0000"/>
      </w:tblPr>
      <w:tblGrid>
        <w:gridCol w:w="7920"/>
      </w:tblGrid>
      <w:tr>
        <w:tc>
          <w:tcPr/>
          <w:bookmarkStart w:id="44" w:name="tbl-lmer-tpack-summary"/>
          <w:p>
            <w:pPr>
              <w:jc w:val="center"/>
            </w:pPr>
            <w:pPr>
              <w:jc w:val="start"/>
              <w:spacing w:before="200"/>
              <w:pStyle w:val="ImageCaption"/>
            </w:pPr>
            <w:r>
              <w:t xml:space="preserve">Table 3: Summary of Linear Mixed-Effects Models for Intelligent TPACK Subscales and AI Ethics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621"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 </w:t>
                  </w:r>
                </w:p>
              </w:tc>
              <w:tc>
                <w:tcPr>
                  <w:gridSpan w:val="4"/>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TK</w:t>
                  </w:r>
                </w:p>
              </w:tc>
              <w:tc>
                <w:tcPr>
                  <w:gridSpan w:val="4"/>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TPK</w:t>
                  </w:r>
                </w:p>
              </w:tc>
              <w:tc>
                <w:tcPr>
                  <w:gridSpan w:val="4"/>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TCK</w:t>
                  </w:r>
                </w:p>
              </w:tc>
              <w:tc>
                <w:tcPr>
                  <w:gridSpan w:val="4"/>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TPACKce</w:t>
                  </w:r>
                </w:p>
              </w:tc>
              <w:tc>
                <w:tcPr>
                  <w:gridSpan w:val="4"/>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TPACKgenai</w:t>
                  </w:r>
                </w:p>
              </w:tc>
              <w:tc>
                <w:tcPr>
                  <w:gridSpan w:val="4"/>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Ethics</w:t>
                  </w:r>
                </w:p>
              </w:tc>
            </w:tr>
            <w:tr>
              <w:trPr>
                <w:trHeight w:val="577" w:hRule="auto"/>
                <w:tblHeader/>
              </w:trPr>
              header 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b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SE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t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p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b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SE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t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p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b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SE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t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p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b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SE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t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p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b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SE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t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p     </w:t>
                  </w:r>
                </w:p>
              </w:tc>
            </w:tr>
            <w:tr>
              <w:trPr>
                <w:trHeight w:val="617"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(Intercept)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3.71***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14.49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&lt;0.001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3.19***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15.01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&lt;0.001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3.70***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17.67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&lt;0.001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3.09***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13.99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&lt;0.001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2.98***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12.75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&lt;0.001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3.28***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14.45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&lt;0.001</w:t>
                  </w:r>
                </w:p>
              </w:tc>
            </w:tr>
            <w:tr>
              <w:trPr>
                <w:trHeight w:val="621"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intervention-c+STEM_language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0.007</w:t>
                  </w:r>
                </w:p>
              </w:tc>
            </w:tr>
            <w:tr>
              <w:trPr>
                <w:trHeight w:val="621"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intervention-STEM+language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0.518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0.994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0.666</w:t>
                  </w:r>
                </w:p>
              </w:tc>
            </w:tr>
            <w:tr>
              <w:trPr>
                <w:trHeight w:val="614"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time-pre+post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7.90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10.73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8.17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13.48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9.99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&lt;0.001</w:t>
                  </w:r>
                </w:p>
              </w:tc>
            </w:tr>
            <w:tr>
              <w:trPr>
                <w:trHeight w:val="619"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gender-m+f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0.051</w:t>
                  </w:r>
                </w:p>
              </w:tc>
            </w:tr>
            <w:tr>
              <w:trPr>
                <w:trHeight w:val="569"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semester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0.935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0.905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0.640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0.165</w:t>
                  </w:r>
                </w:p>
              </w:tc>
            </w:tr>
            <w:tr>
              <w:trPr>
                <w:trHeight w:val="577"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location-SGUE+LUE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0.133</w:t>
                  </w:r>
                </w:p>
              </w:tc>
            </w:tr>
            <w:tr>
              <w:trPr>
                <w:trHeight w:val="621"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intervention-c+STEM_language:time-pre+post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5.66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5.82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4.73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7.51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5.22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5.72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&lt;0.001</w:t>
                  </w:r>
                </w:p>
              </w:tc>
            </w:tr>
            <w:tr>
              <w:trPr>
                <w:trHeight w:val="621"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intervention-STEM+language:time-pre+post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0.615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0.627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0.228</w:t>
                  </w:r>
                </w:p>
              </w:tc>
            </w:tr>
            <w:tr>
              <w:trPr>
                <w:trHeight w:val="619"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SD (Intercept code)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r>
            <w:tr>
              <w:trPr>
                <w:trHeight w:val="618"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SD (Observations)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r>
            <w:tr>
              <w:trPr>
                <w:trHeight w:val="577"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Num.Obs.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r>
            <w:tr>
              <w:trPr>
                <w:trHeight w:val="617"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R2 Marg.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0.562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r>
            <w:tr>
              <w:trPr>
                <w:trHeight w:val="577"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R2 Cond.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0.676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0.664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0.611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0.615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0.607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r>
            <w:tr>
              <w:trPr>
                <w:trHeight w:val="577"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AIC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354.6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328.7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328.2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322.9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373.5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369.3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r>
            <w:tr>
              <w:trPr>
                <w:trHeight w:val="577"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BIC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387.8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362.0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361.4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356.1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406.7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402.6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r>
            <w:tr>
              <w:trPr>
                <w:trHeight w:val="577"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ICC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r>
            <w:tr>
              <w:trPr>
                <w:trHeight w:val="577" w:hRule="auto"/>
              </w:trPr>
              body18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RMSE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0.57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0.58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r>
          </w:tbl>
          <w:bookmarkEnd w:id="44"/>
        </w:tc>
      </w:tr>
    </w:tbl>
    <w:p>
      <w:pPr>
        <w:sectPr>
          <w:pgSz w:h="11906" w:w="16838" w:orient="landscape"/>
        </w:sectPr>
      </w:pPr>
    </w:p>
    <w:bookmarkStart w:id="45" w:name="intelligent-tk"/>
    <w:p>
      <w:pPr>
        <w:pStyle w:val="Heading3"/>
      </w:pPr>
      <w:r>
        <w:t xml:space="preserve">2.3.1 Intelligent TK</w:t>
      </w:r>
    </w:p>
    <w:p>
      <w:pPr>
        <w:pStyle w:val="FirstParagraph"/>
      </w:pPr>
      <w:r>
        <w:t xml:space="preserve">We found a significant main effect of treatment on students’ change in intelligent TK,</w:t>
      </w:r>
      <w:r>
        <w:t xml:space="preserve"> </w:t>
      </w:r>
      <m:oMath>
        <m:r>
          <m:t>F</m:t>
        </m:r>
        <m:d>
          <m:dPr>
            <m:begChr m:val="("/>
            <m:sepChr m:val=""/>
            <m:endChr m:val=")"/>
            <m:grow/>
          </m:dPr>
          <m:e>
            <m:r>
              <m:t>2</m:t>
            </m:r>
            <m:r>
              <m:rPr>
                <m:sty m:val="p"/>
              </m:rPr>
              <m:t>,</m:t>
            </m:r>
            <m:r>
              <m:t>73</m:t>
            </m:r>
          </m:e>
        </m:d>
        <m:r>
          <m:rPr>
            <m:sty m:val="p"/>
          </m:rPr>
          <m:t>=</m:t>
        </m:r>
        <m:r>
          <m:t>16.03</m:t>
        </m:r>
      </m:oMath>
      <w:r>
        <w:t xml:space="preserve">,</w:t>
      </w:r>
      <w:r>
        <w:t xml:space="preserve"> </w:t>
      </w:r>
      <m:oMath>
        <m:r>
          <m:t>p</m:t>
        </m:r>
        <m:r>
          <m:rPr>
            <m:sty m:val="p"/>
          </m:rPr>
          <m:t>&lt;</m:t>
        </m:r>
        <m:r>
          <m:t>.001</m:t>
        </m:r>
      </m:oMath>
      <w:r>
        <w:t xml:space="preserve">.</w:t>
      </w:r>
      <w:r>
        <w:t xml:space="preserve"> </w:t>
      </w:r>
      <w:r>
        <w:t xml:space="preserve">We found a significant higher increase in students’ intelligent TK in both intervention groups compared to the control group,</w:t>
      </w:r>
      <w:r>
        <w:t xml:space="preserve"> </w:t>
      </w:r>
      <m:oMath>
        <m:r>
          <m:t>b</m:t>
        </m:r>
        <m:r>
          <m:rPr>
            <m:sty m:val="p"/>
          </m:rPr>
          <m:t>=</m:t>
        </m:r>
        <m:r>
          <m:t>1.12</m:t>
        </m:r>
      </m:oMath>
      <w:r>
        <w:t xml:space="preserve">,</w:t>
      </w:r>
      <w:r>
        <w:t xml:space="preserve"> </w:t>
      </w:r>
      <m:oMath>
        <m:r>
          <m:t>S</m:t>
        </m:r>
        <m:r>
          <m:t>E</m:t>
        </m:r>
        <m:r>
          <m:rPr>
            <m:sty m:val="p"/>
          </m:rPr>
          <m:t>=</m:t>
        </m:r>
        <m:r>
          <m:t>0.20</m:t>
        </m:r>
      </m:oMath>
      <w:r>
        <w:t xml:space="preserve">,</w:t>
      </w:r>
      <w:r>
        <w:t xml:space="preserve"> </w:t>
      </w:r>
      <m:oMath>
        <m:r>
          <m:t>t</m:t>
        </m:r>
        <m:d>
          <m:dPr>
            <m:begChr m:val="("/>
            <m:sepChr m:val=""/>
            <m:endChr m:val=")"/>
            <m:grow/>
          </m:dPr>
          <m:e>
            <m:r>
              <m:t>73.00</m:t>
            </m:r>
          </m:e>
        </m:d>
        <m:r>
          <m:rPr>
            <m:sty m:val="p"/>
          </m:rPr>
          <m:t>=</m:t>
        </m:r>
        <m:r>
          <m:t>5.66</m:t>
        </m:r>
      </m:oMath>
      <w:r>
        <w:t xml:space="preserve">,</w:t>
      </w:r>
      <w:r>
        <w:t xml:space="preserve"> </w:t>
      </w:r>
      <m:oMath>
        <m:r>
          <m:t>p</m:t>
        </m:r>
        <m:r>
          <m:rPr>
            <m:sty m:val="p"/>
          </m:rPr>
          <m:t>&lt;</m:t>
        </m:r>
        <m:r>
          <m:t>.001</m:t>
        </m:r>
      </m:oMath>
      <w:r>
        <w:t xml:space="preserve">, while the change did not differ significantly between the two intervention groups,</w:t>
      </w:r>
      <w:r>
        <w:t xml:space="preserve"> </w:t>
      </w:r>
      <m:oMath>
        <m:r>
          <m:t>b</m:t>
        </m:r>
        <m:r>
          <m:rPr>
            <m:sty m:val="p"/>
          </m:rPr>
          <m:t>=</m:t>
        </m:r>
        <m:r>
          <m:t>0.15</m:t>
        </m:r>
      </m:oMath>
      <w:r>
        <w:t xml:space="preserve">,</w:t>
      </w:r>
      <w:r>
        <w:t xml:space="preserve"> </w:t>
      </w:r>
      <m:oMath>
        <m:r>
          <m:t>S</m:t>
        </m:r>
        <m:r>
          <m:t>E</m:t>
        </m:r>
        <m:r>
          <m:rPr>
            <m:sty m:val="p"/>
          </m:rPr>
          <m:t>=</m:t>
        </m:r>
        <m:r>
          <m:t>0.20</m:t>
        </m:r>
      </m:oMath>
      <w:r>
        <w:t xml:space="preserve">,</w:t>
      </w:r>
      <w:r>
        <w:t xml:space="preserve"> </w:t>
      </w:r>
      <m:oMath>
        <m:r>
          <m:t>t</m:t>
        </m:r>
        <m:d>
          <m:dPr>
            <m:begChr m:val="("/>
            <m:sepChr m:val=""/>
            <m:endChr m:val=")"/>
            <m:grow/>
          </m:dPr>
          <m:e>
            <m:r>
              <m:t>73.00</m:t>
            </m:r>
          </m:e>
        </m:d>
        <m:r>
          <m:rPr>
            <m:sty m:val="p"/>
          </m:rPr>
          <m:t>=</m:t>
        </m:r>
        <m:r>
          <m:t>0.72</m:t>
        </m:r>
      </m:oMath>
      <w:r>
        <w:t xml:space="preserve">,</w:t>
      </w:r>
      <w:r>
        <w:t xml:space="preserve"> </w:t>
      </w:r>
      <m:oMath>
        <m:r>
          <m:t>p</m:t>
        </m:r>
        <m:r>
          <m:rPr>
            <m:sty m:val="p"/>
          </m:rPr>
          <m:t>=</m:t>
        </m:r>
        <m:r>
          <m:t>.472</m:t>
        </m:r>
      </m:oMath>
      <w:r>
        <w:t xml:space="preserve">.</w:t>
      </w:r>
    </w:p>
    <w:bookmarkEnd w:id="45"/>
    <w:bookmarkStart w:id="46" w:name="intelligent-tpk"/>
    <w:p>
      <w:pPr>
        <w:pStyle w:val="Heading3"/>
      </w:pPr>
      <w:r>
        <w:t xml:space="preserve">2.3.2 Intelligent TPK</w:t>
      </w:r>
    </w:p>
    <w:p>
      <w:pPr>
        <w:pStyle w:val="FirstParagraph"/>
      </w:pPr>
      <w:r>
        <w:t xml:space="preserve">We found a significant main effect of treatment on students’ change in intelligent TCK,</w:t>
      </w:r>
      <w:r>
        <w:t xml:space="preserve"> </w:t>
      </w:r>
      <m:oMath>
        <m:r>
          <m:t>F</m:t>
        </m:r>
        <m:d>
          <m:dPr>
            <m:begChr m:val="("/>
            <m:sepChr m:val=""/>
            <m:endChr m:val=")"/>
            <m:grow/>
          </m:dPr>
          <m:e>
            <m:r>
              <m:t>2</m:t>
            </m:r>
            <m:r>
              <m:rPr>
                <m:sty m:val="p"/>
              </m:rPr>
              <m:t>,</m:t>
            </m:r>
            <m:r>
              <m:t>73</m:t>
            </m:r>
          </m:e>
        </m:d>
        <m:r>
          <m:rPr>
            <m:sty m:val="p"/>
          </m:rPr>
          <m:t>=</m:t>
        </m:r>
        <m:r>
          <m:t>17.03</m:t>
        </m:r>
      </m:oMath>
      <w:r>
        <w:t xml:space="preserve">,</w:t>
      </w:r>
      <w:r>
        <w:t xml:space="preserve"> </w:t>
      </w:r>
      <m:oMath>
        <m:r>
          <m:t>p</m:t>
        </m:r>
        <m:r>
          <m:rPr>
            <m:sty m:val="p"/>
          </m:rPr>
          <m:t>&lt;</m:t>
        </m:r>
        <m:r>
          <m:t>.001</m:t>
        </m:r>
      </m:oMath>
      <w:r>
        <w:t xml:space="preserve">.</w:t>
      </w:r>
      <w:r>
        <w:t xml:space="preserve"> </w:t>
      </w:r>
      <w:r>
        <w:t xml:space="preserve">We found a significant higher increase in students’ intelligent TCK in both intervention groups compared to the control group,</w:t>
      </w:r>
      <w:r>
        <w:t xml:space="preserve"> </w:t>
      </w:r>
      <m:oMath>
        <m:r>
          <m:t>b</m:t>
        </m:r>
        <m:r>
          <m:rPr>
            <m:sty m:val="p"/>
          </m:rPr>
          <m:t>=</m:t>
        </m:r>
        <m:r>
          <m:t>1.15</m:t>
        </m:r>
      </m:oMath>
      <w:r>
        <w:t xml:space="preserve">,</w:t>
      </w:r>
      <w:r>
        <w:t xml:space="preserve"> </w:t>
      </w:r>
      <m:oMath>
        <m:r>
          <m:t>S</m:t>
        </m:r>
        <m:r>
          <m:t>E</m:t>
        </m:r>
        <m:r>
          <m:rPr>
            <m:sty m:val="p"/>
          </m:rPr>
          <m:t>=</m:t>
        </m:r>
        <m:r>
          <m:t>0.20</m:t>
        </m:r>
      </m:oMath>
      <w:r>
        <w:t xml:space="preserve">,</w:t>
      </w:r>
      <w:r>
        <w:t xml:space="preserve"> </w:t>
      </w:r>
      <m:oMath>
        <m:r>
          <m:t>t</m:t>
        </m:r>
        <m:d>
          <m:dPr>
            <m:begChr m:val="("/>
            <m:sepChr m:val=""/>
            <m:endChr m:val=")"/>
            <m:grow/>
          </m:dPr>
          <m:e>
            <m:r>
              <m:t>73.00</m:t>
            </m:r>
          </m:e>
        </m:d>
        <m:r>
          <m:rPr>
            <m:sty m:val="p"/>
          </m:rPr>
          <m:t>=</m:t>
        </m:r>
        <m:r>
          <m:t>5.82</m:t>
        </m:r>
      </m:oMath>
      <w:r>
        <w:t xml:space="preserve">,</w:t>
      </w:r>
      <w:r>
        <w:t xml:space="preserve"> </w:t>
      </w:r>
      <m:oMath>
        <m:r>
          <m:t>p</m:t>
        </m:r>
        <m:r>
          <m:rPr>
            <m:sty m:val="p"/>
          </m:rPr>
          <m:t>&lt;</m:t>
        </m:r>
        <m:r>
          <m:t>.001</m:t>
        </m:r>
      </m:oMath>
      <w:r>
        <w:t xml:space="preserve">, whereas the two intervention groups did not differ significantly in their change,</w:t>
      </w:r>
      <w:r>
        <w:t xml:space="preserve"> </w:t>
      </w:r>
      <m:oMath>
        <m:r>
          <m:t>b</m:t>
        </m:r>
        <m:r>
          <m:rPr>
            <m:sty m:val="p"/>
          </m:rPr>
          <m:t>=</m:t>
        </m:r>
        <m:r>
          <m:t>0.19</m:t>
        </m:r>
      </m:oMath>
      <w:r>
        <w:t xml:space="preserve">,</w:t>
      </w:r>
      <w:r>
        <w:t xml:space="preserve"> </w:t>
      </w:r>
      <m:oMath>
        <m:r>
          <m:t>S</m:t>
        </m:r>
        <m:r>
          <m:t>E</m:t>
        </m:r>
        <m:r>
          <m:rPr>
            <m:sty m:val="p"/>
          </m:rPr>
          <m:t>=</m:t>
        </m:r>
        <m:r>
          <m:t>0.20</m:t>
        </m:r>
      </m:oMath>
      <w:r>
        <w:t xml:space="preserve">,</w:t>
      </w:r>
      <w:r>
        <w:t xml:space="preserve"> </w:t>
      </w:r>
      <m:oMath>
        <m:r>
          <m:t>t</m:t>
        </m:r>
        <m:d>
          <m:dPr>
            <m:begChr m:val="("/>
            <m:sepChr m:val=""/>
            <m:endChr m:val=")"/>
            <m:grow/>
          </m:dPr>
          <m:e>
            <m:r>
              <m:t>73.00</m:t>
            </m:r>
          </m:e>
        </m:d>
        <m:r>
          <m:rPr>
            <m:sty m:val="p"/>
          </m:rPr>
          <m:t>=</m:t>
        </m:r>
        <m:r>
          <m:t>0.94</m:t>
        </m:r>
      </m:oMath>
      <w:r>
        <w:t xml:space="preserve">,</w:t>
      </w:r>
      <w:r>
        <w:t xml:space="preserve"> </w:t>
      </w:r>
      <m:oMath>
        <m:r>
          <m:t>p</m:t>
        </m:r>
        <m:r>
          <m:rPr>
            <m:sty m:val="p"/>
          </m:rPr>
          <m:t>=</m:t>
        </m:r>
        <m:r>
          <m:t>.351</m:t>
        </m:r>
      </m:oMath>
      <w:r>
        <w:t xml:space="preserve">.</w:t>
      </w:r>
    </w:p>
    <w:bookmarkEnd w:id="46"/>
    <w:bookmarkStart w:id="47" w:name="intelligent-tck"/>
    <w:p>
      <w:pPr>
        <w:pStyle w:val="Heading3"/>
      </w:pPr>
      <w:r>
        <w:t xml:space="preserve">2.3.3 Intelligent TCK</w:t>
      </w:r>
    </w:p>
    <w:p>
      <w:pPr>
        <w:pStyle w:val="FirstParagraph"/>
      </w:pPr>
      <w:r>
        <w:t xml:space="preserve">We found a significant main effect of treatment on students’ change in intelligent TPK,</w:t>
      </w:r>
      <w:r>
        <w:t xml:space="preserve"> </w:t>
      </w:r>
      <m:oMath>
        <m:r>
          <m:t>F</m:t>
        </m:r>
        <m:d>
          <m:dPr>
            <m:begChr m:val="("/>
            <m:sepChr m:val=""/>
            <m:endChr m:val=")"/>
            <m:grow/>
          </m:dPr>
          <m:e>
            <m:r>
              <m:t>2</m:t>
            </m:r>
            <m:r>
              <m:rPr>
                <m:sty m:val="p"/>
              </m:rPr>
              <m:t>,</m:t>
            </m:r>
            <m:r>
              <m:t>73</m:t>
            </m:r>
          </m:e>
        </m:d>
        <m:r>
          <m:rPr>
            <m:sty m:val="p"/>
          </m:rPr>
          <m:t>=</m:t>
        </m:r>
        <m:r>
          <m:t>11.64</m:t>
        </m:r>
      </m:oMath>
      <w:r>
        <w:t xml:space="preserve">,</w:t>
      </w:r>
      <w:r>
        <w:t xml:space="preserve"> </w:t>
      </w:r>
      <m:oMath>
        <m:r>
          <m:t>p</m:t>
        </m:r>
        <m:r>
          <m:rPr>
            <m:sty m:val="p"/>
          </m:rPr>
          <m:t>&lt;</m:t>
        </m:r>
        <m:r>
          <m:t>.001</m:t>
        </m:r>
      </m:oMath>
      <w:r>
        <w:t xml:space="preserve">.</w:t>
      </w:r>
      <w:r>
        <w:t xml:space="preserve"> </w:t>
      </w:r>
      <w:r>
        <w:t xml:space="preserve">We found a significant higher increase in students’ intelligent TPK in both intervention groups compared to the control group,</w:t>
      </w:r>
      <w:r>
        <w:t xml:space="preserve"> </w:t>
      </w:r>
      <m:oMath>
        <m:r>
          <m:t>b</m:t>
        </m:r>
        <m:r>
          <m:rPr>
            <m:sty m:val="p"/>
          </m:rPr>
          <m:t>=</m:t>
        </m:r>
        <m:r>
          <m:t>0.95</m:t>
        </m:r>
      </m:oMath>
      <w:r>
        <w:t xml:space="preserve">,</w:t>
      </w:r>
      <w:r>
        <w:t xml:space="preserve"> </w:t>
      </w:r>
      <m:oMath>
        <m:r>
          <m:t>S</m:t>
        </m:r>
        <m:r>
          <m:t>E</m:t>
        </m:r>
        <m:r>
          <m:rPr>
            <m:sty m:val="p"/>
          </m:rPr>
          <m:t>=</m:t>
        </m:r>
        <m:r>
          <m:t>0.20</m:t>
        </m:r>
      </m:oMath>
      <w:r>
        <w:t xml:space="preserve">,</w:t>
      </w:r>
      <w:r>
        <w:t xml:space="preserve"> </w:t>
      </w:r>
      <m:oMath>
        <m:r>
          <m:t>t</m:t>
        </m:r>
        <m:d>
          <m:dPr>
            <m:begChr m:val="("/>
            <m:sepChr m:val=""/>
            <m:endChr m:val=")"/>
            <m:grow/>
          </m:dPr>
          <m:e>
            <m:r>
              <m:t>73.00</m:t>
            </m:r>
          </m:e>
        </m:d>
        <m:r>
          <m:rPr>
            <m:sty m:val="p"/>
          </m:rPr>
          <m:t>=</m:t>
        </m:r>
        <m:r>
          <m:t>4.73</m:t>
        </m:r>
      </m:oMath>
      <w:r>
        <w:t xml:space="preserve">,</w:t>
      </w:r>
      <w:r>
        <w:t xml:space="preserve"> </w:t>
      </w:r>
      <m:oMath>
        <m:r>
          <m:t>p</m:t>
        </m:r>
        <m:r>
          <m:rPr>
            <m:sty m:val="p"/>
          </m:rPr>
          <m:t>&lt;</m:t>
        </m:r>
        <m:r>
          <m:t>.001</m:t>
        </m:r>
      </m:oMath>
      <w:r>
        <w:t xml:space="preserve">, but the change did not differ significantly between the two intervention groups,</w:t>
      </w:r>
      <w:r>
        <w:t xml:space="preserve"> </w:t>
      </w:r>
      <m:oMath>
        <m:r>
          <m:t>b</m:t>
        </m:r>
        <m:r>
          <m:rPr>
            <m:sty m:val="p"/>
          </m:rPr>
          <m:t>=</m:t>
        </m:r>
        <m:r>
          <m:rPr>
            <m:sty m:val="p"/>
          </m:rPr>
          <m:t>−</m:t>
        </m:r>
        <m:r>
          <m:t>0.10</m:t>
        </m:r>
      </m:oMath>
      <w:r>
        <w:t xml:space="preserve">,</w:t>
      </w:r>
      <w:r>
        <w:t xml:space="preserve"> </w:t>
      </w:r>
      <m:oMath>
        <m:r>
          <m:t>S</m:t>
        </m:r>
        <m:r>
          <m:t>E</m:t>
        </m:r>
        <m:r>
          <m:rPr>
            <m:sty m:val="p"/>
          </m:rPr>
          <m:t>=</m:t>
        </m:r>
        <m:r>
          <m:t>0.20</m:t>
        </m:r>
      </m:oMath>
      <w:r>
        <w:t xml:space="preserve">,</w:t>
      </w:r>
      <w:r>
        <w:t xml:space="preserve"> </w:t>
      </w:r>
      <m:oMath>
        <m:r>
          <m:t>t</m:t>
        </m:r>
        <m:d>
          <m:dPr>
            <m:begChr m:val="("/>
            <m:sepChr m:val=""/>
            <m:endChr m:val=")"/>
            <m:grow/>
          </m:dPr>
          <m:e>
            <m:r>
              <m:t>73.00</m:t>
            </m:r>
          </m:e>
        </m:d>
        <m:r>
          <m:rPr>
            <m:sty m:val="p"/>
          </m:rPr>
          <m:t>=</m:t>
        </m:r>
        <m:r>
          <m:rPr>
            <m:sty m:val="p"/>
          </m:rPr>
          <m:t>−</m:t>
        </m:r>
        <m:r>
          <m:t>0.51</m:t>
        </m:r>
      </m:oMath>
      <w:r>
        <w:t xml:space="preserve">,</w:t>
      </w:r>
      <w:r>
        <w:t xml:space="preserve"> </w:t>
      </w:r>
      <m:oMath>
        <m:r>
          <m:t>p</m:t>
        </m:r>
        <m:r>
          <m:rPr>
            <m:sty m:val="p"/>
          </m:rPr>
          <m:t>=</m:t>
        </m:r>
        <m:r>
          <m:t>.615</m:t>
        </m:r>
      </m:oMath>
      <w:r>
        <w:t xml:space="preserve">.</w:t>
      </w:r>
    </w:p>
    <w:bookmarkEnd w:id="47"/>
    <w:bookmarkStart w:id="48" w:name="intelligent-tpack"/>
    <w:p>
      <w:pPr>
        <w:pStyle w:val="Heading3"/>
      </w:pPr>
      <w:r>
        <w:t xml:space="preserve">2.3.4 Intelligent TPACK</w:t>
      </w:r>
    </w:p>
    <w:p>
      <w:pPr>
        <w:pStyle w:val="FirstParagraph"/>
      </w:pPr>
      <w:r>
        <w:t xml:space="preserve">For both subscales of the Intelligent TPACK, that is, students’ general TPACK and their perceived competence of applying</w:t>
      </w:r>
      <w:r>
        <w:t xml:space="preserve"> </w:t>
      </w:r>
      <w:r>
        <w:rPr>
          <w:i/>
          <w:iCs/>
        </w:rPr>
        <w:t xml:space="preserve">generative AI</w:t>
      </w:r>
      <w:r>
        <w:t xml:space="preserve"> </w:t>
      </w:r>
      <w:r>
        <w:t xml:space="preserve">in teaching their subject, we found a significant main effect of treatment on students’ change on the respective subscales,</w:t>
      </w:r>
      <w:r>
        <w:t xml:space="preserve"> </w:t>
      </w:r>
      <w:r>
        <w:rPr>
          <w:i/>
          <w:iCs/>
        </w:rPr>
        <w:t xml:space="preserve">TPACK</w:t>
      </w:r>
      <w:r>
        <w:t xml:space="preserve">:</w:t>
      </w:r>
      <w:r>
        <w:t xml:space="preserve"> </w:t>
      </w:r>
      <m:oMath>
        <m:r>
          <m:t>F</m:t>
        </m:r>
        <m:d>
          <m:dPr>
            <m:begChr m:val="("/>
            <m:sepChr m:val=""/>
            <m:endChr m:val=")"/>
            <m:grow/>
          </m:dPr>
          <m:e>
            <m:r>
              <m:t>2</m:t>
            </m:r>
            <m:r>
              <m:rPr>
                <m:sty m:val="p"/>
              </m:rPr>
              <m:t>,</m:t>
            </m:r>
            <m:r>
              <m:t>73</m:t>
            </m:r>
          </m:e>
        </m:d>
        <m:r>
          <m:rPr>
            <m:sty m:val="p"/>
          </m:rPr>
          <m:t>=</m:t>
        </m:r>
        <m:r>
          <m:t>28.24</m:t>
        </m:r>
      </m:oMath>
      <w:r>
        <w:t xml:space="preserve">,</w:t>
      </w:r>
      <w:r>
        <w:t xml:space="preserve"> </w:t>
      </w:r>
      <m:oMath>
        <m:r>
          <m:t>p</m:t>
        </m:r>
        <m:r>
          <m:rPr>
            <m:sty m:val="p"/>
          </m:rPr>
          <m:t>&lt;</m:t>
        </m:r>
        <m:r>
          <m:t>.001</m:t>
        </m:r>
      </m:oMath>
      <w:r>
        <w:t xml:space="preserve">, and</w:t>
      </w:r>
      <w:r>
        <w:t xml:space="preserve"> </w:t>
      </w:r>
      <w:r>
        <w:rPr>
          <w:i/>
          <w:iCs/>
        </w:rPr>
        <w:t xml:space="preserve">TPACK related to generative AI</w:t>
      </w:r>
      <w:r>
        <w:t xml:space="preserve">:</w:t>
      </w:r>
      <w:r>
        <w:t xml:space="preserve"> </w:t>
      </w:r>
      <m:oMath>
        <m:r>
          <m:t>F</m:t>
        </m:r>
        <m:d>
          <m:dPr>
            <m:begChr m:val="("/>
            <m:sepChr m:val=""/>
            <m:endChr m:val=")"/>
            <m:grow/>
          </m:dPr>
          <m:e>
            <m:r>
              <m:t>2</m:t>
            </m:r>
            <m:r>
              <m:rPr>
                <m:sty m:val="p"/>
              </m:rPr>
              <m:t>,</m:t>
            </m:r>
            <m:r>
              <m:t>73</m:t>
            </m:r>
          </m:e>
        </m:d>
        <m:r>
          <m:rPr>
            <m:sty m:val="p"/>
          </m:rPr>
          <m:t>=</m:t>
        </m:r>
        <m:r>
          <m:t>14.00</m:t>
        </m:r>
      </m:oMath>
      <w:r>
        <w:t xml:space="preserve">,</w:t>
      </w:r>
      <w:r>
        <w:t xml:space="preserve"> </w:t>
      </w:r>
      <m:oMath>
        <m:r>
          <m:t>p</m:t>
        </m:r>
        <m:r>
          <m:rPr>
            <m:sty m:val="p"/>
          </m:rPr>
          <m:t>&lt;</m:t>
        </m:r>
        <m:r>
          <m:t>.001</m:t>
        </m:r>
      </m:oMath>
      <w:r>
        <w:t xml:space="preserve">.</w:t>
      </w:r>
    </w:p>
    <w:p>
      <w:pPr>
        <w:pStyle w:val="BodyText"/>
      </w:pPr>
      <w:r>
        <w:t xml:space="preserve">For both subscales, we found the same pattern that students’ change in Intelligent TPACK differed significantly between the control group and the two intervention groups, with students in the intervention groups having a significantly higher increase than the control group, whereas the intervention groups did not differ significantly from each other. That is, for</w:t>
      </w:r>
      <w:r>
        <w:t xml:space="preserve"> </w:t>
      </w:r>
      <w:r>
        <w:rPr>
          <w:i/>
          <w:iCs/>
        </w:rPr>
        <w:t xml:space="preserve">TPACK</w:t>
      </w:r>
      <w:r>
        <w:t xml:space="preserve">:</w:t>
      </w:r>
      <w:r>
        <w:t xml:space="preserve"> </w:t>
      </w:r>
      <m:oMath>
        <m:r>
          <m:t>b</m:t>
        </m:r>
        <m:r>
          <m:rPr>
            <m:sty m:val="p"/>
          </m:rPr>
          <m:t>=</m:t>
        </m:r>
        <m:r>
          <m:t>1.38</m:t>
        </m:r>
      </m:oMath>
      <w:r>
        <w:t xml:space="preserve">,</w:t>
      </w:r>
      <w:r>
        <w:t xml:space="preserve"> </w:t>
      </w:r>
      <m:oMath>
        <m:r>
          <m:t>S</m:t>
        </m:r>
        <m:r>
          <m:t>E</m:t>
        </m:r>
        <m:r>
          <m:rPr>
            <m:sty m:val="p"/>
          </m:rPr>
          <m:t>=</m:t>
        </m:r>
        <m:r>
          <m:t>0.18</m:t>
        </m:r>
      </m:oMath>
      <w:r>
        <w:t xml:space="preserve">,</w:t>
      </w:r>
      <w:r>
        <w:t xml:space="preserve"> </w:t>
      </w:r>
      <m:oMath>
        <m:r>
          <m:t>t</m:t>
        </m:r>
        <m:d>
          <m:dPr>
            <m:begChr m:val="("/>
            <m:sepChr m:val=""/>
            <m:endChr m:val=")"/>
            <m:grow/>
          </m:dPr>
          <m:e>
            <m:r>
              <m:t>73.00</m:t>
            </m:r>
          </m:e>
        </m:d>
        <m:r>
          <m:rPr>
            <m:sty m:val="p"/>
          </m:rPr>
          <m:t>=</m:t>
        </m:r>
        <m:r>
          <m:t>7.51</m:t>
        </m:r>
      </m:oMath>
      <w:r>
        <w:t xml:space="preserve">,</w:t>
      </w:r>
      <w:r>
        <w:t xml:space="preserve"> </w:t>
      </w:r>
      <m:oMath>
        <m:r>
          <m:t>p</m:t>
        </m:r>
        <m:r>
          <m:rPr>
            <m:sty m:val="p"/>
          </m:rPr>
          <m:t>&lt;</m:t>
        </m:r>
        <m:r>
          <m:t>.001</m:t>
        </m:r>
      </m:oMath>
      <w:r>
        <w:t xml:space="preserve"> </w:t>
      </w:r>
      <w:r>
        <w:t xml:space="preserve">and</w:t>
      </w:r>
      <w:r>
        <w:t xml:space="preserve"> </w:t>
      </w:r>
      <m:oMath>
        <m:r>
          <m:t>b</m:t>
        </m:r>
        <m:r>
          <m:rPr>
            <m:sty m:val="p"/>
          </m:rPr>
          <m:t>=</m:t>
        </m:r>
        <m:r>
          <m:t>0.09</m:t>
        </m:r>
      </m:oMath>
      <w:r>
        <w:t xml:space="preserve">,</w:t>
      </w:r>
      <w:r>
        <w:t xml:space="preserve"> </w:t>
      </w:r>
      <m:oMath>
        <m:r>
          <m:t>S</m:t>
        </m:r>
        <m:r>
          <m:t>E</m:t>
        </m:r>
        <m:r>
          <m:rPr>
            <m:sty m:val="p"/>
          </m:rPr>
          <m:t>=</m:t>
        </m:r>
        <m:r>
          <m:t>0.19</m:t>
        </m:r>
      </m:oMath>
      <w:r>
        <w:t xml:space="preserve">,</w:t>
      </w:r>
      <w:r>
        <w:t xml:space="preserve"> </w:t>
      </w:r>
      <m:oMath>
        <m:r>
          <m:t>t</m:t>
        </m:r>
        <m:d>
          <m:dPr>
            <m:begChr m:val="("/>
            <m:sepChr m:val=""/>
            <m:endChr m:val=")"/>
            <m:grow/>
          </m:dPr>
          <m:e>
            <m:r>
              <m:t>73.00</m:t>
            </m:r>
          </m:e>
        </m:d>
        <m:r>
          <m:rPr>
            <m:sty m:val="p"/>
          </m:rPr>
          <m:t>=</m:t>
        </m:r>
        <m:r>
          <m:t>0.49</m:t>
        </m:r>
      </m:oMath>
      <w:r>
        <w:t xml:space="preserve">,</w:t>
      </w:r>
      <w:r>
        <w:t xml:space="preserve"> </w:t>
      </w:r>
      <m:oMath>
        <m:r>
          <m:t>p</m:t>
        </m:r>
        <m:r>
          <m:rPr>
            <m:sty m:val="p"/>
          </m:rPr>
          <m:t>=</m:t>
        </m:r>
        <m:r>
          <m:t>.627</m:t>
        </m:r>
      </m:oMath>
      <w:r>
        <w:t xml:space="preserve">; and</w:t>
      </w:r>
      <w:r>
        <w:t xml:space="preserve"> </w:t>
      </w:r>
      <w:r>
        <w:rPr>
          <w:i/>
          <w:iCs/>
        </w:rPr>
        <w:t xml:space="preserve">TPACK related to generative AI</w:t>
      </w:r>
      <w:r>
        <w:t xml:space="preserve">,</w:t>
      </w:r>
      <w:r>
        <w:t xml:space="preserve"> </w:t>
      </w:r>
      <m:oMath>
        <m:r>
          <m:t>b</m:t>
        </m:r>
        <m:r>
          <m:rPr>
            <m:sty m:val="p"/>
          </m:rPr>
          <m:t>=</m:t>
        </m:r>
        <m:r>
          <m:t>1.28</m:t>
        </m:r>
      </m:oMath>
      <w:r>
        <w:t xml:space="preserve">,</w:t>
      </w:r>
      <w:r>
        <w:t xml:space="preserve"> </w:t>
      </w:r>
      <m:oMath>
        <m:r>
          <m:t>S</m:t>
        </m:r>
        <m:r>
          <m:t>E</m:t>
        </m:r>
        <m:r>
          <m:rPr>
            <m:sty m:val="p"/>
          </m:rPr>
          <m:t>=</m:t>
        </m:r>
        <m:r>
          <m:t>0.25</m:t>
        </m:r>
      </m:oMath>
      <w:r>
        <w:t xml:space="preserve">,</w:t>
      </w:r>
      <w:r>
        <w:t xml:space="preserve"> </w:t>
      </w:r>
      <m:oMath>
        <m:r>
          <m:t>t</m:t>
        </m:r>
        <m:d>
          <m:dPr>
            <m:begChr m:val="("/>
            <m:sepChr m:val=""/>
            <m:endChr m:val=")"/>
            <m:grow/>
          </m:dPr>
          <m:e>
            <m:r>
              <m:t>73.00</m:t>
            </m:r>
          </m:e>
        </m:d>
        <m:r>
          <m:rPr>
            <m:sty m:val="p"/>
          </m:rPr>
          <m:t>=</m:t>
        </m:r>
        <m:r>
          <m:t>5.22</m:t>
        </m:r>
      </m:oMath>
      <w:r>
        <w:t xml:space="preserve">,</w:t>
      </w:r>
      <w:r>
        <w:t xml:space="preserve"> </w:t>
      </w:r>
      <m:oMath>
        <m:r>
          <m:t>p</m:t>
        </m:r>
        <m:r>
          <m:rPr>
            <m:sty m:val="p"/>
          </m:rPr>
          <m:t>&lt;</m:t>
        </m:r>
        <m:r>
          <m:t>.001</m:t>
        </m:r>
      </m:oMath>
      <w:r>
        <w:t xml:space="preserve"> </w:t>
      </w:r>
      <w:r>
        <w:t xml:space="preserve">and</w:t>
      </w:r>
      <w:r>
        <w:t xml:space="preserve"> </w:t>
      </w:r>
      <m:oMath>
        <m:r>
          <m:t>b</m:t>
        </m:r>
        <m:r>
          <m:rPr>
            <m:sty m:val="p"/>
          </m:rPr>
          <m:t>=</m:t>
        </m:r>
        <m:r>
          <m:t>0.09</m:t>
        </m:r>
      </m:oMath>
      <w:r>
        <w:t xml:space="preserve">,</w:t>
      </w:r>
      <w:r>
        <w:t xml:space="preserve"> </w:t>
      </w:r>
      <m:oMath>
        <m:r>
          <m:t>S</m:t>
        </m:r>
        <m:r>
          <m:t>E</m:t>
        </m:r>
        <m:r>
          <m:rPr>
            <m:sty m:val="p"/>
          </m:rPr>
          <m:t>=</m:t>
        </m:r>
        <m:r>
          <m:t>0.19</m:t>
        </m:r>
      </m:oMath>
      <w:r>
        <w:t xml:space="preserve">,</w:t>
      </w:r>
      <w:r>
        <w:t xml:space="preserve"> </w:t>
      </w:r>
      <m:oMath>
        <m:r>
          <m:t>t</m:t>
        </m:r>
        <m:d>
          <m:dPr>
            <m:begChr m:val="("/>
            <m:sepChr m:val=""/>
            <m:endChr m:val=")"/>
            <m:grow/>
          </m:dPr>
          <m:e>
            <m:r>
              <m:t>73.00</m:t>
            </m:r>
          </m:e>
        </m:d>
        <m:r>
          <m:rPr>
            <m:sty m:val="p"/>
          </m:rPr>
          <m:t>=</m:t>
        </m:r>
        <m:r>
          <m:t>0.49</m:t>
        </m:r>
      </m:oMath>
      <w:r>
        <w:t xml:space="preserve">,</w:t>
      </w:r>
      <w:r>
        <w:t xml:space="preserve"> </w:t>
      </w:r>
      <m:oMath>
        <m:r>
          <m:t>p</m:t>
        </m:r>
        <m:r>
          <m:rPr>
            <m:sty m:val="p"/>
          </m:rPr>
          <m:t>=</m:t>
        </m:r>
        <m:r>
          <m:t>.627</m:t>
        </m:r>
      </m:oMath>
      <w:r>
        <w:t xml:space="preserve">.</w:t>
      </w:r>
    </w:p>
    <w:bookmarkEnd w:id="48"/>
    <w:bookmarkStart w:id="49" w:name="ai-ethics"/>
    <w:p>
      <w:pPr>
        <w:pStyle w:val="Heading3"/>
      </w:pPr>
      <w:r>
        <w:t xml:space="preserve">2.3.5 AI Ethics</w:t>
      </w:r>
    </w:p>
    <w:p>
      <w:pPr>
        <w:pStyle w:val="FirstParagraph"/>
      </w:pPr>
      <w:r>
        <w:t xml:space="preserve">For ethics related to the use of AI in education, we found a significant main effect of treatment on students’ change in</w:t>
      </w:r>
      <w:r>
        <w:t xml:space="preserve"> </w:t>
      </w:r>
      <w:r>
        <w:rPr>
          <w:b/>
          <w:bCs/>
        </w:rPr>
        <w:t xml:space="preserve">XYZ</w:t>
      </w:r>
      <w:r>
        <w:t xml:space="preserve">,</w:t>
      </w:r>
      <w:r>
        <w:t xml:space="preserve"> </w:t>
      </w:r>
      <m:oMath>
        <m:r>
          <m:t>F</m:t>
        </m:r>
        <m:d>
          <m:dPr>
            <m:begChr m:val="("/>
            <m:sepChr m:val=""/>
            <m:endChr m:val=")"/>
            <m:grow/>
          </m:dPr>
          <m:e>
            <m:r>
              <m:t>2</m:t>
            </m:r>
            <m:r>
              <m:rPr>
                <m:sty m:val="p"/>
              </m:rPr>
              <m:t>,</m:t>
            </m:r>
            <m:r>
              <m:t>73</m:t>
            </m:r>
          </m:e>
        </m:d>
        <m:r>
          <m:rPr>
            <m:sty m:val="p"/>
          </m:rPr>
          <m:t>=</m:t>
        </m:r>
        <m:r>
          <m:t>16.55</m:t>
        </m:r>
      </m:oMath>
      <w:r>
        <w:t xml:space="preserve">,</w:t>
      </w:r>
      <w:r>
        <w:t xml:space="preserve"> </w:t>
      </w:r>
      <m:oMath>
        <m:r>
          <m:t>p</m:t>
        </m:r>
        <m:r>
          <m:rPr>
            <m:sty m:val="p"/>
          </m:rPr>
          <m:t>&lt;</m:t>
        </m:r>
        <m:r>
          <m:t>.001</m:t>
        </m:r>
      </m:oMath>
      <w:r>
        <w:t xml:space="preserve">. We found a significant higher increase in students’</w:t>
      </w:r>
      <w:r>
        <w:t xml:space="preserve"> </w:t>
      </w:r>
      <w:r>
        <w:rPr>
          <w:b/>
          <w:bCs/>
        </w:rPr>
        <w:t xml:space="preserve">XYZ</w:t>
      </w:r>
      <w:r>
        <w:t xml:space="preserve"> </w:t>
      </w:r>
      <w:r>
        <w:t xml:space="preserve">in the intervention groups compared to the control group,</w:t>
      </w:r>
      <w:r>
        <w:t xml:space="preserve"> </w:t>
      </w:r>
      <m:oMath>
        <m:r>
          <m:t>b</m:t>
        </m:r>
        <m:r>
          <m:rPr>
            <m:sty m:val="p"/>
          </m:rPr>
          <m:t>=</m:t>
        </m:r>
        <m:r>
          <m:t>1.41</m:t>
        </m:r>
      </m:oMath>
      <w:r>
        <w:t xml:space="preserve">,</w:t>
      </w:r>
      <w:r>
        <w:t xml:space="preserve"> </w:t>
      </w:r>
      <m:oMath>
        <m:r>
          <m:t>S</m:t>
        </m:r>
        <m:r>
          <m:t>E</m:t>
        </m:r>
        <m:r>
          <m:rPr>
            <m:sty m:val="p"/>
          </m:rPr>
          <m:t>=</m:t>
        </m:r>
        <m:r>
          <m:t>0.25</m:t>
        </m:r>
      </m:oMath>
      <w:r>
        <w:t xml:space="preserve">,</w:t>
      </w:r>
      <w:r>
        <w:t xml:space="preserve"> </w:t>
      </w:r>
      <m:oMath>
        <m:r>
          <m:t>t</m:t>
        </m:r>
        <m:d>
          <m:dPr>
            <m:begChr m:val="("/>
            <m:sepChr m:val=""/>
            <m:endChr m:val=")"/>
            <m:grow/>
          </m:dPr>
          <m:e>
            <m:r>
              <m:t>73.00</m:t>
            </m:r>
          </m:e>
        </m:d>
        <m:r>
          <m:rPr>
            <m:sty m:val="p"/>
          </m:rPr>
          <m:t>=</m:t>
        </m:r>
        <m:r>
          <m:t>5.72</m:t>
        </m:r>
      </m:oMath>
      <w:r>
        <w:t xml:space="preserve">,</w:t>
      </w:r>
      <w:r>
        <w:t xml:space="preserve"> </w:t>
      </w:r>
      <m:oMath>
        <m:r>
          <m:t>p</m:t>
        </m:r>
        <m:r>
          <m:rPr>
            <m:sty m:val="p"/>
          </m:rPr>
          <m:t>&lt;</m:t>
        </m:r>
        <m:r>
          <m:t>.001</m:t>
        </m:r>
      </m:oMath>
      <w:r>
        <w:t xml:space="preserve">, whereas the change did not differ significantly between the two intervention groups,</w:t>
      </w:r>
      <w:r>
        <w:t xml:space="preserve"> </w:t>
      </w:r>
      <m:oMath>
        <m:r>
          <m:t>b</m:t>
        </m:r>
        <m:r>
          <m:rPr>
            <m:sty m:val="p"/>
          </m:rPr>
          <m:t>=</m:t>
        </m:r>
        <m:r>
          <m:t>0.30</m:t>
        </m:r>
      </m:oMath>
      <w:r>
        <w:t xml:space="preserve">,</w:t>
      </w:r>
      <w:r>
        <w:t xml:space="preserve"> </w:t>
      </w:r>
      <m:oMath>
        <m:r>
          <m:t>S</m:t>
        </m:r>
        <m:r>
          <m:t>E</m:t>
        </m:r>
        <m:r>
          <m:rPr>
            <m:sty m:val="p"/>
          </m:rPr>
          <m:t>=</m:t>
        </m:r>
        <m:r>
          <m:t>0.25</m:t>
        </m:r>
      </m:oMath>
      <w:r>
        <w:t xml:space="preserve">,</w:t>
      </w:r>
      <w:r>
        <w:t xml:space="preserve"> </w:t>
      </w:r>
      <m:oMath>
        <m:r>
          <m:t>t</m:t>
        </m:r>
        <m:d>
          <m:dPr>
            <m:begChr m:val="("/>
            <m:sepChr m:val=""/>
            <m:endChr m:val=")"/>
            <m:grow/>
          </m:dPr>
          <m:e>
            <m:r>
              <m:t>73.00</m:t>
            </m:r>
          </m:e>
        </m:d>
        <m:r>
          <m:rPr>
            <m:sty m:val="p"/>
          </m:rPr>
          <m:t>=</m:t>
        </m:r>
        <m:r>
          <m:t>1.22</m:t>
        </m:r>
      </m:oMath>
      <w:r>
        <w:t xml:space="preserve">,</w:t>
      </w:r>
      <w:r>
        <w:t xml:space="preserve"> </w:t>
      </w:r>
      <m:oMath>
        <m:r>
          <m:t>p</m:t>
        </m:r>
        <m:r>
          <m:rPr>
            <m:sty m:val="p"/>
          </m:rPr>
          <m:t>=</m:t>
        </m:r>
        <m:r>
          <m:t>.228</m:t>
        </m:r>
      </m:oMath>
      <w:r>
        <w:t xml:space="preserve">.</w:t>
      </w:r>
    </w:p>
    <w:bookmarkEnd w:id="49"/>
    <w:bookmarkEnd w:id="50"/>
    <w:bookmarkStart w:id="58" w:name="perceived-usefulness"/>
    <w:p>
      <w:pPr>
        <w:pStyle w:val="Heading2"/>
      </w:pPr>
      <w:r>
        <w:t xml:space="preserve">2.4 Perceived Usefulness</w:t>
      </w:r>
    </w:p>
    <w:p>
      <w:pPr>
        <w:pStyle w:val="FirstParagraph"/>
      </w:pPr>
      <w:r>
        <w:t xml:space="preserve">Descriptive results of students’ perceived usefulness of XYZ are listed in</w:t>
      </w:r>
      <w:r>
        <w:t xml:space="preserve"> </w:t>
      </w:r>
      <w:hyperlink w:anchor="fig-pu">
        <w:r>
          <w:rPr>
            <w:rStyle w:val="Hyperlink"/>
          </w:rPr>
          <w:t xml:space="preserve">Figure 3</w:t>
        </w:r>
      </w:hyperlink>
      <w:r>
        <w:t xml:space="preserve">, while the results of the linear mixed-effects models for perceived usefulness are presented in</w:t>
      </w:r>
      <w:r>
        <w:t xml:space="preserve"> </w:t>
      </w:r>
      <w:hyperlink w:anchor="tbl-lmer-pu-summary">
        <w:r>
          <w:rPr>
            <w:rStyle w:val="Hyperlink"/>
          </w:rPr>
          <w:t xml:space="preserve">Table 4</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4" w:name="fig-pu"/>
          <w:p>
            <w:pPr>
              <w:pStyle w:val="Compact"/>
              <w:jc w:val="center"/>
            </w:pPr>
            <w:r>
              <w:drawing>
                <wp:inline>
                  <wp:extent cx="5334000" cy="4513384"/>
                  <wp:effectExtent b="0" l="0" r="0" t="0"/>
                  <wp:docPr descr="" title="" id="52" name="Picture"/>
                  <a:graphic>
                    <a:graphicData uri="http://schemas.openxmlformats.org/drawingml/2006/picture">
                      <pic:pic>
                        <pic:nvPicPr>
                          <pic:cNvPr descr="WoLKE-CAEO-2025-Report_files/figure-docx/fig-pu-1.pdf" id="53" name="Picture"/>
                          <pic:cNvPicPr>
                            <a:picLocks noChangeArrowheads="1" noChangeAspect="1"/>
                          </pic:cNvPicPr>
                        </pic:nvPicPr>
                        <pic:blipFill>
                          <a:blip r:embed="rId51"/>
                          <a:stretch>
                            <a:fillRect/>
                          </a:stretch>
                        </pic:blipFill>
                        <pic:spPr bwMode="auto">
                          <a:xfrm>
                            <a:off x="0" y="0"/>
                            <a:ext cx="5334000" cy="4513384"/>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Descriptive Statistics of Students’ Perceived Usefulness Ratings Over Time by Treatment Group.</w:t>
            </w:r>
          </w:p>
          <w:bookmarkEnd w:id="54"/>
        </w:tc>
      </w:tr>
    </w:tbl>
    <w:p>
      <w:pPr>
        <w:sectPr/>
      </w:pPr>
    </w:p>
    <w:tbl>
      <w:tblPr>
        <w:tblStyle w:val="Table"/>
        <w:tblW w:type="pct" w:w="5000"/>
        <w:tblLayout w:type="fixed"/>
        <w:tblLook w:firstRow="0" w:lastRow="0" w:firstColumn="0" w:lastColumn="0" w:noHBand="0" w:noVBand="0" w:val="0000"/>
      </w:tblPr>
      <w:tblGrid>
        <w:gridCol w:w="7920"/>
      </w:tblGrid>
      <w:tr>
        <w:tc>
          <w:tcPr/>
          <w:bookmarkStart w:id="55" w:name="tbl-lmer-pu-summary"/>
          <w:p>
            <w:pPr>
              <w:jc w:val="center"/>
            </w:pPr>
            <w:pPr>
              <w:jc w:val="start"/>
              <w:spacing w:before="200"/>
              <w:pStyle w:val="ImageCaption"/>
            </w:pPr>
            <w:r>
              <w:t xml:space="preserve">Table 4: Summary of Linear Mixed-Effects Models for Perceived Usefulness.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73"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 </w:t>
                  </w:r>
                </w:p>
              </w:tc>
              <w:tc>
                <w:tcPr>
                  <w:gridSpan w:val="4"/>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PU</w:t>
                  </w:r>
                </w:p>
              </w:tc>
              <w:tc>
                <w:tcPr>
                  <w:gridSpan w:val="4"/>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PU1</w:t>
                  </w:r>
                </w:p>
              </w:tc>
              <w:tc>
                <w:tcPr>
                  <w:gridSpan w:val="4"/>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PU2</w:t>
                  </w:r>
                </w:p>
              </w:tc>
              <w:tc>
                <w:tcPr>
                  <w:gridSpan w:val="4"/>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PU3</w:t>
                  </w:r>
                </w:p>
              </w:tc>
              <w:tc>
                <w:tcPr>
                  <w:gridSpan w:val="4"/>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PU4</w:t>
                  </w:r>
                </w:p>
              </w:tc>
            </w:tr>
            <w:tr>
              <w:trPr>
                <w:trHeight w:val="577" w:hRule="auto"/>
                <w:tblHeader/>
              </w:trPr>
              header 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b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SE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t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p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b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SE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t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p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b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SE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t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p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b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SE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t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p    </w:t>
                  </w:r>
                </w:p>
              </w:tc>
            </w:tr>
            <w:tr>
              <w:trPr>
                <w:trHeight w:val="617"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(Intercept)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3.83***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16.24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&lt;0.001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3.28***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11.03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&lt;0.001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4.25***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16.48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&lt;0.001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3.79***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12.69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&lt;0.001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4.01***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13.79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&lt;0.001</w:t>
                  </w:r>
                </w:p>
              </w:tc>
            </w:tr>
            <w:tr>
              <w:trPr>
                <w:trHeight w:val="621"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intervention-c+STEM_language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0.977</w:t>
                  </w:r>
                </w:p>
              </w:tc>
            </w:tr>
            <w:tr>
              <w:trPr>
                <w:trHeight w:val="621"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intervention-STEM+language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0.965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0.207</w:t>
                  </w:r>
                </w:p>
              </w:tc>
            </w:tr>
            <w:tr>
              <w:trPr>
                <w:trHeight w:val="614"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time-pre+post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0.570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0.957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0.543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0.574</w:t>
                  </w:r>
                </w:p>
              </w:tc>
            </w:tr>
            <w:tr>
              <w:trPr>
                <w:trHeight w:val="619"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gender-m+f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0.128</w:t>
                  </w:r>
                </w:p>
              </w:tc>
            </w:tr>
            <w:tr>
              <w:trPr>
                <w:trHeight w:val="573"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semester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0.658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0.256</w:t>
                  </w:r>
                </w:p>
              </w:tc>
            </w:tr>
            <w:tr>
              <w:trPr>
                <w:trHeight w:val="577"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location-SGUE+LUE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0.529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0.987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0.529</w:t>
                  </w:r>
                </w:p>
              </w:tc>
            </w:tr>
            <w:tr>
              <w:trPr>
                <w:trHeight w:val="621"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intervention-c+STEM_language:time-pre+post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0.708</w:t>
                  </w:r>
                </w:p>
              </w:tc>
            </w:tr>
            <w:tr>
              <w:trPr>
                <w:trHeight w:val="621"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intervention-STEM+language:time-pre+post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0.037</w:t>
                  </w:r>
                </w:p>
              </w:tc>
            </w:tr>
            <w:tr>
              <w:trPr>
                <w:trHeight w:val="619"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SD (Intercept code)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r>
            <w:tr>
              <w:trPr>
                <w:trHeight w:val="618"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SD (Observations)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r>
            <w:tr>
              <w:trPr>
                <w:trHeight w:val="577"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Num.Obs.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r>
            <w:tr>
              <w:trPr>
                <w:trHeight w:val="617"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R2 Marg.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r>
            <w:tr>
              <w:trPr>
                <w:trHeight w:val="577"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R2 Cond.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0.617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0.540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0.603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r>
            <w:tr>
              <w:trPr>
                <w:trHeight w:val="577"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AIC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321.5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427.4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411.5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406.3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380.3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r>
            <w:tr>
              <w:trPr>
                <w:trHeight w:val="577"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BIC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354.8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460.6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444.8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439.6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413.6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r>
            <w:tr>
              <w:trPr>
                <w:trHeight w:val="577"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ICC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r>
            <w:tr>
              <w:trPr>
                <w:trHeight w:val="577" w:hRule="auto"/>
              </w:trPr>
              body18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RMSE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0.63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0.69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0.52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r>
          </w:tbl>
          <w:bookmarkEnd w:id="55"/>
        </w:tc>
      </w:tr>
    </w:tbl>
    <w:p>
      <w:pPr>
        <w:sectPr>
          <w:pgSz w:h="11906" w:w="16838" w:orient="landscape"/>
        </w:sectPr>
      </w:pPr>
    </w:p>
    <w:p>
      <w:pPr>
        <w:pStyle w:val="BodyText"/>
      </w:pPr>
      <w:r>
        <w:t xml:space="preserve">For the overall perceived usefulness, we did not find a significant main effect of treatment on students’ change in perceived usefulness,</w:t>
      </w:r>
      <w:r>
        <w:t xml:space="preserve"> </w:t>
      </w:r>
      <m:oMath>
        <m:r>
          <m:t>F</m:t>
        </m:r>
        <m:d>
          <m:dPr>
            <m:begChr m:val="("/>
            <m:sepChr m:val=""/>
            <m:endChr m:val=")"/>
            <m:grow/>
          </m:dPr>
          <m:e>
            <m:r>
              <m:t>2</m:t>
            </m:r>
            <m:r>
              <m:rPr>
                <m:sty m:val="p"/>
              </m:rPr>
              <m:t>,</m:t>
            </m:r>
            <m:r>
              <m:t>73</m:t>
            </m:r>
          </m:e>
        </m:d>
        <m:r>
          <m:rPr>
            <m:sty m:val="p"/>
          </m:rPr>
          <m:t>=</m:t>
        </m:r>
        <m:r>
          <m:t>1.74</m:t>
        </m:r>
      </m:oMath>
      <w:r>
        <w:t xml:space="preserve">,</w:t>
      </w:r>
      <w:r>
        <w:t xml:space="preserve"> </w:t>
      </w:r>
      <m:oMath>
        <m:r>
          <m:t>p</m:t>
        </m:r>
        <m:r>
          <m:rPr>
            <m:sty m:val="p"/>
          </m:rPr>
          <m:t>=</m:t>
        </m:r>
        <m:r>
          <m:t>.182</m:t>
        </m:r>
      </m:oMath>
      <w:r>
        <w:t xml:space="preserve">. Neither did the control group’s change differ significantly from both intervention groups,</w:t>
      </w:r>
      <w:r>
        <w:t xml:space="preserve"> </w:t>
      </w:r>
      <m:oMath>
        <m:r>
          <m:t>b</m:t>
        </m:r>
        <m:r>
          <m:rPr>
            <m:sty m:val="p"/>
          </m:rPr>
          <m:t>=</m:t>
        </m:r>
        <m:r>
          <m:t>0.28</m:t>
        </m:r>
      </m:oMath>
      <w:r>
        <w:t xml:space="preserve">,</w:t>
      </w:r>
      <w:r>
        <w:t xml:space="preserve"> </w:t>
      </w:r>
      <m:oMath>
        <m:r>
          <m:t>S</m:t>
        </m:r>
        <m:r>
          <m:t>E</m:t>
        </m:r>
        <m:r>
          <m:rPr>
            <m:sty m:val="p"/>
          </m:rPr>
          <m:t>=</m:t>
        </m:r>
        <m:r>
          <m:t>0.17</m:t>
        </m:r>
      </m:oMath>
      <w:r>
        <w:t xml:space="preserve">,</w:t>
      </w:r>
      <w:r>
        <w:t xml:space="preserve"> </w:t>
      </w:r>
      <m:oMath>
        <m:r>
          <m:t>t</m:t>
        </m:r>
        <m:d>
          <m:dPr>
            <m:begChr m:val="("/>
            <m:sepChr m:val=""/>
            <m:endChr m:val=")"/>
            <m:grow/>
          </m:dPr>
          <m:e>
            <m:r>
              <m:t>73.00</m:t>
            </m:r>
          </m:e>
        </m:d>
        <m:r>
          <m:rPr>
            <m:sty m:val="p"/>
          </m:rPr>
          <m:t>=</m:t>
        </m:r>
        <m:r>
          <m:t>1.65</m:t>
        </m:r>
      </m:oMath>
      <w:r>
        <w:t xml:space="preserve">,</w:t>
      </w:r>
      <w:r>
        <w:t xml:space="preserve"> </w:t>
      </w:r>
      <m:oMath>
        <m:r>
          <m:t>p</m:t>
        </m:r>
        <m:r>
          <m:rPr>
            <m:sty m:val="p"/>
          </m:rPr>
          <m:t>=</m:t>
        </m:r>
        <m:r>
          <m:t>.103</m:t>
        </m:r>
      </m:oMath>
      <w:r>
        <w:t xml:space="preserve">, nor did the change differ significantly between the two intervention groups,</w:t>
      </w:r>
      <w:r>
        <w:t xml:space="preserve"> </w:t>
      </w:r>
      <m:oMath>
        <m:r>
          <m:t>b</m:t>
        </m:r>
        <m:r>
          <m:rPr>
            <m:sty m:val="p"/>
          </m:rPr>
          <m:t>=</m:t>
        </m:r>
        <m:r>
          <m:rPr>
            <m:sty m:val="p"/>
          </m:rPr>
          <m:t>−</m:t>
        </m:r>
        <m:r>
          <m:t>0.12</m:t>
        </m:r>
      </m:oMath>
      <w:r>
        <w:t xml:space="preserve">,</w:t>
      </w:r>
      <w:r>
        <w:t xml:space="preserve"> </w:t>
      </w:r>
      <m:oMath>
        <m:r>
          <m:t>S</m:t>
        </m:r>
        <m:r>
          <m:t>E</m:t>
        </m:r>
        <m:r>
          <m:rPr>
            <m:sty m:val="p"/>
          </m:rPr>
          <m:t>=</m:t>
        </m:r>
        <m:r>
          <m:t>0.17</m:t>
        </m:r>
      </m:oMath>
      <w:r>
        <w:t xml:space="preserve">,</w:t>
      </w:r>
      <w:r>
        <w:t xml:space="preserve"> </w:t>
      </w:r>
      <m:oMath>
        <m:r>
          <m:t>t</m:t>
        </m:r>
        <m:d>
          <m:dPr>
            <m:begChr m:val="("/>
            <m:sepChr m:val=""/>
            <m:endChr m:val=")"/>
            <m:grow/>
          </m:dPr>
          <m:e>
            <m:r>
              <m:t>73.00</m:t>
            </m:r>
          </m:e>
        </m:d>
        <m:r>
          <m:rPr>
            <m:sty m:val="p"/>
          </m:rPr>
          <m:t>=</m:t>
        </m:r>
        <m:r>
          <m:rPr>
            <m:sty m:val="p"/>
          </m:rPr>
          <m:t>−</m:t>
        </m:r>
        <m:r>
          <m:t>0.71</m:t>
        </m:r>
      </m:oMath>
      <w:r>
        <w:t xml:space="preserve">,</w:t>
      </w:r>
      <w:r>
        <w:t xml:space="preserve"> </w:t>
      </w:r>
      <m:oMath>
        <m:r>
          <m:t>p</m:t>
        </m:r>
        <m:r>
          <m:rPr>
            <m:sty m:val="p"/>
          </m:rPr>
          <m:t>=</m:t>
        </m:r>
        <m:r>
          <m:t>.482</m:t>
        </m:r>
      </m:oMath>
      <w:r>
        <w:t xml:space="preserve">.</w:t>
      </w:r>
    </w:p>
    <w:p>
      <w:pPr>
        <w:pStyle w:val="BodyText"/>
      </w:pPr>
      <w:r>
        <w:t xml:space="preserve">However, when investigating the individual items of perceived usefulness, we found that students in the intervention groups showed marginally significant higher increases compared to the control group,</w:t>
      </w:r>
      <w:r>
        <w:t xml:space="preserve"> </w:t>
      </w:r>
      <m:oMath>
        <m:r>
          <m:t>b</m:t>
        </m:r>
        <m:r>
          <m:rPr>
            <m:sty m:val="p"/>
          </m:rPr>
          <m:t>=</m:t>
        </m:r>
        <m:r>
          <m:t>0.48</m:t>
        </m:r>
      </m:oMath>
      <w:r>
        <w:t xml:space="preserve">,</w:t>
      </w:r>
      <w:r>
        <w:t xml:space="preserve"> </w:t>
      </w:r>
      <m:oMath>
        <m:r>
          <m:t>S</m:t>
        </m:r>
        <m:r>
          <m:t>E</m:t>
        </m:r>
        <m:r>
          <m:rPr>
            <m:sty m:val="p"/>
          </m:rPr>
          <m:t>=</m:t>
        </m:r>
        <m:r>
          <m:t>0.28</m:t>
        </m:r>
      </m:oMath>
      <w:r>
        <w:t xml:space="preserve">,</w:t>
      </w:r>
      <w:r>
        <w:t xml:space="preserve"> </w:t>
      </w:r>
      <m:oMath>
        <m:r>
          <m:t>t</m:t>
        </m:r>
        <m:d>
          <m:dPr>
            <m:begChr m:val="("/>
            <m:sepChr m:val=""/>
            <m:endChr m:val=")"/>
            <m:grow/>
          </m:dPr>
          <m:e>
            <m:r>
              <m:t>73.00</m:t>
            </m:r>
          </m:e>
        </m:d>
        <m:r>
          <m:rPr>
            <m:sty m:val="p"/>
          </m:rPr>
          <m:t>=</m:t>
        </m:r>
        <m:r>
          <m:t>1.71</m:t>
        </m:r>
      </m:oMath>
      <w:r>
        <w:t xml:space="preserve">,</w:t>
      </w:r>
      <w:r>
        <w:t xml:space="preserve"> </w:t>
      </w:r>
      <m:oMath>
        <m:r>
          <m:t>p</m:t>
        </m:r>
        <m:r>
          <m:rPr>
            <m:sty m:val="p"/>
          </m:rPr>
          <m:t>=</m:t>
        </m:r>
        <m:r>
          <m:t>.091</m:t>
        </m:r>
      </m:oMath>
      <w:r>
        <w:t xml:space="preserve"> </w:t>
      </w:r>
      <w:r>
        <w:t xml:space="preserve">and</w:t>
      </w:r>
      <w:r>
        <w:t xml:space="preserve"> </w:t>
      </w:r>
      <m:oMath>
        <m:r>
          <m:t>b</m:t>
        </m:r>
        <m:r>
          <m:rPr>
            <m:sty m:val="p"/>
          </m:rPr>
          <m:t>=</m:t>
        </m:r>
        <m:r>
          <m:t>0.54</m:t>
        </m:r>
      </m:oMath>
      <w:r>
        <w:t xml:space="preserve">,</w:t>
      </w:r>
      <w:r>
        <w:t xml:space="preserve"> </w:t>
      </w:r>
      <m:oMath>
        <m:r>
          <m:t>S</m:t>
        </m:r>
        <m:r>
          <m:t>E</m:t>
        </m:r>
        <m:r>
          <m:rPr>
            <m:sty m:val="p"/>
          </m:rPr>
          <m:t>=</m:t>
        </m:r>
        <m:r>
          <m:t>0.29</m:t>
        </m:r>
      </m:oMath>
      <w:r>
        <w:t xml:space="preserve">,</w:t>
      </w:r>
      <w:r>
        <w:t xml:space="preserve"> </w:t>
      </w:r>
      <m:oMath>
        <m:r>
          <m:t>t</m:t>
        </m:r>
        <m:d>
          <m:dPr>
            <m:begChr m:val="("/>
            <m:sepChr m:val=""/>
            <m:endChr m:val=")"/>
            <m:grow/>
          </m:dPr>
          <m:e>
            <m:r>
              <m:t>73.00</m:t>
            </m:r>
          </m:e>
        </m:d>
        <m:r>
          <m:rPr>
            <m:sty m:val="p"/>
          </m:rPr>
          <m:t>=</m:t>
        </m:r>
        <m:r>
          <m:t>1.87</m:t>
        </m:r>
      </m:oMath>
      <w:r>
        <w:t xml:space="preserve">,</w:t>
      </w:r>
      <w:r>
        <w:t xml:space="preserve"> </w:t>
      </w:r>
      <m:oMath>
        <m:r>
          <m:t>p</m:t>
        </m:r>
        <m:r>
          <m:rPr>
            <m:sty m:val="p"/>
          </m:rPr>
          <m:t>=</m:t>
        </m:r>
        <m:r>
          <m:t>.065</m:t>
        </m:r>
      </m:oMath>
      <w:r>
        <w:t xml:space="preserve">, whereas the change did not differ significantly between the two intervention groups,</w:t>
      </w:r>
      <w:r>
        <w:t xml:space="preserve"> </w:t>
      </w:r>
      <m:oMath>
        <m:r>
          <m:t>b</m:t>
        </m:r>
        <m:r>
          <m:rPr>
            <m:sty m:val="p"/>
          </m:rPr>
          <m:t>=</m:t>
        </m:r>
        <m:r>
          <m:rPr>
            <m:sty m:val="p"/>
          </m:rPr>
          <m:t>−</m:t>
        </m:r>
        <m:r>
          <m:t>0.08</m:t>
        </m:r>
      </m:oMath>
      <w:r>
        <w:t xml:space="preserve">,</w:t>
      </w:r>
      <w:r>
        <w:t xml:space="preserve"> </w:t>
      </w:r>
      <m:oMath>
        <m:r>
          <m:t>S</m:t>
        </m:r>
        <m:r>
          <m:t>E</m:t>
        </m:r>
        <m:r>
          <m:rPr>
            <m:sty m:val="p"/>
          </m:rPr>
          <m:t>=</m:t>
        </m:r>
        <m:r>
          <m:t>0.29</m:t>
        </m:r>
      </m:oMath>
      <w:r>
        <w:t xml:space="preserve">,</w:t>
      </w:r>
      <w:r>
        <w:t xml:space="preserve"> </w:t>
      </w:r>
      <m:oMath>
        <m:r>
          <m:t>t</m:t>
        </m:r>
        <m:d>
          <m:dPr>
            <m:begChr m:val="("/>
            <m:sepChr m:val=""/>
            <m:endChr m:val=")"/>
            <m:grow/>
          </m:dPr>
          <m:e>
            <m:r>
              <m:t>73.00</m:t>
            </m:r>
          </m:e>
        </m:d>
        <m:r>
          <m:rPr>
            <m:sty m:val="p"/>
          </m:rPr>
          <m:t>=</m:t>
        </m:r>
        <m:r>
          <m:rPr>
            <m:sty m:val="p"/>
          </m:rPr>
          <m:t>−</m:t>
        </m:r>
        <m:r>
          <m:t>0.26</m:t>
        </m:r>
      </m:oMath>
      <w:r>
        <w:t xml:space="preserve">,</w:t>
      </w:r>
      <w:r>
        <w:t xml:space="preserve"> </w:t>
      </w:r>
      <m:oMath>
        <m:r>
          <m:t>p</m:t>
        </m:r>
        <m:r>
          <m:rPr>
            <m:sty m:val="p"/>
          </m:rPr>
          <m:t>=</m:t>
        </m:r>
        <m:r>
          <m:t>.793</m:t>
        </m:r>
      </m:oMath>
      <w:r>
        <w:t xml:space="preserve"> </w:t>
      </w:r>
      <w:r>
        <w:t xml:space="preserve">and</w:t>
      </w:r>
      <w:r>
        <w:t xml:space="preserve"> </w:t>
      </w:r>
      <m:oMath>
        <m:r>
          <m:t>b</m:t>
        </m:r>
        <m:r>
          <m:rPr>
            <m:sty m:val="p"/>
          </m:rPr>
          <m:t>=</m:t>
        </m:r>
        <m:r>
          <m:t>0.37</m:t>
        </m:r>
      </m:oMath>
      <w:r>
        <w:t xml:space="preserve">,</w:t>
      </w:r>
      <w:r>
        <w:t xml:space="preserve"> </w:t>
      </w:r>
      <m:oMath>
        <m:r>
          <m:t>S</m:t>
        </m:r>
        <m:r>
          <m:t>E</m:t>
        </m:r>
        <m:r>
          <m:rPr>
            <m:sty m:val="p"/>
          </m:rPr>
          <m:t>=</m:t>
        </m:r>
        <m:r>
          <m:t>0.30</m:t>
        </m:r>
      </m:oMath>
      <w:r>
        <w:t xml:space="preserve">,</w:t>
      </w:r>
      <w:r>
        <w:t xml:space="preserve"> </w:t>
      </w:r>
      <m:oMath>
        <m:r>
          <m:t>t</m:t>
        </m:r>
        <m:d>
          <m:dPr>
            <m:begChr m:val="("/>
            <m:sepChr m:val=""/>
            <m:endChr m:val=")"/>
            <m:grow/>
          </m:dPr>
          <m:e>
            <m:r>
              <m:t>73.00</m:t>
            </m:r>
          </m:e>
        </m:d>
        <m:r>
          <m:rPr>
            <m:sty m:val="p"/>
          </m:rPr>
          <m:t>=</m:t>
        </m:r>
        <m:r>
          <m:t>1.27</m:t>
        </m:r>
      </m:oMath>
      <w:r>
        <w:t xml:space="preserve">,</w:t>
      </w:r>
      <w:r>
        <w:t xml:space="preserve"> </w:t>
      </w:r>
      <m:oMath>
        <m:r>
          <m:t>p</m:t>
        </m:r>
        <m:r>
          <m:rPr>
            <m:sty m:val="p"/>
          </m:rPr>
          <m:t>=</m:t>
        </m:r>
        <m:r>
          <m:t>.208</m:t>
        </m:r>
      </m:oMath>
      <w:r>
        <w:t xml:space="preserve">, respectively, whereas we found no treatment effect for</w:t>
      </w:r>
      <w:r>
        <w:t xml:space="preserve"> </w:t>
      </w:r>
      <w:r>
        <w:rPr>
          <w:i/>
          <w:iCs/>
        </w:rPr>
        <w:t xml:space="preserve">PU3</w:t>
      </w:r>
      <w:r>
        <w:t xml:space="preserve"> </w:t>
      </w:r>
      <w:r>
        <w:t xml:space="preserve">and</w:t>
      </w:r>
      <w:r>
        <w:t xml:space="preserve"> </w:t>
      </w:r>
      <w:r>
        <w:rPr>
          <w:i/>
          <w:iCs/>
        </w:rPr>
        <w:t xml:space="preserve">PU4</w:t>
      </w:r>
      <w:r>
        <w:t xml:space="preserve">, see</w:t>
      </w:r>
      <w:r>
        <w:t xml:space="preserve"> </w:t>
      </w:r>
      <w:hyperlink w:anchor="tbl-lmer-pu-summary">
        <w:r>
          <w:rPr>
            <w:rStyle w:val="Hyperlink"/>
          </w:rPr>
          <w:t xml:space="preserve">Table 4</w:t>
        </w:r>
      </w:hyperlink>
      <w:r>
        <w:t xml:space="preserve">.</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6" name="Picture"/>
                  <a:graphic>
                    <a:graphicData uri="http://schemas.openxmlformats.org/drawingml/2006/picture">
                      <pic:pic>
                        <pic:nvPicPr>
                          <pic:cNvPr descr="/Applications/quarto/share/formats/docx/note.png" id="57"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wir können für uns noch die Kontraste für PU anschauen. Hier ist interessant, dass für PU1 stem &gt; control und PU2 language &gt; control</w:t>
            </w:r>
          </w:p>
        </w:tc>
      </w:tr>
    </w:tbl>
    <w:bookmarkEnd w:id="58"/>
    <w:bookmarkEnd w:id="59"/>
    <w:bookmarkStart w:id="60" w:name="discussion"/>
    <w:p>
      <w:pPr>
        <w:pStyle w:val="Heading1"/>
      </w:pPr>
      <w:r>
        <w:t xml:space="preserve">3. Discussion</w:t>
      </w:r>
    </w:p>
    <w:bookmarkEnd w:id="60"/>
    <w:bookmarkStart w:id="103" w:name="playground"/>
    <w:p>
      <w:pPr>
        <w:pStyle w:val="Heading1"/>
      </w:pPr>
      <w:r>
        <w:t xml:space="preserve">4. Playground</w:t>
      </w:r>
    </w:p>
    <w:p>
      <w:pPr>
        <w:pStyle w:val="SourceCode"/>
      </w:pPr>
      <w:r>
        <w:rPr>
          <w:rStyle w:val="VerbatimChar"/>
        </w:rPr>
        <w:t xml:space="preserve"># A tibble: 0 × 5</w:t>
      </w:r>
      <w:r>
        <w:br/>
      </w:r>
      <w:r>
        <w:rPr>
          <w:rStyle w:val="VerbatimChar"/>
        </w:rPr>
        <w:t xml:space="preserve"># ℹ 5 variables: code &lt;chr&gt;, variable &lt;chr&gt;, pre &lt;chr&gt;, post &lt;chr&gt;, match &lt;lgl&gt;</w:t>
      </w:r>
    </w:p>
    <w:p>
      <w:pPr>
        <w:sectPr/>
      </w:pP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80"/>
        <w:gridCol w:w="1080"/>
        <w:gridCol w:w="1080"/>
        <w:gridCol w:w="1080"/>
        <w:gridCol w:w="1080"/>
        <w:gridCol w:w="1080"/>
        <w:gridCol w:w="1080"/>
        <w:gridCol w:w="1080"/>
        <w:gridCol w:w="1080"/>
        <w:gridCol w:w="1080"/>
        <w:gridCol w:w="1080"/>
        <w:gridCol w:w="1080"/>
        <w:gridCol w:w="1080"/>
        <w:gridCol w:w="1080"/>
        <w:gridCol w:w="1080"/>
        <w:gridCol w:w="1080"/>
        <w:gridCol w:w="1080"/>
        <w:gridCol w:w="1080"/>
        <w:gridCol w:w="1080"/>
        <w:gridCol w:w="1080"/>
        <w:gridCol w:w="1080"/>
        <w:gridCol w:w="1080"/>
        <w:gridCol w:w="1080"/>
        <w:gridCol w:w="1080"/>
        <w:gridCol w:w="1080"/>
        <w:gridCol w:w="1080"/>
        <w:gridCol w:w="1080"/>
        <w:gridCol w:w="1080"/>
        <w:gridCol w:w="1080"/>
        <w:gridCol w:w="1080"/>
        <w:gridCol w:w="1080"/>
        <w:gridCol w:w="1080"/>
        <w:gridCol w:w="1080"/>
        <w:gridCol w:w="1080"/>
        <w:gridCol w:w="1080"/>
        <w:gridCol w:w="1080"/>
        <w:gridCol w:w="1080"/>
        <w:gridCol w:w="1080"/>
        <w:gridCol w:w="1080"/>
        <w:gridCol w:w="1080"/>
        <w:gridCol w:w="1080"/>
        <w:gridCol w:w="1080"/>
        <w:gridCol w:w="1080"/>
        <w:gridCol w:w="1080"/>
        <w:gridCol w:w="1080"/>
        <w:gridCol w:w="1080"/>
        <w:gridCol w:w="1080"/>
        <w:gridCol w:w="1080"/>
        <w:gridCol w:w="1080"/>
        <w:gridCol w:w="1080"/>
        <w:gridCol w:w="1080"/>
        <w:gridCol w:w="1080"/>
        <w:gridCol w:w="1080"/>
        <w:gridCol w:w="1080"/>
        <w:gridCol w:w="1080"/>
        <w:gridCol w:w="1080"/>
        <w:gridCol w:w="1080"/>
      </w:tblGrid>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t>
            </w:r>
          </w:p>
        </w:tc>
        <w:tc>
          <w:tcPr>
            <w:gridSpan w:val="4"/>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AILIT</w:t>
            </w:r>
          </w:p>
        </w:tc>
        <w:tc>
          <w:tcPr>
            <w:gridSpan w:val="4"/>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AILITWolke</w:t>
            </w:r>
          </w:p>
        </w:tc>
        <w:tc>
          <w:tcPr>
            <w:gridSpan w:val="4"/>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AILITShort</w:t>
            </w:r>
          </w:p>
        </w:tc>
        <w:tc>
          <w:tcPr>
            <w:gridSpan w:val="4"/>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TK</w:t>
            </w:r>
          </w:p>
        </w:tc>
        <w:tc>
          <w:tcPr>
            <w:gridSpan w:val="4"/>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TPK</w:t>
            </w:r>
          </w:p>
        </w:tc>
        <w:tc>
          <w:tcPr>
            <w:gridSpan w:val="4"/>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TCK</w:t>
            </w:r>
          </w:p>
        </w:tc>
        <w:tc>
          <w:tcPr>
            <w:gridSpan w:val="4"/>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TPACKce</w:t>
            </w:r>
          </w:p>
        </w:tc>
        <w:tc>
          <w:tcPr>
            <w:gridSpan w:val="4"/>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TPACKgenai</w:t>
            </w:r>
          </w:p>
        </w:tc>
        <w:tc>
          <w:tcPr>
            <w:gridSpan w:val="4"/>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Ethics</w:t>
            </w:r>
          </w:p>
        </w:tc>
        <w:tc>
          <w:tcPr>
            <w:gridSpan w:val="4"/>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PU</w:t>
            </w:r>
          </w:p>
        </w:tc>
        <w:tc>
          <w:tcPr>
            <w:gridSpan w:val="4"/>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PU1</w:t>
            </w:r>
          </w:p>
        </w:tc>
        <w:tc>
          <w:tcPr>
            <w:gridSpan w:val="4"/>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PU2</w:t>
            </w:r>
          </w:p>
        </w:tc>
        <w:tc>
          <w:tcPr>
            <w:gridSpan w:val="4"/>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PU3</w:t>
            </w:r>
          </w:p>
        </w:tc>
        <w:tc>
          <w:tcPr>
            <w:gridSpan w:val="4"/>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PU4</w:t>
            </w:r>
          </w:p>
        </w:tc>
      </w:tr>
      <w:tr>
        <w:trPr>
          <w:trHeight w:val="360" w:hRule="auto"/>
          <w:tblHeader/>
        </w:trPr>
        header 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b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t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p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b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t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p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b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t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p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b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t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p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b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t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p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b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t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p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b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t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p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b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t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p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b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t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p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b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t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p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b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t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p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b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t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p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b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t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p             </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(Intercept)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14.18***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0.53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26.94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&lt;0.001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4.98***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18.40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&lt;0.001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5.21***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21.51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&lt;0.001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3.81***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33.88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&lt;0.001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3.19***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33.75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&lt;0.001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3.58***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39.27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&lt;0.001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3.13***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32.31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&lt;0.001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2.98***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28.99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&lt;0.001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3.08***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30.60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&lt;0.001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4.04***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38.35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&lt;0.001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3.76***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27.85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&lt;0.001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4.13***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36.00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&lt;0.001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4.02***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30.21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&lt;0.001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4.25***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32.76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&lt;0.001</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intervention-c+STEM_language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0.947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0.669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0.848</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intervention-STEM+language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0.766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0.526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0.975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0.490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0.941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0.527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0.284</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time-pre+post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5.14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7.90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10.73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8.17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13.48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9.99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0.570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0.957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0.543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0.574</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gender-m+f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0.831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0.980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0.116</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location-SGUE+LUE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0.754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0.986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0.516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0.868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0.418</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studentsmaster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0.765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0.894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0.405</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intervention-c+STEM_language:time-pre+post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5.66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5.82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4.73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7.51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5.22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5.72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0.467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0.708</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intervention-STEM+language:time-pre+post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0.467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0.541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0.590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0.472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0.615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0.627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0.719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0.482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0.793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0.037</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SD (Intercept code)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SD (Observations)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Num.Obs.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R2 Marg.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0.476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0.433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0.569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0.496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0.497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R2 Cond.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0.572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0.448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0.439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0.676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0.664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0.611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0.759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0.615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0.607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0.617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0.422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0.540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0.603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r>
      <w:tr>
        <w:trPr>
          <w:trHeight w:val="36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AIC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792.1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631.5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605.2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349.5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325.5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322.1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318.1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368.7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366.0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319.0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427.3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408.6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403.5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377.8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r>
      <w:tr>
        <w:trPr>
          <w:trHeight w:val="360"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BIC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825.3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664.7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638.5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382.7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358.8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355.4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351.4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401.9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399.2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352.3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460.5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441.9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436.8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411.0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r>
      <w:tr>
        <w:trPr>
          <w:trHeight w:val="360"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ICC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r>
      <w:tr>
        <w:trPr>
          <w:trHeight w:val="360" w:hRule="auto"/>
        </w:trPr>
        body18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RMSE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1.98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1.32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1.24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0.42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0.44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0.45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0.40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0.57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0.58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0.63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0.69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0.52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0.43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r>
    </w:tbl>
    <w:p>
      <w:pPr>
        <w:sectPr>
          <w:pgSz w:h="11906" w:w="16838" w:orient="landscape"/>
        </w:sectPr>
      </w:pPr>
    </w:p>
    <w:bookmarkStart w:id="102" w:name="refs"/>
    <w:bookmarkStart w:id="62" w:name="ref-arel-bundock2022"/>
    <w:p>
      <w:pPr>
        <w:pStyle w:val="Bibliography"/>
      </w:pPr>
      <w:r>
        <w:t xml:space="preserve">Arel-Bundock, V. (2022).</w:t>
      </w:r>
      <w:r>
        <w:t xml:space="preserve"> </w:t>
      </w:r>
      <w:r>
        <w:t xml:space="preserve">modelsummary</w:t>
      </w:r>
      <w:r>
        <w:t xml:space="preserve">: Data and model summaries in</w:t>
      </w:r>
      <w:r>
        <w:t xml:space="preserve"> </w:t>
      </w:r>
      <w:r>
        <w:t xml:space="preserve">R</w:t>
      </w:r>
      <w:r>
        <w:t xml:space="preserve">.</w:t>
      </w:r>
      <w:r>
        <w:t xml:space="preserve"> </w:t>
      </w:r>
      <w:r>
        <w:rPr>
          <w:i/>
          <w:iCs/>
        </w:rPr>
        <w:t xml:space="preserve">Journal of Statistical Software</w:t>
      </w:r>
      <w:r>
        <w:t xml:space="preserve">,</w:t>
      </w:r>
      <w:r>
        <w:t xml:space="preserve"> </w:t>
      </w:r>
      <w:r>
        <w:rPr>
          <w:i/>
          <w:iCs/>
        </w:rPr>
        <w:t xml:space="preserve">103</w:t>
      </w:r>
      <w:r>
        <w:t xml:space="preserve">(1), 1–23.</w:t>
      </w:r>
      <w:r>
        <w:t xml:space="preserve"> </w:t>
      </w:r>
      <w:hyperlink r:id="rId61">
        <w:r>
          <w:rPr>
            <w:rStyle w:val="Hyperlink"/>
          </w:rPr>
          <w:t xml:space="preserve">https://doi.org/10.18637/jss.v103.i01</w:t>
        </w:r>
      </w:hyperlink>
    </w:p>
    <w:bookmarkEnd w:id="62"/>
    <w:bookmarkStart w:id="63" w:name="ref-authorsinprep"/>
    <w:p>
      <w:pPr>
        <w:pStyle w:val="Bibliography"/>
      </w:pPr>
      <w:r>
        <w:t xml:space="preserve">Authors. (in prep.).</w:t>
      </w:r>
      <w:r>
        <w:t xml:space="preserve"> </w:t>
      </w:r>
      <w:r>
        <w:rPr>
          <w:i/>
          <w:iCs/>
        </w:rPr>
        <w:t xml:space="preserve">Development and</w:t>
      </w:r>
      <w:r>
        <w:rPr>
          <w:i/>
          <w:iCs/>
        </w:rPr>
        <w:t xml:space="preserve"> </w:t>
      </w:r>
      <w:r>
        <w:rPr>
          <w:i/>
          <w:iCs/>
        </w:rPr>
        <w:t xml:space="preserve">Validation</w:t>
      </w:r>
      <w:r>
        <w:rPr>
          <w:i/>
          <w:iCs/>
        </w:rPr>
        <w:t xml:space="preserve"> </w:t>
      </w:r>
      <w:r>
        <w:rPr>
          <w:i/>
          <w:iCs/>
        </w:rPr>
        <w:t xml:space="preserve">of a</w:t>
      </w:r>
      <w:r>
        <w:rPr>
          <w:i/>
          <w:iCs/>
        </w:rPr>
        <w:t xml:space="preserve"> </w:t>
      </w:r>
      <w:r>
        <w:rPr>
          <w:i/>
          <w:iCs/>
        </w:rPr>
        <w:t xml:space="preserve">German Version</w:t>
      </w:r>
      <w:r>
        <w:rPr>
          <w:i/>
          <w:iCs/>
        </w:rPr>
        <w:t xml:space="preserve"> </w:t>
      </w:r>
      <w:r>
        <w:rPr>
          <w:i/>
          <w:iCs/>
        </w:rPr>
        <w:t xml:space="preserve">of the</w:t>
      </w:r>
      <w:r>
        <w:rPr>
          <w:i/>
          <w:iCs/>
        </w:rPr>
        <w:t xml:space="preserve"> </w:t>
      </w:r>
      <w:r>
        <w:rPr>
          <w:i/>
          <w:iCs/>
        </w:rPr>
        <w:t xml:space="preserve">Intelligent-TPACK</w:t>
      </w:r>
      <w:r>
        <w:t xml:space="preserve">.</w:t>
      </w:r>
    </w:p>
    <w:bookmarkEnd w:id="63"/>
    <w:bookmarkStart w:id="65" w:name="ref-bates2015"/>
    <w:p>
      <w:pPr>
        <w:pStyle w:val="Bibliography"/>
      </w:pPr>
      <w:r>
        <w:t xml:space="preserve">Bates, D., Mächler, M., Bolker, B., &amp; Walker, S. (2015). Fitting linear mixed-effects models using</w:t>
      </w:r>
      <w:r>
        <w:t xml:space="preserve"> </w:t>
      </w:r>
      <w:r>
        <w:t xml:space="preserve">lme4</w:t>
      </w:r>
      <w:r>
        <w:t xml:space="preserve">.</w:t>
      </w:r>
      <w:r>
        <w:t xml:space="preserve"> </w:t>
      </w:r>
      <w:r>
        <w:rPr>
          <w:i/>
          <w:iCs/>
        </w:rPr>
        <w:t xml:space="preserve">Journal of Statistical Software</w:t>
      </w:r>
      <w:r>
        <w:t xml:space="preserve">,</w:t>
      </w:r>
      <w:r>
        <w:t xml:space="preserve"> </w:t>
      </w:r>
      <w:r>
        <w:rPr>
          <w:i/>
          <w:iCs/>
        </w:rPr>
        <w:t xml:space="preserve">67</w:t>
      </w:r>
      <w:r>
        <w:t xml:space="preserve">(1), 1–48.</w:t>
      </w:r>
      <w:r>
        <w:t xml:space="preserve"> </w:t>
      </w:r>
      <w:hyperlink r:id="rId64">
        <w:r>
          <w:rPr>
            <w:rStyle w:val="Hyperlink"/>
          </w:rPr>
          <w:t xml:space="preserve">https://doi.org/10.18637/jss.v067.i01</w:t>
        </w:r>
      </w:hyperlink>
    </w:p>
    <w:bookmarkEnd w:id="65"/>
    <w:bookmarkStart w:id="67" w:name="ref-behling.law2025"/>
    <w:p>
      <w:pPr>
        <w:pStyle w:val="Bibliography"/>
      </w:pPr>
      <w:r>
        <w:t xml:space="preserve">Behling, O., &amp; Law, K. (2025).</w:t>
      </w:r>
      <w:r>
        <w:t xml:space="preserve"> </w:t>
      </w:r>
      <w:r>
        <w:rPr>
          <w:i/>
          <w:iCs/>
        </w:rPr>
        <w:t xml:space="preserve">Translating</w:t>
      </w:r>
      <w:r>
        <w:rPr>
          <w:i/>
          <w:iCs/>
        </w:rPr>
        <w:t xml:space="preserve"> </w:t>
      </w:r>
      <w:r>
        <w:rPr>
          <w:i/>
          <w:iCs/>
        </w:rPr>
        <w:t xml:space="preserve">Questionnaires</w:t>
      </w:r>
      <w:r>
        <w:rPr>
          <w:i/>
          <w:iCs/>
        </w:rPr>
        <w:t xml:space="preserve"> </w:t>
      </w:r>
      <w:r>
        <w:rPr>
          <w:i/>
          <w:iCs/>
        </w:rPr>
        <w:t xml:space="preserve">and</w:t>
      </w:r>
      <w:r>
        <w:rPr>
          <w:i/>
          <w:iCs/>
        </w:rPr>
        <w:t xml:space="preserve"> </w:t>
      </w:r>
      <w:r>
        <w:rPr>
          <w:i/>
          <w:iCs/>
        </w:rPr>
        <w:t xml:space="preserve">Other Research Instruments</w:t>
      </w:r>
      <w:r>
        <w:t xml:space="preserve">. SAGE Publications, Inc.</w:t>
      </w:r>
      <w:r>
        <w:t xml:space="preserve"> </w:t>
      </w:r>
      <w:hyperlink r:id="rId66">
        <w:r>
          <w:rPr>
            <w:rStyle w:val="Hyperlink"/>
          </w:rPr>
          <w:t xml:space="preserve">https://doi.org/10.4135/9781412986373</w:t>
        </w:r>
      </w:hyperlink>
    </w:p>
    <w:bookmarkEnd w:id="67"/>
    <w:bookmarkStart w:id="69" w:name="ref-bolker2024"/>
    <w:p>
      <w:pPr>
        <w:pStyle w:val="Bibliography"/>
      </w:pPr>
      <w:r>
        <w:t xml:space="preserve">Bolker, B., &amp; Robinson, D. (2024).</w:t>
      </w:r>
      <w:r>
        <w:t xml:space="preserve"> </w:t>
      </w:r>
      <w:r>
        <w:rPr>
          <w:i/>
          <w:iCs/>
        </w:rPr>
        <w:t xml:space="preserve">Broom.mixed: Tidying methods for mixed models</w:t>
      </w:r>
      <w:r>
        <w:t xml:space="preserve">.</w:t>
      </w:r>
      <w:r>
        <w:t xml:space="preserve"> </w:t>
      </w:r>
      <w:hyperlink r:id="rId68">
        <w:r>
          <w:rPr>
            <w:rStyle w:val="Hyperlink"/>
          </w:rPr>
          <w:t xml:space="preserve">https://github.com/bbolker/broom.mixed</w:t>
        </w:r>
      </w:hyperlink>
    </w:p>
    <w:bookmarkEnd w:id="69"/>
    <w:bookmarkStart w:id="71" w:name="ref-celik2023"/>
    <w:p>
      <w:pPr>
        <w:pStyle w:val="Bibliography"/>
      </w:pPr>
      <w:r>
        <w:t xml:space="preserve">Celik, I. (2023). Towards</w:t>
      </w:r>
      <w:r>
        <w:t xml:space="preserve"> </w:t>
      </w:r>
      <w:r>
        <w:t xml:space="preserve">Intelligent-TPACK</w:t>
      </w:r>
      <w:r>
        <w:t xml:space="preserve">:</w:t>
      </w:r>
      <w:r>
        <w:t xml:space="preserve"> </w:t>
      </w:r>
      <w:r>
        <w:t xml:space="preserve">An</w:t>
      </w:r>
      <w:r>
        <w:t xml:space="preserve"> </w:t>
      </w:r>
      <w:r>
        <w:t xml:space="preserve">empirical study on teachers’ professional knowledge to ethically integrate artificial intelligence (</w:t>
      </w:r>
      <w:r>
        <w:t xml:space="preserve">AI</w:t>
      </w:r>
      <w:r>
        <w:t xml:space="preserve">)-based tools into education.</w:t>
      </w:r>
      <w:r>
        <w:t xml:space="preserve"> </w:t>
      </w:r>
      <w:r>
        <w:rPr>
          <w:i/>
          <w:iCs/>
        </w:rPr>
        <w:t xml:space="preserve">Computers in Human Behavior</w:t>
      </w:r>
      <w:r>
        <w:t xml:space="preserve">,</w:t>
      </w:r>
      <w:r>
        <w:t xml:space="preserve"> </w:t>
      </w:r>
      <w:r>
        <w:rPr>
          <w:i/>
          <w:iCs/>
        </w:rPr>
        <w:t xml:space="preserve">138</w:t>
      </w:r>
      <w:r>
        <w:t xml:space="preserve">, 107468.</w:t>
      </w:r>
      <w:r>
        <w:t xml:space="preserve"> </w:t>
      </w:r>
      <w:hyperlink r:id="rId70">
        <w:r>
          <w:rPr>
            <w:rStyle w:val="Hyperlink"/>
          </w:rPr>
          <w:t xml:space="preserve">https://doi.org/10.1016/j.chb.2022.107468</w:t>
        </w:r>
      </w:hyperlink>
    </w:p>
    <w:bookmarkEnd w:id="71"/>
    <w:bookmarkStart w:id="73" w:name="ref-chiu.ahmad.ea2024"/>
    <w:p>
      <w:pPr>
        <w:pStyle w:val="Bibliography"/>
      </w:pPr>
      <w:r>
        <w:t xml:space="preserve">Chiu, T. K. F., Ahmad, Z., &amp; Çoban, M. (2024). Development and validation of teacher artificial intelligence (</w:t>
      </w:r>
      <w:r>
        <w:t xml:space="preserve">AI</w:t>
      </w:r>
      <w:r>
        <w:t xml:space="preserve">) competence self-efficacy (</w:t>
      </w:r>
      <w:r>
        <w:t xml:space="preserve">TAICS</w:t>
      </w:r>
      <w:r>
        <w:t xml:space="preserve">) scale.</w:t>
      </w:r>
      <w:r>
        <w:t xml:space="preserve"> </w:t>
      </w:r>
      <w:r>
        <w:rPr>
          <w:i/>
          <w:iCs/>
        </w:rPr>
        <w:t xml:space="preserve">Education and Information Technologies</w:t>
      </w:r>
      <w:r>
        <w:t xml:space="preserve">.</w:t>
      </w:r>
      <w:r>
        <w:t xml:space="preserve"> </w:t>
      </w:r>
      <w:hyperlink r:id="rId72">
        <w:r>
          <w:rPr>
            <w:rStyle w:val="Hyperlink"/>
          </w:rPr>
          <w:t xml:space="preserve">https://doi.org/10.1007/s10639-024-13094-z</w:t>
        </w:r>
      </w:hyperlink>
    </w:p>
    <w:bookmarkEnd w:id="73"/>
    <w:bookmarkStart w:id="75" w:name="ref-WWC2022"/>
    <w:p>
      <w:pPr>
        <w:pStyle w:val="Bibliography"/>
      </w:pPr>
      <w:r>
        <w:t xml:space="preserve">Clearinghouse, W. W. (2022). What works clearinghouse procedures and standards handbook, version 5.0. US department of education, institute of education sciences.</w:t>
      </w:r>
      <w:r>
        <w:t xml:space="preserve"> </w:t>
      </w:r>
      <w:r>
        <w:rPr>
          <w:i/>
          <w:iCs/>
        </w:rPr>
        <w:t xml:space="preserve">National Center for Education Evaluation and Regional Assistance (NCEE)</w:t>
      </w:r>
      <w:r>
        <w:t xml:space="preserve">.</w:t>
      </w:r>
      <w:r>
        <w:t xml:space="preserve"> </w:t>
      </w:r>
      <w:hyperlink r:id="rId74">
        <w:r>
          <w:rPr>
            <w:rStyle w:val="Hyperlink"/>
          </w:rPr>
          <w:t xml:space="preserve">https://ies.ed.gov/ncee/wwc/Handbooks</w:t>
        </w:r>
      </w:hyperlink>
    </w:p>
    <w:bookmarkEnd w:id="75"/>
    <w:bookmarkStart w:id="77" w:name="ref-heinzen2021"/>
    <w:p>
      <w:pPr>
        <w:pStyle w:val="Bibliography"/>
      </w:pPr>
      <w:r>
        <w:t xml:space="preserve">Heinzen, E., Sinnwell, J., Atkinson, E., Gunderson, T., &amp; Dougherty, G. (2021).</w:t>
      </w:r>
      <w:r>
        <w:t xml:space="preserve"> </w:t>
      </w:r>
      <w:r>
        <w:rPr>
          <w:i/>
          <w:iCs/>
        </w:rPr>
        <w:t xml:space="preserve">Arsenal: An arsenal of ’r’ functions for large-scale statistical summaries</w:t>
      </w:r>
      <w:r>
        <w:t xml:space="preserve">.</w:t>
      </w:r>
      <w:r>
        <w:t xml:space="preserve"> </w:t>
      </w:r>
      <w:hyperlink r:id="rId76">
        <w:r>
          <w:rPr>
            <w:rStyle w:val="Hyperlink"/>
          </w:rPr>
          <w:t xml:space="preserve">https://github.com/mayoverse/arsenal</w:t>
        </w:r>
      </w:hyperlink>
    </w:p>
    <w:bookmarkEnd w:id="77"/>
    <w:bookmarkStart w:id="79" w:name="ref-huntington2023"/>
    <w:p>
      <w:pPr>
        <w:pStyle w:val="Bibliography"/>
      </w:pPr>
      <w:r>
        <w:t xml:space="preserve">Huntington-Klein, N. (2023).</w:t>
      </w:r>
      <w:r>
        <w:t xml:space="preserve"> </w:t>
      </w:r>
      <w:r>
        <w:rPr>
          <w:i/>
          <w:iCs/>
        </w:rPr>
        <w:t xml:space="preserve">Vtable: Variable table for variable documentation</w:t>
      </w:r>
      <w:r>
        <w:t xml:space="preserve">.</w:t>
      </w:r>
      <w:r>
        <w:t xml:space="preserve"> </w:t>
      </w:r>
      <w:hyperlink r:id="rId78">
        <w:r>
          <w:rPr>
            <w:rStyle w:val="Hyperlink"/>
          </w:rPr>
          <w:t xml:space="preserve">https://nickch-k.github.io/vtable/</w:t>
        </w:r>
      </w:hyperlink>
    </w:p>
    <w:bookmarkEnd w:id="79"/>
    <w:bookmarkStart w:id="81" w:name="ref-kuznetsova2017"/>
    <w:p>
      <w:pPr>
        <w:pStyle w:val="Bibliography"/>
      </w:pPr>
      <w:r>
        <w:t xml:space="preserve">Kuznetsova, A., Brockhoff, P. B., &amp; Christensen, R. H. B. (2017).</w:t>
      </w:r>
      <w:r>
        <w:t xml:space="preserve"> </w:t>
      </w:r>
      <w:r>
        <w:t xml:space="preserve">lmerTest</w:t>
      </w:r>
      <w:r>
        <w:t xml:space="preserve"> </w:t>
      </w:r>
      <w:r>
        <w:t xml:space="preserve">package: Tests in linear mixed effects models.</w:t>
      </w:r>
      <w:r>
        <w:t xml:space="preserve"> </w:t>
      </w:r>
      <w:r>
        <w:rPr>
          <w:i/>
          <w:iCs/>
        </w:rPr>
        <w:t xml:space="preserve">Journal of Statistical Software</w:t>
      </w:r>
      <w:r>
        <w:t xml:space="preserve">,</w:t>
      </w:r>
      <w:r>
        <w:t xml:space="preserve"> </w:t>
      </w:r>
      <w:r>
        <w:rPr>
          <w:i/>
          <w:iCs/>
        </w:rPr>
        <w:t xml:space="preserve">82</w:t>
      </w:r>
      <w:r>
        <w:t xml:space="preserve">(13), 1–26.</w:t>
      </w:r>
      <w:r>
        <w:t xml:space="preserve"> </w:t>
      </w:r>
      <w:hyperlink r:id="rId80">
        <w:r>
          <w:rPr>
            <w:rStyle w:val="Hyperlink"/>
          </w:rPr>
          <w:t xml:space="preserve">https://doi.org/10.18637/jss.v082.i13</w:t>
        </w:r>
      </w:hyperlink>
    </w:p>
    <w:bookmarkEnd w:id="81"/>
    <w:bookmarkStart w:id="83" w:name="ref-lenth2025"/>
    <w:p>
      <w:pPr>
        <w:pStyle w:val="Bibliography"/>
      </w:pPr>
      <w:r>
        <w:t xml:space="preserve">Lenth, R. V. (2025).</w:t>
      </w:r>
      <w:r>
        <w:t xml:space="preserve"> </w:t>
      </w:r>
      <w:r>
        <w:rPr>
          <w:i/>
          <w:iCs/>
        </w:rPr>
        <w:t xml:space="preserve">Emmeans: Estimated marginal means, aka least-squares means</w:t>
      </w:r>
      <w:r>
        <w:t xml:space="preserve">.</w:t>
      </w:r>
      <w:r>
        <w:t xml:space="preserve"> </w:t>
      </w:r>
      <w:hyperlink r:id="rId82">
        <w:r>
          <w:rPr>
            <w:rStyle w:val="Hyperlink"/>
          </w:rPr>
          <w:t xml:space="preserve">https://rvlenth.github.io/emmeans/</w:t>
        </w:r>
      </w:hyperlink>
    </w:p>
    <w:bookmarkEnd w:id="83"/>
    <w:bookmarkStart w:id="85" w:name="ref-levenshtein1966"/>
    <w:p>
      <w:pPr>
        <w:pStyle w:val="Bibliography"/>
      </w:pPr>
      <w:r>
        <w:t xml:space="preserve">Levenshtein, V. I. (1966). Binary</w:t>
      </w:r>
      <w:r>
        <w:t xml:space="preserve"> </w:t>
      </w:r>
      <w:r>
        <w:t xml:space="preserve">Codes</w:t>
      </w:r>
      <w:r>
        <w:t xml:space="preserve"> </w:t>
      </w:r>
      <w:r>
        <w:t xml:space="preserve">Capable</w:t>
      </w:r>
      <w:r>
        <w:t xml:space="preserve"> </w:t>
      </w:r>
      <w:r>
        <w:t xml:space="preserve">of</w:t>
      </w:r>
      <w:r>
        <w:t xml:space="preserve"> </w:t>
      </w:r>
      <w:r>
        <w:t xml:space="preserve">Correcting</w:t>
      </w:r>
      <w:r>
        <w:t xml:space="preserve"> </w:t>
      </w:r>
      <w:r>
        <w:t xml:space="preserve">Deletions</w:t>
      </w:r>
      <w:r>
        <w:t xml:space="preserve">,</w:t>
      </w:r>
      <w:r>
        <w:t xml:space="preserve"> </w:t>
      </w:r>
      <w:r>
        <w:t xml:space="preserve">Insertions</w:t>
      </w:r>
      <w:r>
        <w:t xml:space="preserve"> </w:t>
      </w:r>
      <w:r>
        <w:t xml:space="preserve">and</w:t>
      </w:r>
      <w:r>
        <w:t xml:space="preserve"> </w:t>
      </w:r>
      <w:r>
        <w:t xml:space="preserve">Reversals</w:t>
      </w:r>
      <w:r>
        <w:t xml:space="preserve">.</w:t>
      </w:r>
      <w:r>
        <w:t xml:space="preserve"> </w:t>
      </w:r>
      <w:r>
        <w:rPr>
          <w:i/>
          <w:iCs/>
        </w:rPr>
        <w:t xml:space="preserve">Soviet Physics Doklady</w:t>
      </w:r>
      <w:r>
        <w:t xml:space="preserve">,</w:t>
      </w:r>
      <w:r>
        <w:t xml:space="preserve"> </w:t>
      </w:r>
      <w:r>
        <w:rPr>
          <w:i/>
          <w:iCs/>
        </w:rPr>
        <w:t xml:space="preserve">10</w:t>
      </w:r>
      <w:r>
        <w:t xml:space="preserve">(8).</w:t>
      </w:r>
      <w:r>
        <w:t xml:space="preserve"> </w:t>
      </w:r>
      <w:hyperlink r:id="rId84">
        <w:r>
          <w:rPr>
            <w:rStyle w:val="Hyperlink"/>
          </w:rPr>
          <w:t xml:space="preserve">https://nymity.ch/sybilhunting/pdf/Levenshtein1966a.pdf</w:t>
        </w:r>
      </w:hyperlink>
    </w:p>
    <w:bookmarkEnd w:id="85"/>
    <w:bookmarkStart w:id="87" w:name="ref-long2022"/>
    <w:p>
      <w:pPr>
        <w:pStyle w:val="Bibliography"/>
      </w:pPr>
      <w:r>
        <w:t xml:space="preserve">Long, J. A. (2022).</w:t>
      </w:r>
      <w:r>
        <w:t xml:space="preserve"> </w:t>
      </w:r>
      <w:r>
        <w:rPr>
          <w:i/>
          <w:iCs/>
        </w:rPr>
        <w:t xml:space="preserve">Jtools: Analysis and presentation of social scientific data</w:t>
      </w:r>
      <w:r>
        <w:t xml:space="preserve">.</w:t>
      </w:r>
      <w:r>
        <w:t xml:space="preserve"> </w:t>
      </w:r>
      <w:hyperlink r:id="rId86">
        <w:r>
          <w:rPr>
            <w:rStyle w:val="Hyperlink"/>
          </w:rPr>
          <w:t xml:space="preserve">https://cran.r-project.org/package=jtools</w:t>
        </w:r>
      </w:hyperlink>
    </w:p>
    <w:bookmarkEnd w:id="87"/>
    <w:bookmarkStart w:id="89" w:name="ref-mah.gross2024"/>
    <w:p>
      <w:pPr>
        <w:pStyle w:val="Bibliography"/>
      </w:pPr>
      <w:r>
        <w:t xml:space="preserve">Mah, D.-K., &amp; Groß, N. (2024). Artificial intelligence in higher education: Exploring faculty use, self-efficacy, distinct profiles, and professional development needs.</w:t>
      </w:r>
      <w:r>
        <w:t xml:space="preserve"> </w:t>
      </w:r>
      <w:r>
        <w:rPr>
          <w:i/>
          <w:iCs/>
        </w:rPr>
        <w:t xml:space="preserve">International Journal of Educational Technology in Higher Education</w:t>
      </w:r>
      <w:r>
        <w:t xml:space="preserve">,</w:t>
      </w:r>
      <w:r>
        <w:t xml:space="preserve"> </w:t>
      </w:r>
      <w:r>
        <w:rPr>
          <w:i/>
          <w:iCs/>
        </w:rPr>
        <w:t xml:space="preserve">21</w:t>
      </w:r>
      <w:r>
        <w:t xml:space="preserve">(1), 58.</w:t>
      </w:r>
      <w:r>
        <w:t xml:space="preserve"> </w:t>
      </w:r>
      <w:hyperlink r:id="rId88">
        <w:r>
          <w:rPr>
            <w:rStyle w:val="Hyperlink"/>
          </w:rPr>
          <w:t xml:space="preserve">https://doi.org/10.1186/s41239-024-00490-1</w:t>
        </w:r>
      </w:hyperlink>
    </w:p>
    <w:bookmarkEnd w:id="89"/>
    <w:bookmarkStart w:id="91" w:name="ref-R2024"/>
    <w:p>
      <w:pPr>
        <w:pStyle w:val="Bibliography"/>
      </w:pPr>
      <w:r>
        <w:t xml:space="preserve">R Core Team. (2024).</w:t>
      </w:r>
      <w:r>
        <w:t xml:space="preserve"> </w:t>
      </w:r>
      <w:r>
        <w:rPr>
          <w:i/>
          <w:iCs/>
        </w:rPr>
        <w:t xml:space="preserve">R: A language and environment for statistical computing</w:t>
      </w:r>
      <w:r>
        <w:t xml:space="preserve">. R Foundation for Statistical Computing.</w:t>
      </w:r>
      <w:r>
        <w:t xml:space="preserve"> </w:t>
      </w:r>
      <w:hyperlink r:id="rId90">
        <w:r>
          <w:rPr>
            <w:rStyle w:val="Hyperlink"/>
          </w:rPr>
          <w:t xml:space="preserve">https://www.R-project.org/</w:t>
        </w:r>
      </w:hyperlink>
    </w:p>
    <w:bookmarkEnd w:id="91"/>
    <w:bookmarkStart w:id="93" w:name="ref-warnes2023"/>
    <w:p>
      <w:pPr>
        <w:pStyle w:val="Bibliography"/>
      </w:pPr>
      <w:r>
        <w:t xml:space="preserve">Warnes, G. R., Bolker, B., Lumley, T., Magnusson, A., Venables, B., Ryodan, G., &amp; Moeller, S. (2023).</w:t>
      </w:r>
      <w:r>
        <w:t xml:space="preserve"> </w:t>
      </w:r>
      <w:r>
        <w:rPr>
          <w:i/>
          <w:iCs/>
        </w:rPr>
        <w:t xml:space="preserve">Gtools: Various r programming tools</w:t>
      </w:r>
      <w:r>
        <w:t xml:space="preserve">.</w:t>
      </w:r>
      <w:r>
        <w:t xml:space="preserve"> </w:t>
      </w:r>
      <w:hyperlink r:id="rId92">
        <w:r>
          <w:rPr>
            <w:rStyle w:val="Hyperlink"/>
          </w:rPr>
          <w:t xml:space="preserve">https://github.com/r-gregmisc/gtools</w:t>
        </w:r>
      </w:hyperlink>
    </w:p>
    <w:bookmarkEnd w:id="93"/>
    <w:bookmarkStart w:id="95" w:name="ref-wickham2016"/>
    <w:p>
      <w:pPr>
        <w:pStyle w:val="Bibliography"/>
      </w:pPr>
      <w:r>
        <w:t xml:space="preserve">Wickham, H. (2016).</w:t>
      </w:r>
      <w:r>
        <w:t xml:space="preserve"> </w:t>
      </w:r>
      <w:r>
        <w:rPr>
          <w:i/>
          <w:iCs/>
        </w:rPr>
        <w:t xml:space="preserve">ggplot2: Elegant graphics for data analysis</w:t>
      </w:r>
      <w:r>
        <w:t xml:space="preserve">. Springer-Verlag New York.</w:t>
      </w:r>
      <w:r>
        <w:t xml:space="preserve"> </w:t>
      </w:r>
      <w:hyperlink r:id="rId94">
        <w:r>
          <w:rPr>
            <w:rStyle w:val="Hyperlink"/>
          </w:rPr>
          <w:t xml:space="preserve">https://ggplot2.tidyverse.org</w:t>
        </w:r>
      </w:hyperlink>
    </w:p>
    <w:bookmarkEnd w:id="95"/>
    <w:bookmarkStart w:id="97" w:name="ref-wickham2024"/>
    <w:p>
      <w:pPr>
        <w:pStyle w:val="Bibliography"/>
      </w:pPr>
      <w:r>
        <w:t xml:space="preserve">Wickham, H., Vaughan, D., &amp; Girlich, M. (2024).</w:t>
      </w:r>
      <w:r>
        <w:t xml:space="preserve"> </w:t>
      </w:r>
      <w:r>
        <w:rPr>
          <w:i/>
          <w:iCs/>
        </w:rPr>
        <w:t xml:space="preserve">Tidyr: Tidy messy data</w:t>
      </w:r>
      <w:r>
        <w:t xml:space="preserve">.</w:t>
      </w:r>
      <w:r>
        <w:t xml:space="preserve"> </w:t>
      </w:r>
      <w:hyperlink r:id="rId96">
        <w:r>
          <w:rPr>
            <w:rStyle w:val="Hyperlink"/>
          </w:rPr>
          <w:t xml:space="preserve">https://tidyr.tidyverse.org</w:t>
        </w:r>
      </w:hyperlink>
    </w:p>
    <w:bookmarkEnd w:id="97"/>
    <w:bookmarkStart w:id="99" w:name="ref-xiao2024"/>
    <w:p>
      <w:pPr>
        <w:pStyle w:val="Bibliography"/>
      </w:pPr>
      <w:r>
        <w:t xml:space="preserve">Xiao, N. (2024).</w:t>
      </w:r>
      <w:r>
        <w:t xml:space="preserve"> </w:t>
      </w:r>
      <w:r>
        <w:rPr>
          <w:i/>
          <w:iCs/>
        </w:rPr>
        <w:t xml:space="preserve">Ggsci: Scientific journal and sci-fi themed color palettes for ’ggplot2’</w:t>
      </w:r>
      <w:r>
        <w:t xml:space="preserve">.</w:t>
      </w:r>
      <w:r>
        <w:t xml:space="preserve"> </w:t>
      </w:r>
      <w:hyperlink r:id="rId98">
        <w:r>
          <w:rPr>
            <w:rStyle w:val="Hyperlink"/>
          </w:rPr>
          <w:t xml:space="preserve">https://nanx.me/ggsci/</w:t>
        </w:r>
      </w:hyperlink>
    </w:p>
    <w:bookmarkEnd w:id="99"/>
    <w:bookmarkStart w:id="101" w:name="ref-zhu2024"/>
    <w:p>
      <w:pPr>
        <w:pStyle w:val="Bibliography"/>
      </w:pPr>
      <w:r>
        <w:t xml:space="preserve">Zhu, H. (2024).</w:t>
      </w:r>
      <w:r>
        <w:t xml:space="preserve"> </w:t>
      </w:r>
      <w:r>
        <w:rPr>
          <w:i/>
          <w:iCs/>
        </w:rPr>
        <w:t xml:space="preserve">kableExtra: Construct complex table with ’kable’ and pipe syntax</w:t>
      </w:r>
      <w:r>
        <w:t xml:space="preserve">.</w:t>
      </w:r>
      <w:r>
        <w:t xml:space="preserve"> </w:t>
      </w:r>
      <w:hyperlink r:id="rId100">
        <w:r>
          <w:rPr>
            <w:rStyle w:val="Hyperlink"/>
          </w:rPr>
          <w:t xml:space="preserve">http://haozhu233.github.io/kableExtra/</w:t>
        </w:r>
      </w:hyperlink>
    </w:p>
    <w:bookmarkEnd w:id="101"/>
    <w:bookmarkEnd w:id="102"/>
    <w:bookmarkEnd w:id="10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68" Type="http://schemas.openxmlformats.org/officeDocument/2006/relationships/hyperlink" Target="https://github.com/bbolker/broom.mixed" TargetMode="External"/><Relationship Id="rId76" Type="http://schemas.openxmlformats.org/officeDocument/2006/relationships/hyperlink" Target="https://github.com/mayoverse/arsenal" TargetMode="External"/><Relationship Id="rId84" Type="http://schemas.openxmlformats.org/officeDocument/2006/relationships/hyperlink" Target="https://nymity.ch/sybilhunting/pdf/Levenshtein1966a.pdf" TargetMode="External"/><Relationship Id="rId7" Type="http://schemas.openxmlformats.org/officeDocument/2006/relationships/footnotes" Target="footnotes.xml"/><Relationship Id="rId92" Type="http://schemas.openxmlformats.org/officeDocument/2006/relationships/hyperlink" Target="https://github.com/r-gregmisc/gtools" TargetMode="External"/><Relationship Id="rId103" Type="http://schemas.openxmlformats.org/officeDocument/2006/relationships/customXml" Target="../customXml/item3.xml"/><Relationship Id="rId2" Type="http://schemas.openxmlformats.org/officeDocument/2006/relationships/styles" Target="styles.xml"/><Relationship Id="rId70" Type="http://schemas.openxmlformats.org/officeDocument/2006/relationships/hyperlink" Target="https://doi.org/10.1016/j.chb.2022.107468" TargetMode="External"/><Relationship Id="rId88" Type="http://schemas.openxmlformats.org/officeDocument/2006/relationships/hyperlink" Target="https://doi.org/10.1186/s41239-024-00490-1" TargetMode="External"/><Relationship Id="rId96" Type="http://schemas.openxmlformats.org/officeDocument/2006/relationships/hyperlink" Target="https://tidyr.tidyverse.org" TargetMode="External"/><Relationship Id="rId1" Type="http://schemas.openxmlformats.org/officeDocument/2006/relationships/numbering" Target="numbering.xml"/><Relationship Id="rId6" Type="http://schemas.openxmlformats.org/officeDocument/2006/relationships/theme" Target="theme/theme1.xml"/><Relationship Id="rId24" Type="http://schemas.openxmlformats.org/officeDocument/2006/relationships/image" Target="media/rId24.png"/><Relationship Id="rId32" Type="http://schemas.openxmlformats.org/officeDocument/2006/relationships/image" Target="media/rId32.pdf"/><Relationship Id="rId40" Type="http://schemas.openxmlformats.org/officeDocument/2006/relationships/image" Target="media/rId40.pdf"/><Relationship Id="rId66" Type="http://schemas.openxmlformats.org/officeDocument/2006/relationships/hyperlink" Target="https://doi.org/10.4135/9781412986373" TargetMode="External"/><Relationship Id="rId74" Type="http://schemas.openxmlformats.org/officeDocument/2006/relationships/hyperlink" Target="https://ies.ed.gov/ncee/wwc/Handbooks" TargetMode="External"/><Relationship Id="rId102" Type="http://schemas.openxmlformats.org/officeDocument/2006/relationships/customXml" Target="../customXml/item2.xml"/><Relationship Id="rId5" Type="http://schemas.openxmlformats.org/officeDocument/2006/relationships/fontTable" Target="fontTable.xml"/><Relationship Id="rId61" Type="http://schemas.openxmlformats.org/officeDocument/2006/relationships/hyperlink" Target="https://doi.org/10.18637/jss.v103.i01" TargetMode="External"/><Relationship Id="rId82" Type="http://schemas.openxmlformats.org/officeDocument/2006/relationships/hyperlink" Target="https://rvlenth.github.io/emmeans/" TargetMode="External"/><Relationship Id="rId90" Type="http://schemas.openxmlformats.org/officeDocument/2006/relationships/hyperlink" Target="https://www.R-project.org/" TargetMode="External"/><Relationship Id="rId86" Type="http://schemas.openxmlformats.org/officeDocument/2006/relationships/hyperlink" Target="https://cran.r-project.org/package=jtools" TargetMode="External"/><Relationship Id="rId94" Type="http://schemas.openxmlformats.org/officeDocument/2006/relationships/hyperlink" Target="https://ggplot2.tidyverse.org" TargetMode="External"/><Relationship Id="rId78" Type="http://schemas.openxmlformats.org/officeDocument/2006/relationships/hyperlink" Target="https://nickch-k.github.io/vtable/" TargetMode="External"/><Relationship Id="rId101" Type="http://schemas.openxmlformats.org/officeDocument/2006/relationships/customXml" Target="../customXml/item1.xml"/><Relationship Id="rId4" Type="http://schemas.openxmlformats.org/officeDocument/2006/relationships/webSettings" Target="webSettings.xml"/><Relationship Id="rId100" Type="http://schemas.openxmlformats.org/officeDocument/2006/relationships/hyperlink" Target="http://haozhu233.github.io/kableExtra/" TargetMode="External"/><Relationship Id="rId64" Type="http://schemas.openxmlformats.org/officeDocument/2006/relationships/hyperlink" Target="https://doi.org/10.18637/jss.v067.i01" TargetMode="External"/><Relationship Id="rId8" Type="http://schemas.openxmlformats.org/officeDocument/2006/relationships/comments" Target="comments.xml"/><Relationship Id="rId51" Type="http://schemas.openxmlformats.org/officeDocument/2006/relationships/image" Target="media/rId51.pdf"/><Relationship Id="rId72" Type="http://schemas.openxmlformats.org/officeDocument/2006/relationships/hyperlink" Target="https://doi.org/10.1007/s10639-024-13094-z" TargetMode="External"/><Relationship Id="rId80" Type="http://schemas.openxmlformats.org/officeDocument/2006/relationships/hyperlink" Target="https://doi.org/10.18637/jss.v082.i13" TargetMode="External"/><Relationship Id="rId98" Type="http://schemas.openxmlformats.org/officeDocument/2006/relationships/hyperlink" Target="https://nanx.me/ggsci/" TargetMode="External"/></Relationships>
</file>

<file path=word/_rels/footnotes.xml.rels><?xml version="1.0" encoding="UTF-8"?><Relationships xmlns="http://schemas.openxmlformats.org/package/2006/relationships"><Relationship Type="http://schemas.openxmlformats.org/officeDocument/2006/relationships/hyperlink" Id="rId100" Target="http://haozhu233.github.io/kableExtra/" TargetMode="External" /><Relationship Type="http://schemas.openxmlformats.org/officeDocument/2006/relationships/hyperlink" Id="rId86" Target="https://cran.r-project.org/package=jtools" TargetMode="External" /><Relationship Type="http://schemas.openxmlformats.org/officeDocument/2006/relationships/hyperlink" Id="rId72" Target="https://doi.org/10.1007/s10639-024-13094-z" TargetMode="External" /><Relationship Type="http://schemas.openxmlformats.org/officeDocument/2006/relationships/hyperlink" Id="rId70" Target="https://doi.org/10.1016/j.chb.2022.107468" TargetMode="External" /><Relationship Type="http://schemas.openxmlformats.org/officeDocument/2006/relationships/hyperlink" Id="rId88" Target="https://doi.org/10.1186/s41239-024-00490-1" TargetMode="External" /><Relationship Type="http://schemas.openxmlformats.org/officeDocument/2006/relationships/hyperlink" Id="rId64" Target="https://doi.org/10.18637/jss.v067.i01" TargetMode="External" /><Relationship Type="http://schemas.openxmlformats.org/officeDocument/2006/relationships/hyperlink" Id="rId80" Target="https://doi.org/10.18637/jss.v082.i13" TargetMode="External" /><Relationship Type="http://schemas.openxmlformats.org/officeDocument/2006/relationships/hyperlink" Id="rId61" Target="https://doi.org/10.18637/jss.v103.i01" TargetMode="External" /><Relationship Type="http://schemas.openxmlformats.org/officeDocument/2006/relationships/hyperlink" Id="rId66" Target="https://doi.org/10.4135/9781412986373" TargetMode="External" /><Relationship Type="http://schemas.openxmlformats.org/officeDocument/2006/relationships/hyperlink" Id="rId94" Target="https://ggplot2.tidyverse.org" TargetMode="External" /><Relationship Type="http://schemas.openxmlformats.org/officeDocument/2006/relationships/hyperlink" Id="rId68" Target="https://github.com/bbolker/broom.mixed" TargetMode="External" /><Relationship Type="http://schemas.openxmlformats.org/officeDocument/2006/relationships/hyperlink" Id="rId76" Target="https://github.com/mayoverse/arsenal" TargetMode="External" /><Relationship Type="http://schemas.openxmlformats.org/officeDocument/2006/relationships/hyperlink" Id="rId92" Target="https://github.com/r-gregmisc/gtools" TargetMode="External" /><Relationship Type="http://schemas.openxmlformats.org/officeDocument/2006/relationships/hyperlink" Id="rId74" Target="https://ies.ed.gov/ncee/wwc/Handbooks" TargetMode="External" /><Relationship Type="http://schemas.openxmlformats.org/officeDocument/2006/relationships/hyperlink" Id="rId98" Target="https://nanx.me/ggsci/" TargetMode="External" /><Relationship Type="http://schemas.openxmlformats.org/officeDocument/2006/relationships/hyperlink" Id="rId78" Target="https://nickch-k.github.io/vtable/" TargetMode="External" /><Relationship Type="http://schemas.openxmlformats.org/officeDocument/2006/relationships/hyperlink" Id="rId84" Target="https://nymity.ch/sybilhunting/pdf/Levenshtein1966a.pdf" TargetMode="External" /><Relationship Type="http://schemas.openxmlformats.org/officeDocument/2006/relationships/hyperlink" Id="rId82" Target="https://rvlenth.github.io/emmeans/" TargetMode="External" /><Relationship Type="http://schemas.openxmlformats.org/officeDocument/2006/relationships/hyperlink" Id="rId96" Target="https://tidyr.tidyverse.org" TargetMode="External" /><Relationship Type="http://schemas.openxmlformats.org/officeDocument/2006/relationships/hyperlink" Id="rId90" Target="https://www.R-project.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3F913353A286464FA6A0AA26E290AF10" ma:contentTypeVersion="14" ma:contentTypeDescription="Ein neues Dokument erstellen." ma:contentTypeScope="" ma:versionID="5d4438d5106522abfad7515538a394f2">
  <xsd:schema xmlns:xsd="http://www.w3.org/2001/XMLSchema" xmlns:xs="http://www.w3.org/2001/XMLSchema" xmlns:p="http://schemas.microsoft.com/office/2006/metadata/properties" xmlns:ns2="880ad0c2-7201-4134-8553-65bae700540d" xmlns:ns3="3fdcca9d-6ea1-44ac-8100-17bed3fd2aa3" targetNamespace="http://schemas.microsoft.com/office/2006/metadata/properties" ma:root="true" ma:fieldsID="ec07ca41526f249adfc1a70c2307144d" ns2:_="" ns3:_="">
    <xsd:import namespace="880ad0c2-7201-4134-8553-65bae700540d"/>
    <xsd:import namespace="3fdcca9d-6ea1-44ac-8100-17bed3fd2aa3"/>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DateTaken" minOccurs="0"/>
                <xsd:element ref="ns2:MediaServiceLocation"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0ad0c2-7201-4134-8553-65bae70054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Bildmarkierungen" ma:readOnly="false" ma:fieldId="{5cf76f15-5ced-4ddc-b409-7134ff3c332f}" ma:taxonomyMulti="true" ma:sspId="bde38a42-f053-4c2a-847a-0f3502bf1da1"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dcca9d-6ea1-44ac-8100-17bed3fd2aa3"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b85192eb-349a-42a1-b5ca-eac5d11024f4}" ma:internalName="TaxCatchAll" ma:showField="CatchAllData" ma:web="3fdcca9d-6ea1-44ac-8100-17bed3fd2aa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fdcca9d-6ea1-44ac-8100-17bed3fd2aa3" xsi:nil="true"/>
    <lcf76f155ced4ddcb4097134ff3c332f xmlns="880ad0c2-7201-4134-8553-65bae700540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F4CD1A7-8E46-4105-836E-617B6F7563E7}"/>
</file>

<file path=customXml/itemProps2.xml><?xml version="1.0" encoding="utf-8"?>
<ds:datastoreItem xmlns:ds="http://schemas.openxmlformats.org/officeDocument/2006/customXml" ds:itemID="{6F925B6F-EAF2-4FC8-883A-A95D52A89088}"/>
</file>

<file path=customXml/itemProps3.xml><?xml version="1.0" encoding="utf-8"?>
<ds:datastoreItem xmlns:ds="http://schemas.openxmlformats.org/officeDocument/2006/customXml" ds:itemID="{91E150C0-2284-47AB-8C37-6792B3715E38}"/>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WoLKE CAEO 2025 Report</dc:title>
  <dc:creator>Heiko Holz</dc:creator>
  <cp:keywords/>
  <dcterms:created xsi:type="dcterms:W3CDTF">2025-08-29T13:00:59Z</dcterms:created>
  <dcterms:modified xsi:type="dcterms:W3CDTF">2025-08-29T13:00:59Z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library.bib</vt:lpwstr>
  </property>
  <property fmtid="{D5CDD505-2E9C-101B-9397-08002B2CF9AE}" pid="5" name="by-author">
    <vt:lpwstr/>
  </property>
  <property fmtid="{D5CDD505-2E9C-101B-9397-08002B2CF9AE}" pid="6" name="csl">
    <vt:lpwstr>https://www.zotero.org/styles/apa</vt:lpwstr>
  </property>
  <property fmtid="{D5CDD505-2E9C-101B-9397-08002B2CF9AE}" pid="7" name="date">
    <vt:lpwstr>August 29, 2025</vt:lpwstr>
  </property>
  <property fmtid="{D5CDD505-2E9C-101B-9397-08002B2CF9AE}" pid="8" name="date-format">
    <vt:lpwstr>long</vt:lpwstr>
  </property>
  <property fmtid="{D5CDD505-2E9C-101B-9397-08002B2CF9AE}" pid="9" name="document-css">
    <vt:lpwstr>False</vt:lpwstr>
  </property>
  <property fmtid="{D5CDD505-2E9C-101B-9397-08002B2CF9AE}" pid="10" name="editor">
    <vt:lpwstr>source</vt:lpwstr>
  </property>
  <property fmtid="{D5CDD505-2E9C-101B-9397-08002B2CF9AE}" pid="11" name="execute">
    <vt:lpwstr/>
  </property>
  <property fmtid="{D5CDD505-2E9C-101B-9397-08002B2CF9AE}" pid="12" name="fig-caption">
    <vt:lpwstr>True</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link-citations">
    <vt:lpwstr>True</vt:lpwstr>
  </property>
  <property fmtid="{D5CDD505-2E9C-101B-9397-08002B2CF9AE}" pid="18" name="page-layout">
    <vt:lpwstr>full</vt:lpwstr>
  </property>
  <property fmtid="{D5CDD505-2E9C-101B-9397-08002B2CF9AE}" pid="19" name="toc-title">
    <vt:lpwstr>Table of contents</vt:lpwstr>
  </property>
  <property fmtid="{D5CDD505-2E9C-101B-9397-08002B2CF9AE}" pid="20" name="ContentTypeId">
    <vt:lpwstr>0x0101003F913353A286464FA6A0AA26E290AF10</vt:lpwstr>
  </property>
</Properties>
</file>