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dc57970cff92cd0ccffeae9110d13c4da9c99fa"/>
    <w:p>
      <w:pPr>
        <w:pStyle w:val="Heading1"/>
      </w:pPr>
      <w:r>
        <w:t xml:space="preserve">Goodlede — Recent Improvements &amp; Editorial System</w:t>
      </w:r>
    </w:p>
    <w:p>
      <w:pPr>
        <w:pStyle w:val="FirstParagraph"/>
      </w:pPr>
      <w:r>
        <w:rPr>
          <w:bCs/>
          <w:b/>
        </w:rPr>
        <w:t xml:space="preserve">Prepared for prospective editors — June 28, 2026</w:t>
      </w:r>
    </w:p>
    <w:p>
      <w:pPr>
        <w:pStyle w:val="BodyText"/>
      </w:pPr>
      <w:r>
        <w:t xml:space="preserve">Goodlede (goodlede.com) is a verified good-news service: real, worthwhile good news from around the world, checked twice, with no politics and no doom. The platform pairs automated gathering and screening with human editorial judgment — the software does the finding and a first pass; a person decides what goes live. It is under active development. The past ten days alone brought a substantial round of improvements, summarized below — both to show where the system stands and to give you a clear picture of the tools you would be working with.</w:t>
      </w:r>
    </w:p>
    <w:bookmarkStart w:id="20" w:name="how-an-editor-works-the-daily-rhythm"/>
    <w:p>
      <w:pPr>
        <w:pStyle w:val="Heading2"/>
      </w:pPr>
      <w:r>
        <w:t xml:space="preserve">How an editor works — the daily rhythm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Two digest emails a day</w:t>
      </w:r>
      <w:r>
        <w:t xml:space="preserve"> </w:t>
      </w:r>
      <w:r>
        <w:t xml:space="preserve">(5:00 AM and 4:30 PM ET). Each is a short preview plus a single link into the review page.</w:t>
      </w:r>
    </w:p>
    <w:p>
      <w:pPr>
        <w:numPr>
          <w:ilvl w:val="0"/>
          <w:numId w:val="1001"/>
        </w:numPr>
        <w:pStyle w:val="Compact"/>
      </w:pPr>
      <w:r>
        <w:t xml:space="preserve">On the review page,</w:t>
      </w:r>
      <w:r>
        <w:t xml:space="preserve"> </w:t>
      </w:r>
      <w:r>
        <w:rPr>
          <w:bCs/>
          <w:b/>
        </w:rPr>
        <w:t xml:space="preserve">every decision is one click and happens in place</w:t>
      </w:r>
      <w:r>
        <w:t xml:space="preserve">: Approve (publishes live), ★ Hero (sets the day’s lead story), Skip (with a quick reason), Later (defer to tomorrow), Undo. A bulk</w:t>
      </w:r>
      <w:r>
        <w:t xml:space="preserve"> </w:t>
      </w:r>
      <w:r>
        <w:t xml:space="preserve">“</w:t>
      </w:r>
      <w:r>
        <w:t xml:space="preserve">Approve all</w:t>
      </w:r>
      <w:r>
        <w:t xml:space="preserve">”</w:t>
      </w:r>
      <w:r>
        <w:t xml:space="preserve"> </w:t>
      </w:r>
      <w:r>
        <w:t xml:space="preserve">is there for when you have scanned a batch.</w:t>
      </w:r>
    </w:p>
    <w:p>
      <w:pPr>
        <w:numPr>
          <w:ilvl w:val="0"/>
          <w:numId w:val="1001"/>
        </w:numPr>
        <w:pStyle w:val="Compact"/>
      </w:pPr>
      <w:r>
        <w:t xml:space="preserve">Each story arrives</w:t>
      </w:r>
      <w:r>
        <w:t xml:space="preserve"> </w:t>
      </w:r>
      <w:r>
        <w:rPr>
          <w:bCs/>
          <w:b/>
        </w:rPr>
        <w:t xml:space="preserve">pre-screened and verified</w:t>
      </w:r>
      <w:r>
        <w:t xml:space="preserve">, tagged by category, significance, and confidence. Your job is the final judgment — and shaping the voice.</w:t>
      </w:r>
    </w:p>
    <w:bookmarkEnd w:id="20"/>
    <w:bookmarkStart w:id="28" w:name="what-changed-in-the-last-ten-days"/>
    <w:p>
      <w:pPr>
        <w:pStyle w:val="Heading2"/>
      </w:pPr>
      <w:r>
        <w:t xml:space="preserve">What changed in the last ten days</w:t>
      </w:r>
    </w:p>
    <w:bookmarkStart w:id="21" w:name="the-review-experience"/>
    <w:p>
      <w:pPr>
        <w:pStyle w:val="Heading3"/>
      </w:pPr>
      <w:r>
        <w:t xml:space="preserve">1. The review experience</w:t>
      </w:r>
    </w:p>
    <w:p>
      <w:pPr>
        <w:numPr>
          <w:ilvl w:val="0"/>
          <w:numId w:val="1002"/>
        </w:numPr>
        <w:pStyle w:val="Compact"/>
      </w:pPr>
      <w:r>
        <w:t xml:space="preserve">Rebuilt the digest-to-review flow into a single tap: the email is a preview, and all actions happen on one page — no hopping between screens.</w:t>
      </w:r>
    </w:p>
    <w:p>
      <w:pPr>
        <w:numPr>
          <w:ilvl w:val="0"/>
          <w:numId w:val="1002"/>
        </w:numPr>
        <w:pStyle w:val="Compact"/>
      </w:pPr>
      <w:r>
        <w:t xml:space="preserve">One-click Approve / Hero / Skip-with-reason / Later / Undo, plus bulk approve.</w:t>
      </w:r>
    </w:p>
    <w:p>
      <w:pPr>
        <w:numPr>
          <w:ilvl w:val="0"/>
          <w:numId w:val="1002"/>
        </w:numPr>
        <w:pStyle w:val="Compact"/>
      </w:pPr>
      <w:r>
        <w:t xml:space="preserve">Significance-based hero selection, with a manual Hero override for the day’s standout.</w:t>
      </w:r>
    </w:p>
    <w:bookmarkEnd w:id="21"/>
    <w:bookmarkStart w:id="22" w:name="X155a5b61ff7389ed6ccfb70e0a5b4b163a9627a"/>
    <w:p>
      <w:pPr>
        <w:pStyle w:val="Heading3"/>
      </w:pPr>
      <w:r>
        <w:t xml:space="preserve">2. The</w:t>
      </w:r>
      <w:r>
        <w:t xml:space="preserve"> </w:t>
      </w:r>
      <w:r>
        <w:t xml:space="preserve">“</w:t>
      </w:r>
      <w:r>
        <w:t xml:space="preserve">Worth noting</w:t>
      </w:r>
      <w:r>
        <w:t xml:space="preserve">”</w:t>
      </w:r>
      <w:r>
        <w:t xml:space="preserve"> </w:t>
      </w:r>
      <w:r>
        <w:t xml:space="preserve">disclaimer (formerly</w:t>
      </w:r>
      <w:r>
        <w:t xml:space="preserve"> </w:t>
      </w:r>
      <w:r>
        <w:t xml:space="preserve">“</w:t>
      </w:r>
      <w:r>
        <w:t xml:space="preserve">What it doesn’t mean</w:t>
      </w:r>
      <w:r>
        <w:t xml:space="preserve">”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Renamed for a plainer, less cute tone — it is often a genuine caution, not a clever reframe.</w:t>
      </w:r>
    </w:p>
    <w:p>
      <w:pPr>
        <w:numPr>
          <w:ilvl w:val="0"/>
          <w:numId w:val="1003"/>
        </w:numPr>
        <w:pStyle w:val="Compact"/>
      </w:pPr>
      <w:r>
        <w:t xml:space="preserve">Editors can</w:t>
      </w:r>
      <w:r>
        <w:t xml:space="preserve"> </w:t>
      </w:r>
      <w:r>
        <w:rPr>
          <w:bCs/>
          <w:b/>
        </w:rPr>
        <w:t xml:space="preserve">edit a disclaimer inline or remove it</w:t>
      </w:r>
      <w:r>
        <w:t xml:space="preserve"> </w:t>
      </w:r>
      <w:r>
        <w:t xml:space="preserve">per story, with an optional reason.</w:t>
      </w:r>
    </w:p>
    <w:p>
      <w:pPr>
        <w:numPr>
          <w:ilvl w:val="0"/>
          <w:numId w:val="1003"/>
        </w:numPr>
        <w:pStyle w:val="Compact"/>
      </w:pPr>
      <w:r>
        <w:t xml:space="preserve">The system</w:t>
      </w:r>
      <w:r>
        <w:t xml:space="preserve"> </w:t>
      </w:r>
      <w:r>
        <w:rPr>
          <w:bCs/>
          <w:b/>
        </w:rPr>
        <w:t xml:space="preserve">learns from those edits and removals</w:t>
      </w:r>
      <w:r>
        <w:t xml:space="preserve"> </w:t>
      </w:r>
      <w:r>
        <w:t xml:space="preserve">— over time it writes disclaimers in the editor’s voice and stops producing the kinds the editor rejects.</w:t>
      </w:r>
    </w:p>
    <w:p>
      <w:pPr>
        <w:numPr>
          <w:ilvl w:val="0"/>
          <w:numId w:val="1003"/>
        </w:numPr>
        <w:pStyle w:val="Compact"/>
      </w:pPr>
      <w:r>
        <w:t xml:space="preserve">Cleaned internal editorial notes that had leaked into public disclaimers.</w:t>
      </w:r>
    </w:p>
    <w:p>
      <w:pPr>
        <w:numPr>
          <w:ilvl w:val="0"/>
          <w:numId w:val="1003"/>
        </w:numPr>
        <w:pStyle w:val="Compact"/>
      </w:pPr>
      <w:r>
        <w:t xml:space="preserve">Disclaimers, and the</w:t>
      </w:r>
      <w:r>
        <w:t xml:space="preserve"> </w:t>
      </w:r>
      <w:r>
        <w:t xml:space="preserve">“</w:t>
      </w:r>
      <w:r>
        <w:t xml:space="preserve">what backs it</w:t>
      </w:r>
      <w:r>
        <w:t xml:space="preserve">”</w:t>
      </w:r>
      <w:r>
        <w:t xml:space="preserve"> </w:t>
      </w:r>
      <w:r>
        <w:t xml:space="preserve">basis, are now written from the</w:t>
      </w:r>
      <w:r>
        <w:t xml:space="preserve"> </w:t>
      </w:r>
      <w:r>
        <w:rPr>
          <w:bCs/>
          <w:b/>
        </w:rPr>
        <w:t xml:space="preserve">full article</w:t>
      </w:r>
      <w:r>
        <w:t xml:space="preserve">, not just a feed summary.</w:t>
      </w:r>
    </w:p>
    <w:bookmarkEnd w:id="22"/>
    <w:bookmarkStart w:id="23" w:name="duplicate-prevention"/>
    <w:p>
      <w:pPr>
        <w:pStyle w:val="Heading3"/>
      </w:pPr>
      <w:r>
        <w:t xml:space="preserve">3. Duplicate prevention</w:t>
      </w:r>
    </w:p>
    <w:p>
      <w:pPr>
        <w:numPr>
          <w:ilvl w:val="0"/>
          <w:numId w:val="1004"/>
        </w:numPr>
        <w:pStyle w:val="Compact"/>
      </w:pPr>
      <w:r>
        <w:t xml:space="preserve">Added cross-outlet duplicate detection across both gathering pipelines — it catches the same event reported by a different outlet, looking back 30 days.</w:t>
      </w:r>
    </w:p>
    <w:p>
      <w:pPr>
        <w:numPr>
          <w:ilvl w:val="0"/>
          <w:numId w:val="1004"/>
        </w:numPr>
        <w:pStyle w:val="Compact"/>
      </w:pPr>
      <w:r>
        <w:t xml:space="preserve">Swept the live site and removed 11 duplicate stories.</w:t>
      </w:r>
    </w:p>
    <w:p>
      <w:pPr>
        <w:numPr>
          <w:ilvl w:val="0"/>
          <w:numId w:val="1004"/>
        </w:numPr>
        <w:pStyle w:val="Compact"/>
      </w:pPr>
      <w:r>
        <w:t xml:space="preserve">Submitted stories now run a duplicate check; on a collision the editor is</w:t>
      </w:r>
      <w:r>
        <w:t xml:space="preserve"> </w:t>
      </w:r>
      <w:r>
        <w:rPr>
          <w:bCs/>
          <w:b/>
        </w:rPr>
        <w:t xml:space="preserve">alerted with a choice</w:t>
      </w:r>
      <w:r>
        <w:t xml:space="preserve">: publish anyway, publish and remove the existing one(s), or keep the existing story.</w:t>
      </w:r>
    </w:p>
    <w:bookmarkEnd w:id="23"/>
    <w:bookmarkStart w:id="24" w:name="sources-and-editorial-standards"/>
    <w:p>
      <w:pPr>
        <w:pStyle w:val="Heading3"/>
      </w:pPr>
      <w:r>
        <w:t xml:space="preserve">4. Sources and editorial standards</w:t>
      </w:r>
    </w:p>
    <w:p>
      <w:pPr>
        <w:numPr>
          <w:ilvl w:val="0"/>
          <w:numId w:val="1005"/>
        </w:numPr>
        <w:pStyle w:val="Compact"/>
      </w:pPr>
      <w:r>
        <w:t xml:space="preserve">Grew the source roster from</w:t>
      </w:r>
      <w:r>
        <w:t xml:space="preserve"> </w:t>
      </w:r>
      <w:r>
        <w:rPr>
          <w:bCs/>
          <w:b/>
        </w:rPr>
        <w:t xml:space="preserve">41 to 70 feeds</w:t>
      </w:r>
      <w:r>
        <w:t xml:space="preserve">, weighted toward conservation NGOs and environmental outlets (Yale Environment 360, Ocean Conservancy, Rewilding Europe, BirdLife, Re:wild, Canary Media, Anthropocene, Knowable Magazine, and more).</w:t>
      </w:r>
    </w:p>
    <w:p>
      <w:pPr>
        <w:numPr>
          <w:ilvl w:val="0"/>
          <w:numId w:val="1005"/>
        </w:numPr>
        <w:pStyle w:val="Compact"/>
      </w:pPr>
      <w:r>
        <w:t xml:space="preserve">Stood up a</w:t>
      </w:r>
      <w:r>
        <w:t xml:space="preserve"> </w:t>
      </w:r>
      <w:r>
        <w:rPr>
          <w:bCs/>
          <w:b/>
        </w:rPr>
        <w:t xml:space="preserve">weekly automatic search for new, reputable good-news feeds</w:t>
      </w:r>
      <w:r>
        <w:t xml:space="preserve">, surfaced for approval before anything is added — so the roster keeps growing on its own.</w:t>
      </w:r>
    </w:p>
    <w:p>
      <w:pPr>
        <w:numPr>
          <w:ilvl w:val="0"/>
          <w:numId w:val="1005"/>
        </w:numPr>
        <w:pStyle w:val="Compact"/>
      </w:pPr>
      <w:r>
        <w:t xml:space="preserve">The system now enforces</w:t>
      </w:r>
      <w:r>
        <w:t xml:space="preserve"> </w:t>
      </w:r>
      <w:r>
        <w:rPr>
          <w:bCs/>
          <w:b/>
        </w:rPr>
        <w:t xml:space="preserve">the editorial standards you set</w:t>
      </w:r>
      <w:r>
        <w:t xml:space="preserve">, automatically. Two examples already in place: companion-animal stories route to the Animals category even when framed around health; and</w:t>
      </w:r>
      <w:r>
        <w:t xml:space="preserve"> </w:t>
      </w:r>
      <w:r>
        <w:rPr>
          <w:bCs/>
          <w:b/>
        </w:rPr>
        <w:t xml:space="preserve">trade and industry publications get extra scrutiny</w:t>
      </w:r>
      <w:r>
        <w:t xml:space="preserve"> </w:t>
      </w:r>
      <w:r>
        <w:t xml:space="preserve">— vendor press releases, product and funding announcements, and industry-booster pieces are rejected, with only concrete, genuinely-good developments allowed through.</w:t>
      </w:r>
    </w:p>
    <w:bookmarkEnd w:id="24"/>
    <w:bookmarkStart w:id="25" w:name="submissions-email-in"/>
    <w:p>
      <w:pPr>
        <w:pStyle w:val="Heading3"/>
      </w:pPr>
      <w:r>
        <w:t xml:space="preserve">5. Submissions (email-in)</w:t>
      </w:r>
    </w:p>
    <w:p>
      <w:pPr>
        <w:numPr>
          <w:ilvl w:val="0"/>
          <w:numId w:val="1006"/>
        </w:numPr>
        <w:pStyle w:val="Compact"/>
      </w:pPr>
      <w:r>
        <w:t xml:space="preserve">Authorized contributors can email a story link to</w:t>
      </w:r>
      <w:r>
        <w:t xml:space="preserve"> </w:t>
      </w:r>
      <w:r>
        <w:rPr>
          <w:bCs/>
          <w:b/>
        </w:rPr>
        <w:t xml:space="preserve">submit@goodlede.com</w:t>
      </w:r>
      <w:r>
        <w:t xml:space="preserve"> </w:t>
      </w:r>
      <w:r>
        <w:t xml:space="preserve">and it publishes as an Editor’s Pick.</w:t>
      </w:r>
    </w:p>
    <w:p>
      <w:pPr>
        <w:numPr>
          <w:ilvl w:val="0"/>
          <w:numId w:val="1006"/>
        </w:numPr>
        <w:pStyle w:val="Compact"/>
      </w:pPr>
      <w:r>
        <w:t xml:space="preserve">If a link cannot be read or verified — a paywall, for instance — the sender now</w:t>
      </w:r>
      <w:r>
        <w:t xml:space="preserve"> </w:t>
      </w:r>
      <w:r>
        <w:rPr>
          <w:bCs/>
          <w:b/>
        </w:rPr>
        <w:t xml:space="preserve">gets an email back</w:t>
      </w:r>
      <w:r>
        <w:t xml:space="preserve"> </w:t>
      </w:r>
      <w:r>
        <w:t xml:space="preserve">asking for the headline and a line of support. Submissions never silently disappear.</w:t>
      </w:r>
    </w:p>
    <w:bookmarkEnd w:id="25"/>
    <w:bookmarkStart w:id="26" w:name="the-reader-facing-site"/>
    <w:p>
      <w:pPr>
        <w:pStyle w:val="Heading3"/>
      </w:pPr>
      <w:r>
        <w:t xml:space="preserve">6. The reader-facing site</w:t>
      </w:r>
    </w:p>
    <w:p>
      <w:pPr>
        <w:numPr>
          <w:ilvl w:val="0"/>
          <w:numId w:val="1007"/>
        </w:numPr>
        <w:pStyle w:val="Compact"/>
      </w:pPr>
      <w:r>
        <w:t xml:space="preserve">Story cards now lead with</w:t>
      </w:r>
      <w:r>
        <w:t xml:space="preserve"> </w:t>
      </w:r>
      <w:r>
        <w:rPr>
          <w:bCs/>
          <w:b/>
        </w:rPr>
        <w:t xml:space="preserve">images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New since your last visit</w:t>
      </w:r>
      <w:r>
        <w:t xml:space="preserve">”</w:t>
      </w:r>
      <w:r>
        <w:t xml:space="preserve"> </w:t>
      </w:r>
      <w:r>
        <w:t xml:space="preserve">markers and relative timestamps, so returning readers immediately see what is fresh.</w:t>
      </w:r>
    </w:p>
    <w:p>
      <w:pPr>
        <w:numPr>
          <w:ilvl w:val="0"/>
          <w:numId w:val="1007"/>
        </w:numPr>
        <w:pStyle w:val="Compact"/>
      </w:pPr>
      <w:r>
        <w:t xml:space="preserve">Fixed the subscribe prompt so it no longer covers the footer.</w:t>
      </w:r>
    </w:p>
    <w:bookmarkEnd w:id="26"/>
    <w:bookmarkStart w:id="27" w:name="quality-monitoring"/>
    <w:p>
      <w:pPr>
        <w:pStyle w:val="Heading3"/>
      </w:pPr>
      <w:r>
        <w:t xml:space="preserve">7. Quality monitoring</w:t>
      </w:r>
    </w:p>
    <w:p>
      <w:pPr>
        <w:numPr>
          <w:ilvl w:val="0"/>
          <w:numId w:val="1008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daily automated check</w:t>
      </w:r>
      <w:r>
        <w:t xml:space="preserve"> </w:t>
      </w:r>
      <w:r>
        <w:t xml:space="preserve">loads the live site at desktop, tablet, and mobile widths and flags any layout problem — overflow, content spilling out of a card — before a reader would ever see it.</w:t>
      </w:r>
    </w:p>
    <w:bookmarkEnd w:id="27"/>
    <w:bookmarkEnd w:id="28"/>
    <w:bookmarkStart w:id="29" w:name="what-this-means-for-you"/>
    <w:p>
      <w:pPr>
        <w:pStyle w:val="Heading2"/>
      </w:pPr>
      <w:r>
        <w:t xml:space="preserve">What this means for you</w:t>
      </w:r>
    </w:p>
    <w:p>
      <w:pPr>
        <w:pStyle w:val="FirstParagraph"/>
      </w:pPr>
      <w:r>
        <w:t xml:space="preserve">You would be the final judgment on a steadily improving system that does the heavy lifting — gathering, verifying, de-duplicating, and drafting — and hands you a clean, pre-screened queue twice a day. Your role is</w:t>
      </w:r>
      <w:r>
        <w:t xml:space="preserve"> </w:t>
      </w:r>
      <w:r>
        <w:rPr>
          <w:bCs/>
          <w:b/>
        </w:rPr>
        <w:t xml:space="preserve">curation and voice</w:t>
      </w:r>
      <w:r>
        <w:t xml:space="preserve">: deciding what is genuinely good, true, and worth a reader’s two minutes; shaping the disclaimers, which the system then learns from; setting standards it then enforces; and choosing each day’s lead story. The tooling is built so that is a few minutes of focused clicks, not a chore.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Goodlede · Wag Media, LLC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2026-06-28T15:04:38Z</dcterms:created>
  <dcterms:modified xsi:type="dcterms:W3CDTF">2026-06-28T15:04:38Z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