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goodlede-editor-guide-rights-of-nature"/>
    <w:p>
      <w:pPr>
        <w:pStyle w:val="Heading1"/>
      </w:pPr>
      <w:r>
        <w:t xml:space="preserve">Goodlede — Editor Guide: Rights of Nature</w:t>
      </w:r>
    </w:p>
    <w:p>
      <w:pPr>
        <w:pStyle w:val="FirstParagraph"/>
      </w:pPr>
      <w:r>
        <w:rPr>
          <w:bCs/>
          <w:b/>
        </w:rPr>
        <w:t xml:space="preserve">For Leeann Lahren · prepared by Michael</w:t>
      </w:r>
    </w:p>
    <w:p>
      <w:pPr>
        <w:pStyle w:val="BodyText"/>
      </w:pPr>
      <w:r>
        <w:t xml:space="preserve">Welcome to Goodlede. You’re our editor for</w:t>
      </w:r>
      <w:r>
        <w:t xml:space="preserve"> </w:t>
      </w:r>
      <w:r>
        <w:rPr>
          <w:bCs/>
          <w:b/>
        </w:rPr>
        <w:t xml:space="preserve">rights of nature</w:t>
      </w:r>
      <w:r>
        <w:t xml:space="preserve"> </w:t>
      </w:r>
      <w:r>
        <w:t xml:space="preserve">— the environmental stories about legal personhood and rights for rivers, ecosystems, and the natural world. Your job is to review those stories, shape the honest caveat on each, and pass them to Michael for the final sign-off.</w:t>
      </w:r>
    </w:p>
    <w:bookmarkStart w:id="20" w:name="how-it-works"/>
    <w:p>
      <w:pPr>
        <w:pStyle w:val="Heading2"/>
      </w:pPr>
      <w:r>
        <w:t xml:space="preserve">How it works</w:t>
      </w:r>
    </w:p>
    <w:p>
      <w:pPr>
        <w:numPr>
          <w:ilvl w:val="0"/>
          <w:numId w:val="1001"/>
        </w:numPr>
        <w:pStyle w:val="Compact"/>
      </w:pPr>
      <w:r>
        <w:rPr>
          <w:bCs/>
          <w:b/>
        </w:rPr>
        <w:t xml:space="preserve">Stories come to you.</w:t>
      </w:r>
      <w:r>
        <w:t xml:space="preserve"> </w:t>
      </w:r>
      <w:r>
        <w:t xml:space="preserve">When an Environment story about rights of nature arrives at Goodlede, it’s automatically routed to your</w:t>
      </w:r>
      <w:r>
        <w:t xml:space="preserve"> </w:t>
      </w:r>
      <w:r>
        <w:rPr>
          <w:bCs/>
          <w:b/>
        </w:rPr>
        <w:t xml:space="preserve">review desk</w:t>
      </w:r>
      <w:r>
        <w:t xml:space="preserve"> </w:t>
      </w:r>
      <w:r>
        <w:t xml:space="preserve">— a private web page only you can open (we’ll send you the link). You don’t have to go looking for them.</w:t>
      </w:r>
    </w:p>
    <w:p>
      <w:pPr>
        <w:numPr>
          <w:ilvl w:val="0"/>
          <w:numId w:val="1001"/>
        </w:numPr>
        <w:pStyle w:val="Compact"/>
      </w:pPr>
      <w:r>
        <w:rPr>
          <w:bCs/>
          <w:b/>
        </w:rPr>
        <w:t xml:space="preserve">You’ll get a short nudge twice a day</w:t>
      </w:r>
      <w:r>
        <w:t xml:space="preserve"> </w:t>
      </w:r>
      <w:r>
        <w:t xml:space="preserve">when stories are waiting on your desk.</w:t>
      </w:r>
    </w:p>
    <w:p>
      <w:pPr>
        <w:numPr>
          <w:ilvl w:val="0"/>
          <w:numId w:val="1001"/>
        </w:numPr>
        <w:pStyle w:val="Compact"/>
      </w:pPr>
      <w:r>
        <w:rPr>
          <w:bCs/>
          <w:b/>
        </w:rPr>
        <w:t xml:space="preserve">You review each one</w:t>
      </w:r>
      <w:r>
        <w:t xml:space="preserve"> </w:t>
      </w:r>
      <w:r>
        <w:t xml:space="preserve">on your desk: read the</w:t>
      </w:r>
      <w:r>
        <w:t xml:space="preserve"> </w:t>
      </w:r>
      <w:r>
        <w:rPr>
          <w:bCs/>
          <w:b/>
        </w:rPr>
        <w:t xml:space="preserve">“</w:t>
      </w:r>
      <w:r>
        <w:rPr>
          <w:bCs/>
          <w:b/>
        </w:rPr>
        <w:t xml:space="preserve">What backs it</w:t>
      </w:r>
      <w:r>
        <w:rPr>
          <w:bCs/>
          <w:b/>
        </w:rPr>
        <w:t xml:space="preserve">”</w:t>
      </w:r>
      <w:r>
        <w:t xml:space="preserve"> </w:t>
      </w:r>
      <w:r>
        <w:t xml:space="preserve">(the evidence),</w:t>
      </w:r>
      <w:r>
        <w:t xml:space="preserve"> </w:t>
      </w:r>
      <w:r>
        <w:rPr>
          <w:bCs/>
          <w:b/>
        </w:rPr>
        <w:t xml:space="preserve">write or refine the</w:t>
      </w:r>
      <w:r>
        <w:rPr>
          <w:bCs/>
          <w:b/>
        </w:rPr>
        <w:t xml:space="preserve"> </w:t>
      </w:r>
      <w:r>
        <w:rPr>
          <w:bCs/>
          <w:b/>
        </w:rPr>
        <w:t xml:space="preserve">“</w:t>
      </w:r>
      <w:r>
        <w:rPr>
          <w:bCs/>
          <w:b/>
        </w:rPr>
        <w:t xml:space="preserve">Worth noting</w:t>
      </w:r>
      <w:r>
        <w:rPr>
          <w:bCs/>
          <w:b/>
        </w:rPr>
        <w:t xml:space="preserve">”</w:t>
      </w:r>
      <w:r>
        <w:t xml:space="preserve"> </w:t>
      </w:r>
      <w:r>
        <w:t xml:space="preserve">— the honest line on what the story does and doesn’t mean — in your own words, recategorize if needed, and</w:t>
      </w:r>
      <w:r>
        <w:t xml:space="preserve"> </w:t>
      </w:r>
      <w:r>
        <w:rPr>
          <w:bCs/>
          <w:b/>
        </w:rPr>
        <w:t xml:space="preserve">approve</w:t>
      </w:r>
      <w:r>
        <w:t xml:space="preserve"> </w:t>
      </w:r>
      <w:r>
        <w:t xml:space="preserve">it (or skip it).</w:t>
      </w:r>
    </w:p>
    <w:p>
      <w:pPr>
        <w:numPr>
          <w:ilvl w:val="0"/>
          <w:numId w:val="1001"/>
        </w:numPr>
        <w:pStyle w:val="Compact"/>
      </w:pPr>
      <w:r>
        <w:rPr>
          <w:bCs/>
          <w:b/>
        </w:rPr>
        <w:t xml:space="preserve">Michael gives the final sign-off.</w:t>
      </w:r>
      <w:r>
        <w:t xml:space="preserve"> </w:t>
      </w:r>
      <w:r>
        <w:t xml:space="preserve">Your approvals go to him, and</w:t>
      </w:r>
      <w:r>
        <w:t xml:space="preserve"> </w:t>
      </w:r>
      <w:r>
        <w:rPr>
          <w:bCs/>
          <w:b/>
        </w:rPr>
        <w:t xml:space="preserve">nothing publishes until he approves.</w:t>
      </w:r>
      <w:r>
        <w:t xml:space="preserve"> </w:t>
      </w:r>
      <w:r>
        <w:t xml:space="preserve">If he adjusts anything, you’ll get a quick note showing what changed.</w:t>
      </w:r>
    </w:p>
    <w:bookmarkEnd w:id="20"/>
    <w:bookmarkStart w:id="21" w:name="your-review-desk"/>
    <w:p>
      <w:pPr>
        <w:pStyle w:val="Heading2"/>
      </w:pPr>
      <w:r>
        <w:t xml:space="preserve">Your review desk</w:t>
      </w:r>
    </w:p>
    <w:p>
      <w:pPr>
        <w:pStyle w:val="FirstParagraph"/>
      </w:pPr>
      <w:r>
        <w:t xml:space="preserve">It’s a private link — no login, just bookmark it. Your assigned stories appear there as cards, each with an approve / edit-the-caveat / skip option. It’s the same review tool Michael uses, scoped to only your stories.</w:t>
      </w:r>
    </w:p>
    <w:bookmarkEnd w:id="21"/>
    <w:bookmarkStart w:id="22" w:name="the-worth-noting-line"/>
    <w:p>
      <w:pPr>
        <w:pStyle w:val="Heading2"/>
      </w:pPr>
      <w:r>
        <w:t xml:space="preserve">The</w:t>
      </w:r>
      <w:r>
        <w:t xml:space="preserve"> </w:t>
      </w:r>
      <w:r>
        <w:t xml:space="preserve">“</w:t>
      </w:r>
      <w:r>
        <w:t xml:space="preserve">Worth noting</w:t>
      </w:r>
      <w:r>
        <w:t xml:space="preserve">”</w:t>
      </w:r>
      <w:r>
        <w:t xml:space="preserve"> </w:t>
      </w:r>
      <w:r>
        <w:t xml:space="preserve">line</w:t>
      </w:r>
    </w:p>
    <w:p>
      <w:pPr>
        <w:pStyle w:val="FirstParagraph"/>
      </w:pPr>
      <w:r>
        <w:t xml:space="preserve">Every Goodlede story carries a short, honest caveat — what the news</w:t>
      </w:r>
      <w:r>
        <w:t xml:space="preserve"> </w:t>
      </w:r>
      <w:r>
        <w:rPr>
          <w:iCs/>
          <w:i/>
        </w:rPr>
        <w:t xml:space="preserve">does</w:t>
      </w:r>
      <w:r>
        <w:t xml:space="preserve"> </w:t>
      </w:r>
      <w:r>
        <w:t xml:space="preserve">and</w:t>
      </w:r>
      <w:r>
        <w:t xml:space="preserve"> </w:t>
      </w:r>
      <w:r>
        <w:rPr>
          <w:iCs/>
          <w:i/>
        </w:rPr>
        <w:t xml:space="preserve">doesn’t</w:t>
      </w:r>
      <w:r>
        <w:t xml:space="preserve"> </w:t>
      </w:r>
      <w:r>
        <w:t xml:space="preserve">mean — so we never overclaim. On rights-of-nature stories especially, that nuance matters (a legal ruling isn’t the same as enforcement on the ground).</w:t>
      </w:r>
      <w:r>
        <w:t xml:space="preserve"> </w:t>
      </w:r>
      <w:r>
        <w:rPr>
          <w:bCs/>
          <w:b/>
        </w:rPr>
        <w:t xml:space="preserve">You write it</w:t>
      </w:r>
      <w:r>
        <w:t xml:space="preserve">; Michael sees your version at sign-off.</w:t>
      </w:r>
    </w:p>
    <w:bookmarkEnd w:id="22"/>
    <w:bookmarkStart w:id="23" w:name="whats-a-good-fit-for-you"/>
    <w:p>
      <w:pPr>
        <w:pStyle w:val="Heading2"/>
      </w:pPr>
      <w:r>
        <w:t xml:space="preserve">What’s a good fit for you</w:t>
      </w:r>
    </w:p>
    <w:p>
      <w:pPr>
        <w:pStyle w:val="FirstParagraph"/>
      </w:pPr>
      <w:r>
        <w:t xml:space="preserve">Environment stories where nature is granted legal standing or rights — legal personhood for a river, lake, forest, or ecosystem; court rulings recognizing nature’s rights; new laws in that vein. If something gets routed to you that isn’t quite right, just skip it.</w:t>
      </w:r>
    </w:p>
    <w:p>
      <w:r>
        <w:pict>
          <v:rect style="width:0;height:1.5pt" o:hralign="center" o:hrstd="t" o:hr="t"/>
        </w:pict>
      </w:r>
    </w:p>
    <w:p>
      <w:pPr>
        <w:pStyle w:val="FirstParagraph"/>
      </w:pPr>
      <w:r>
        <w:rPr>
          <w:iCs/>
          <w:i/>
        </w:rPr>
        <w:t xml:space="preserve">Goodlede · Wag Media, LLC</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2026-06-29T22:51:13Z</dcterms:created>
  <dcterms:modified xsi:type="dcterms:W3CDTF">2026-06-29T22:51:13Z</dcterms:modified>
</cp:coreProperties>
</file>

<file path=docProps/custom.xml><?xml version="1.0" encoding="utf-8"?>
<Properties xmlns="http://schemas.openxmlformats.org/officeDocument/2006/custom-properties" xmlns:vt="http://schemas.openxmlformats.org/officeDocument/2006/docPropsVTypes"/>
</file>