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goodlede-editor-guide-rights-of-nature"/>
    <w:p>
      <w:pPr>
        <w:pStyle w:val="Heading1"/>
      </w:pPr>
      <w:r>
        <w:t xml:space="preserve">Goodlede — Editor Guide: Rights of Nature</w:t>
      </w:r>
    </w:p>
    <w:p>
      <w:pPr>
        <w:pStyle w:val="FirstParagraph"/>
      </w:pPr>
      <w:r>
        <w:rPr>
          <w:bCs/>
          <w:b/>
        </w:rPr>
        <w:t xml:space="preserve">For Leeann Lahren · prepared by Michael</w:t>
      </w:r>
    </w:p>
    <w:p>
      <w:pPr>
        <w:pStyle w:val="BodyText"/>
      </w:pPr>
      <w:r>
        <w:t xml:space="preserve">Welcome to Goodlede. You’re our editor for</w:t>
      </w:r>
      <w:r>
        <w:t xml:space="preserve"> </w:t>
      </w:r>
      <w:r>
        <w:rPr>
          <w:bCs/>
          <w:b/>
        </w:rPr>
        <w:t xml:space="preserve">rights of nature</w:t>
      </w:r>
      <w:r>
        <w:t xml:space="preserve"> </w:t>
      </w:r>
      <w:r>
        <w:t xml:space="preserve">— the environmental stories about legal standing for the natural world: legal personhood for a river, lake, forest, or ecosystem; court rulings that recognize nature’s rights; new laws in that vein. You shape the honest caveat on each story and pass it to Michael for the final sign-off.</w:t>
      </w:r>
    </w:p>
    <w:p>
      <w:pPr>
        <w:pStyle w:val="BodyText"/>
      </w:pPr>
      <w:r>
        <w:t xml:space="preserve">Your role has two parts.</w:t>
      </w:r>
    </w:p>
    <w:bookmarkStart w:id="20" w:name="the-right-stories-come-to-you"/>
    <w:p>
      <w:pPr>
        <w:pStyle w:val="Heading2"/>
      </w:pPr>
      <w:r>
        <w:t xml:space="preserve">1. The right stories come to you</w:t>
      </w:r>
    </w:p>
    <w:p>
      <w:pPr>
        <w:pStyle w:val="FirstParagraph"/>
      </w:pPr>
      <w:r>
        <w:t xml:space="preserve">When an Environment story about rights of nature arrives at Goodlede, it’s routed</w:t>
      </w:r>
      <w:r>
        <w:t xml:space="preserve"> </w:t>
      </w:r>
      <w:r>
        <w:rPr>
          <w:bCs/>
          <w:b/>
        </w:rPr>
        <w:t xml:space="preserve">automatically to your review desk</w:t>
      </w:r>
      <w:r>
        <w:t xml:space="preserve"> </w:t>
      </w:r>
      <w:r>
        <w:t xml:space="preserve">— a private web page only you can open (we’ll send you the link). You don’t have to go looking for them.</w:t>
      </w:r>
    </w:p>
    <w:p>
      <w:pPr>
        <w:pStyle w:val="BodyText"/>
      </w:pPr>
      <w:r>
        <w:t xml:space="preserve">Behind the scenes, we flag stories that mention things like</w:t>
      </w:r>
      <w:r>
        <w:t xml:space="preserve"> </w:t>
      </w:r>
      <w:r>
        <w:rPr>
          <w:iCs/>
          <w:i/>
        </w:rPr>
        <w:t xml:space="preserve">legal personhood, the rights of a river, nature’s rights,</w:t>
      </w:r>
      <w:r>
        <w:t xml:space="preserve"> </w:t>
      </w:r>
      <w:r>
        <w:t xml:space="preserve">and similar signals. If something lands on your desk that isn’t quite right, just skip it — and if you notice a kind of story we’re missing, tell Michael and we’ll widen the net.</w:t>
      </w:r>
    </w:p>
    <w:bookmarkEnd w:id="20"/>
    <w:bookmarkStart w:id="21" w:name="you-can-also-submit-stories"/>
    <w:p>
      <w:pPr>
        <w:pStyle w:val="Heading2"/>
      </w:pPr>
      <w:r>
        <w:t xml:space="preserve">2. You can also submit stories</w:t>
      </w:r>
    </w:p>
    <w:p>
      <w:pPr>
        <w:pStyle w:val="FirstParagraph"/>
      </w:pPr>
      <w:r>
        <w:t xml:space="preserve">If you come across a good-news story you’d like to run, email the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submit@goodlede.com</w:t>
      </w:r>
      <w:r>
        <w:t xml:space="preserve"> </w:t>
      </w:r>
      <w:r>
        <w:t xml:space="preserve">— one story per email. Goodlede reads the article and places it on</w:t>
      </w:r>
      <w:r>
        <w:t xml:space="preserve"> </w:t>
      </w:r>
      <w:r>
        <w:rPr>
          <w:bCs/>
          <w:b/>
        </w:rPr>
        <w:t xml:space="preserve">your same desk</w:t>
      </w:r>
      <w:r>
        <w:t xml:space="preserve">, ready for you to add the</w:t>
      </w:r>
      <w:r>
        <w:t xml:space="preserve"> </w:t>
      </w:r>
      <w:r>
        <w:t xml:space="preserve">“</w:t>
      </w:r>
      <w:r>
        <w:t xml:space="preserve">Worth noting</w:t>
      </w:r>
      <w:r>
        <w:t xml:space="preserve">”</w:t>
      </w:r>
      <w:r>
        <w:t xml:space="preserve"> </w:t>
      </w:r>
      <w:r>
        <w:t xml:space="preserve">and approve.</w:t>
      </w:r>
    </w:p>
    <w:bookmarkEnd w:id="21"/>
    <w:bookmarkStart w:id="22" w:name="the-routine-on-your-desk-either-way"/>
    <w:p>
      <w:pPr>
        <w:pStyle w:val="Heading2"/>
      </w:pPr>
      <w:r>
        <w:t xml:space="preserve">The routine on your desk (either way)</w:t>
      </w:r>
    </w:p>
    <w:p>
      <w:pPr>
        <w:numPr>
          <w:ilvl w:val="0"/>
          <w:numId w:val="1001"/>
        </w:numPr>
        <w:pStyle w:val="Compact"/>
      </w:pPr>
      <w:r>
        <w:t xml:space="preserve">Read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backs it</w:t>
      </w:r>
      <w:r>
        <w:rPr>
          <w:bCs/>
          <w:b/>
        </w:rPr>
        <w:t xml:space="preserve">”</w:t>
      </w:r>
      <w:r>
        <w:t xml:space="preserve"> </w:t>
      </w:r>
      <w:r>
        <w:t xml:space="preserve">(the evidence).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Write or refine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Worth noting</w:t>
      </w:r>
      <w:r>
        <w:rPr>
          <w:bCs/>
          <w:b/>
        </w:rPr>
        <w:t xml:space="preserve">”</w:t>
      </w:r>
      <w:r>
        <w:t xml:space="preserve"> </w:t>
      </w:r>
      <w:r>
        <w:t xml:space="preserve">— the honest line on what the story does and doesn’t mean — in your own words.</w:t>
      </w:r>
    </w:p>
    <w:p>
      <w:pPr>
        <w:numPr>
          <w:ilvl w:val="0"/>
          <w:numId w:val="1001"/>
        </w:numPr>
        <w:pStyle w:val="Compact"/>
      </w:pPr>
      <w:r>
        <w:t xml:space="preserve">Recategorize if needed, and</w:t>
      </w:r>
      <w:r>
        <w:t xml:space="preserve"> </w:t>
      </w:r>
      <w:r>
        <w:rPr>
          <w:bCs/>
          <w:b/>
        </w:rPr>
        <w:t xml:space="preserve">approve</w:t>
      </w:r>
      <w:r>
        <w:t xml:space="preserve"> </w:t>
      </w:r>
      <w:r>
        <w:t xml:space="preserve">(or skip).</w:t>
      </w:r>
    </w:p>
    <w:p>
      <w:pPr>
        <w:numPr>
          <w:ilvl w:val="0"/>
          <w:numId w:val="1001"/>
        </w:numPr>
        <w:pStyle w:val="Compact"/>
      </w:pPr>
      <w:r>
        <w:t xml:space="preserve">Your approval goes to</w:t>
      </w:r>
      <w:r>
        <w:t xml:space="preserve"> </w:t>
      </w:r>
      <w:r>
        <w:rPr>
          <w:bCs/>
          <w:b/>
        </w:rPr>
        <w:t xml:space="preserve">Michael for the final sign-off.</w:t>
      </w:r>
      <w:r>
        <w:t xml:space="preserve"> </w:t>
      </w:r>
      <w:r>
        <w:rPr>
          <w:bCs/>
          <w:b/>
        </w:rPr>
        <w:t xml:space="preserve">Nothing publishes until he approves.</w:t>
      </w:r>
      <w:r>
        <w:t xml:space="preserve"> </w:t>
      </w:r>
      <w:r>
        <w:t xml:space="preserve">If he adjusts anything, you’ll get a quick note showing what changed.</w:t>
      </w:r>
    </w:p>
    <w:bookmarkEnd w:id="22"/>
    <w:bookmarkStart w:id="23" w:name="the-worth-noting-line"/>
    <w:p>
      <w:pPr>
        <w:pStyle w:val="Heading2"/>
      </w:pPr>
      <w:r>
        <w:t xml:space="preserve">The</w:t>
      </w:r>
      <w:r>
        <w:t xml:space="preserve"> </w:t>
      </w:r>
      <w:r>
        <w:t xml:space="preserve">“</w:t>
      </w:r>
      <w:r>
        <w:t xml:space="preserve">Worth noting</w:t>
      </w:r>
      <w:r>
        <w:t xml:space="preserve">”</w:t>
      </w:r>
      <w:r>
        <w:t xml:space="preserve"> </w:t>
      </w:r>
      <w:r>
        <w:t xml:space="preserve">line</w:t>
      </w:r>
    </w:p>
    <w:p>
      <w:pPr>
        <w:pStyle w:val="FirstParagraph"/>
      </w:pPr>
      <w:r>
        <w:t xml:space="preserve">Every Goodlede story carries a short, honest caveat — what the news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doesn’t</w:t>
      </w:r>
      <w:r>
        <w:t xml:space="preserve"> </w:t>
      </w:r>
      <w:r>
        <w:t xml:space="preserve">mean — so we never overclaim. On rights-of-nature stories especially, that nuance matters (a legal ruling isn’t the same as enforcement on the ground).</w:t>
      </w:r>
      <w:r>
        <w:t xml:space="preserve"> </w:t>
      </w:r>
      <w:r>
        <w:rPr>
          <w:bCs/>
          <w:b/>
        </w:rPr>
        <w:t xml:space="preserve">You write it</w:t>
      </w:r>
      <w:r>
        <w:t xml:space="preserve">; Michael sees your version at sign-off.</w:t>
      </w:r>
    </w:p>
    <w:bookmarkEnd w:id="23"/>
    <w:bookmarkStart w:id="24" w:name="whats-a-good-fit"/>
    <w:p>
      <w:pPr>
        <w:pStyle w:val="Heading2"/>
      </w:pPr>
      <w:r>
        <w:t xml:space="preserve">What’s a good fit</w:t>
      </w:r>
    </w:p>
    <w:p>
      <w:pPr>
        <w:pStyle w:val="FirstParagraph"/>
      </w:pPr>
      <w:r>
        <w:t xml:space="preserve">Environment stories where nature is granted legal standing or rights — legal personhood for a river, lake, forest, or ecosystem; rulings recognizing nature’s rights; new laws in that vein. For your own submissions, the usual Goodlede bar applies: genuinely good news, a reputable/original source, a single specific article (not a roundup), nothing political.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Goodlede · Wag Media, LLC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2026-06-29T22:56:37Z</dcterms:created>
  <dcterms:modified xsi:type="dcterms:W3CDTF">2026-06-29T22:56:37Z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